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jc w:val="center"/>
      </w:pPr>
      <w:r>
        <w:rPr>
          <w:rFonts w:ascii="Arial" w:cs="Arial" w:eastAsia="Arial" w:hAnsi="Arial"/>
          <w:b/>
          <w:bCs/>
          <w:color w:val="1A3A5C"/>
          <w:sz w:val="40"/>
          <w:szCs w:val="40"/>
        </w:rPr>
        <w:t xml:space="preserve">Updated Influenza Forecasting Model</w:t>
      </w:r>
    </w:p>
    <w:p>
      <w:pPr>
        <w:spacing w:before="0" w:after="80"/>
        <w:jc w:val="center"/>
      </w:pPr>
      <w:r>
        <w:rPr>
          <w:rFonts w:ascii="Arial" w:cs="Arial" w:eastAsia="Arial" w:hAnsi="Arial"/>
          <w:color w:val="2E6DA4"/>
          <w:sz w:val="30"/>
          <w:szCs w:val="30"/>
        </w:rPr>
        <w:t xml:space="preserve">Hong Kong 2026–2027 Season</w:t>
      </w:r>
    </w:p>
    <w:p>
      <w:pPr>
        <w:spacing w:before="0" w:after="320"/>
        <w:jc w:val="center"/>
      </w:pPr>
      <w:r>
        <w:rPr>
          <w:rFonts w:ascii="Arial" w:cs="Arial" w:eastAsia="Arial" w:hAnsi="Arial"/>
          <w:i/>
          <w:iCs/>
          <w:color w:val="666666"/>
          <w:sz w:val="19"/>
          <w:szCs w:val="19"/>
        </w:rPr>
        <w:t xml:space="preserve">Parth Singh  |  Practicum  |  March 2026  |  Supervisor: Mr. Chen JunQiao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Document Type</w:t>
            </w:r>
          </w:p>
        </w:tc>
        <w:tc>
          <w:tcPr>
            <w:tcW w:type="dxa" w:w="69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Model Comparison &amp; Handover Package</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Date</w:t>
            </w:r>
          </w:p>
        </w:tc>
        <w:tc>
          <w:tcPr>
            <w:tcW w:type="dxa" w:w="6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18 March 2026</w:t>
            </w:r>
          </w:p>
        </w:tc>
      </w:tr>
      <w:tr>
        <w:tc>
          <w:tcPr>
            <w:tcW w:type="dxa" w:w="2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Status</w:t>
            </w:r>
          </w:p>
        </w:tc>
        <w:tc>
          <w:tcPr>
            <w:tcW w:type="dxa" w:w="69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DRAFT — Awaiting Supervisor Review</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Supersedes</w:t>
            </w:r>
          </w:p>
        </w:tc>
        <w:tc>
          <w:tcPr>
            <w:tcW w:type="dxa" w:w="6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ARIMA baseline model (v1.0, February 2026)</w:t>
            </w:r>
          </w:p>
        </w:tc>
      </w:tr>
      <w:tr>
        <w:tc>
          <w:tcPr>
            <w:tcW w:type="dxa" w:w="2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Primary Change</w:t>
            </w:r>
          </w:p>
        </w:tc>
        <w:tc>
          <w:tcPr>
            <w:tcW w:type="dxa" w:w="69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Upgraded from ARIMA to SARIMA with structural break handling</w:t>
            </w:r>
          </w:p>
        </w:tc>
      </w:tr>
    </w:tbl>
    <w:p>
      <w:pPr>
        <w:spacing w:before="160" w:after="160"/>
      </w:pPr>
    </w:p>
    <w:p>
      <w:pPr>
        <w:spacing w:before="60" w:after="60"/>
        <w:jc w:val="both"/>
      </w:pPr>
      <w:r>
        <w:rPr>
          <w:rFonts w:ascii="Arial" w:cs="Arial" w:eastAsia="Arial" w:hAnsi="Arial"/>
          <w:sz w:val="20"/>
          <w:szCs w:val="20"/>
        </w:rPr>
        <w:t xml:space="preserve">This document compares the original ARIMA baseline model with the newly developed SARIMA model, explains the improvements made, and honestly sets out remaining limitations. It is written for a non-technical reader and is intended as a standalone reference for supervisor sign-off.</w:t>
      </w:r>
    </w:p>
    <w:p>
      <w:r>
        <w:br w:type="page"/>
      </w:r>
    </w:p>
    <w:p>
      <w:pPr>
        <w:pStyle w:val="Heading1"/>
        <w:pBdr>
          <w:bottom w:val="single" w:color="2E6DA4" w:sz="8" w:space="4"/>
        </w:pBdr>
        <w:spacing w:before="280" w:after="120"/>
      </w:pPr>
      <w:r>
        <w:rPr>
          <w:rFonts w:ascii="Arial" w:cs="Arial" w:eastAsia="Arial" w:hAnsi="Arial"/>
          <w:b/>
          <w:bCs/>
          <w:color w:val="1A3A5C"/>
          <w:sz w:val="26"/>
          <w:szCs w:val="26"/>
        </w:rPr>
        <w:t xml:space="preserve">1. Background</w:t>
      </w:r>
    </w:p>
    <w:p>
      <w:pPr>
        <w:spacing w:before="60" w:after="60"/>
        <w:jc w:val="both"/>
      </w:pPr>
      <w:r>
        <w:rPr>
          <w:rFonts w:ascii="Arial" w:cs="Arial" w:eastAsia="Arial" w:hAnsi="Arial"/>
          <w:sz w:val="20"/>
          <w:szCs w:val="20"/>
        </w:rPr>
        <w:t xml:space="preserve">Following a supervisor review of the initial ARIMA baseline model, several methodological weaknesses were identified that limited its suitability for supporting the background section of the narrative review on baloxavir marboxil versus oseltamivir in Hong Kong's paediatric population. The primary concerns were the model's inability to account for the COVID-19 pandemic disruption to influenza surveillance data and its lack of a seasonal differencing mechanism appropriate for Hong Kong's subtropical bimodal influenza pattern.</w:t>
      </w:r>
    </w:p>
    <w:p>
      <w:pPr>
        <w:spacing w:before="60" w:after="60"/>
      </w:pPr>
    </w:p>
    <w:p>
      <w:pPr>
        <w:spacing w:before="60" w:after="60"/>
        <w:jc w:val="both"/>
      </w:pPr>
      <w:r>
        <w:rPr>
          <w:rFonts w:ascii="Arial" w:cs="Arial" w:eastAsia="Arial" w:hAnsi="Arial"/>
          <w:sz w:val="20"/>
          <w:szCs w:val="20"/>
        </w:rPr>
        <w:t xml:space="preserve">In response, a new SARIMA model was developed over a structured five-step pipeline, incorporating seasonal differencing, structural break regressors for the COVID-19 period, and bootstrap prediction intervals. This document summarises the changes and their epidemiological implications.</w:t>
      </w:r>
    </w:p>
    <w:p>
      <w:pPr>
        <w:spacing w:before="120" w:after="120"/>
      </w:pPr>
    </w:p>
    <w:p>
      <w:pPr>
        <w:pStyle w:val="Heading1"/>
        <w:pBdr>
          <w:bottom w:val="single" w:color="2E6DA4" w:sz="8" w:space="4"/>
        </w:pBdr>
        <w:spacing w:before="280" w:after="120"/>
      </w:pPr>
      <w:r>
        <w:rPr>
          <w:rFonts w:ascii="Arial" w:cs="Arial" w:eastAsia="Arial" w:hAnsi="Arial"/>
          <w:b/>
          <w:bCs/>
          <w:color w:val="1A3A5C"/>
          <w:sz w:val="26"/>
          <w:szCs w:val="26"/>
        </w:rPr>
        <w:t xml:space="preserve">2. Original Model (ARIMA) — What It Did and Why It Was Insufficient</w:t>
      </w:r>
    </w:p>
    <w:p>
      <w:pPr>
        <w:pStyle w:val="Heading2"/>
        <w:spacing w:before="200" w:after="80"/>
      </w:pPr>
      <w:r>
        <w:rPr>
          <w:rFonts w:ascii="Arial" w:cs="Arial" w:eastAsia="Arial" w:hAnsi="Arial"/>
          <w:b/>
          <w:bCs/>
          <w:color w:val="2E6DA4"/>
          <w:sz w:val="22"/>
          <w:szCs w:val="22"/>
        </w:rPr>
        <w:t xml:space="preserve">2.1 Model Description</w:t>
      </w:r>
    </w:p>
    <w:p>
      <w:pPr>
        <w:spacing w:before="60" w:after="60"/>
        <w:jc w:val="both"/>
      </w:pPr>
      <w:r>
        <w:rPr>
          <w:rFonts w:ascii="Arial" w:cs="Arial" w:eastAsia="Arial" w:hAnsi="Arial"/>
          <w:sz w:val="20"/>
          <w:szCs w:val="20"/>
        </w:rPr>
        <w:t xml:space="preserve">The original model was an </w:t>
      </w:r>
      <w:r>
        <w:rPr>
          <w:rFonts w:ascii="Arial" w:cs="Arial" w:eastAsia="Arial" w:hAnsi="Arial"/>
          <w:b/>
          <w:bCs/>
          <w:color w:val="1A3A5C"/>
          <w:sz w:val="20"/>
          <w:szCs w:val="20"/>
        </w:rPr>
        <w:t xml:space="preserve">ARIMA(p,d,q)</w:t>
      </w:r>
      <w:r>
        <w:rPr>
          <w:rFonts w:ascii="Arial" w:cs="Arial" w:eastAsia="Arial" w:hAnsi="Arial"/>
          <w:sz w:val="20"/>
          <w:szCs w:val="20"/>
        </w:rPr>
        <w:t xml:space="preserve"> time series model fitted automatically using the </w:t>
      </w:r>
      <w:r>
        <w:rPr>
          <w:rFonts w:ascii="Courier New" w:cs="Courier New" w:eastAsia="Courier New" w:hAnsi="Courier New"/>
          <w:sz w:val="19"/>
          <w:szCs w:val="19"/>
        </w:rPr>
        <w:t xml:space="preserve">auto.arima()</w:t>
      </w:r>
      <w:r>
        <w:rPr>
          <w:rFonts w:ascii="Arial" w:cs="Arial" w:eastAsia="Arial" w:hAnsi="Arial"/>
          <w:sz w:val="20"/>
          <w:szCs w:val="20"/>
        </w:rPr>
        <w:t xml:space="preserve"> function in R on a weekly ILI+ (influenza-like illness rate × positivity fraction) surveillance series from the Hong Kong Centre for Health Protection. The model selected order parameters without manual justification, did not incorporate seasonal structure explicitly, and did not include any external covariates.</w:t>
      </w:r>
    </w:p>
    <w:p>
      <w:pPr>
        <w:spacing w:before="80" w:after="80"/>
      </w:pPr>
    </w:p>
    <w:p>
      <w:pPr>
        <w:pStyle w:val="Heading2"/>
        <w:spacing w:before="200" w:after="80"/>
      </w:pPr>
      <w:r>
        <w:rPr>
          <w:rFonts w:ascii="Arial" w:cs="Arial" w:eastAsia="Arial" w:hAnsi="Arial"/>
          <w:b/>
          <w:bCs/>
          <w:color w:val="2E6DA4"/>
          <w:sz w:val="22"/>
          <w:szCs w:val="22"/>
        </w:rPr>
        <w:t xml:space="preserve">2.2 Specific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Weakness</w:t>
            </w:r>
          </w:p>
        </w:tc>
        <w:tc>
          <w:tcPr>
            <w:tcW w:type="dxa" w:w="368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Description</w:t>
            </w:r>
          </w:p>
        </w:tc>
        <w:tc>
          <w:tcPr>
            <w:tcW w:type="dxa" w:w="368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Impact on Forecasts</w:t>
            </w:r>
          </w:p>
        </w:tc>
      </w:tr>
      <w:tr>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No seasonal differencing</w:t>
            </w:r>
          </w:p>
        </w:tc>
        <w:tc>
          <w:tcPr>
            <w:tcW w:type="dxa" w:w="36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ARIMA without a seasonal component (S=52) cannot distinguish between Hong Kong's two annual influenza peaks (winter: Jan–Mar; summer: Aug–Oct)</w:t>
            </w:r>
          </w:p>
        </w:tc>
        <w:tc>
          <w:tcPr>
            <w:tcW w:type="dxa" w:w="36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Peak timing errors of 15–20+ weeks; conflation of summer and winter seasons</w:t>
            </w:r>
          </w:p>
        </w:tc>
      </w:tr>
      <w:tr>
        <w:tc>
          <w:tcPr>
            <w:tcW w:type="dxa" w:w="20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COVID-19 gap unaddressed</w:t>
            </w:r>
          </w:p>
        </w:tc>
        <w:tc>
          <w:tcPr>
            <w:tcW w:type="dxa" w:w="368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54 weeks of near-zero ILI+ (Apr 2020–Sep 2022) were fed to the model as structural zeros, distorting the seasonal baseline estimate</w:t>
            </w:r>
          </w:p>
        </w:tc>
        <w:tc>
          <w:tcPr>
            <w:tcW w:type="dxa" w:w="368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Systematically underestimated post-2022 activity; residual autocorrelation at lag 52</w:t>
            </w:r>
          </w:p>
        </w:tc>
      </w:tr>
      <w:tr>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Gaussian prediction intervals</w:t>
            </w:r>
          </w:p>
        </w:tc>
        <w:tc>
          <w:tcPr>
            <w:tcW w:type="dxa" w:w="36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ARIMA assumes normally distributed residuals. Shapiro-Wilk test confirms non-normality (p &lt; 0.0001) in ILI+ data</w:t>
            </w:r>
          </w:p>
        </w:tc>
        <w:tc>
          <w:tcPr>
            <w:tcW w:type="dxa" w:w="36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Prediction intervals included negative ILI+ values (physically impossible) and were poorly calibrated</w:t>
            </w:r>
          </w:p>
        </w:tc>
      </w:tr>
      <w:tr>
        <w:tc>
          <w:tcPr>
            <w:tcW w:type="dxa" w:w="20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No exogenous regressors</w:t>
            </w:r>
          </w:p>
        </w:tc>
        <w:tc>
          <w:tcPr>
            <w:tcW w:type="dxa" w:w="368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Environmental drivers of influenza in subtropical settings (temperature, absolute humidity) were not incorporated</w:t>
            </w:r>
          </w:p>
        </w:tc>
        <w:tc>
          <w:tcPr>
            <w:tcW w:type="dxa" w:w="368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Model cannot distinguish seasonally-driven from stochastic variation</w:t>
            </w:r>
          </w:p>
        </w:tc>
      </w:tr>
      <w:tr>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Undocumented order selection</w:t>
            </w:r>
          </w:p>
        </w:tc>
        <w:tc>
          <w:tcPr>
            <w:tcW w:type="dxa" w:w="36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auto.arima() selected the model order without ACF/PACF justification or multi-model comparison</w:t>
            </w:r>
          </w:p>
        </w:tc>
        <w:tc>
          <w:tcPr>
            <w:tcW w:type="dxa" w:w="36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Not reproducible; cannot be verified by an independent reviewer</w:t>
            </w:r>
          </w:p>
        </w:tc>
      </w:tr>
      <w:tr>
        <w:tc>
          <w:tcPr>
            <w:tcW w:type="dxa" w:w="20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MAPE as primary metric</w:t>
            </w:r>
          </w:p>
        </w:tc>
        <w:tc>
          <w:tcPr>
            <w:tcW w:type="dxa" w:w="368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Mean Absolute Percentage Error is undefined or inflated near-zero ILI+ values between seasonal peaks</w:t>
            </w:r>
          </w:p>
        </w:tc>
        <w:tc>
          <w:tcPr>
            <w:tcW w:type="dxa" w:w="368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Produced a reported MAPE of 552% — meaningless and misleading</w:t>
            </w:r>
          </w:p>
        </w:tc>
      </w:tr>
    </w:tbl>
    <w:p>
      <w:pPr>
        <w:spacing w:before="120" w:after="120"/>
      </w:pPr>
    </w:p>
    <w:p>
      <w:pPr>
        <w:pStyle w:val="Heading1"/>
        <w:pBdr>
          <w:bottom w:val="single" w:color="2E6DA4" w:sz="8" w:space="4"/>
        </w:pBdr>
        <w:spacing w:before="280" w:after="120"/>
      </w:pPr>
      <w:r>
        <w:rPr>
          <w:rFonts w:ascii="Arial" w:cs="Arial" w:eastAsia="Arial" w:hAnsi="Arial"/>
          <w:b/>
          <w:bCs/>
          <w:color w:val="1A3A5C"/>
          <w:sz w:val="26"/>
          <w:szCs w:val="26"/>
        </w:rPr>
        <w:t xml:space="preserve">3. New Model (SARIMA) — Specification and Improvements</w:t>
      </w:r>
    </w:p>
    <w:p>
      <w:pPr>
        <w:pStyle w:val="Heading2"/>
        <w:spacing w:before="200" w:after="80"/>
      </w:pPr>
      <w:r>
        <w:rPr>
          <w:rFonts w:ascii="Arial" w:cs="Arial" w:eastAsia="Arial" w:hAnsi="Arial"/>
          <w:b/>
          <w:bCs/>
          <w:color w:val="2E6DA4"/>
          <w:sz w:val="22"/>
          <w:szCs w:val="22"/>
        </w:rPr>
        <w:t xml:space="preserve">3.1 Model Specification</w:t>
      </w:r>
    </w:p>
    <w:p>
      <w:pPr>
        <w:spacing w:before="60" w:after="60"/>
        <w:jc w:val="both"/>
      </w:pPr>
      <w:r>
        <w:rPr>
          <w:rFonts w:ascii="Arial" w:cs="Arial" w:eastAsia="Arial" w:hAnsi="Arial"/>
          <w:b/>
          <w:bCs/>
          <w:color w:val="1A3A5C"/>
          <w:sz w:val="20"/>
          <w:szCs w:val="20"/>
        </w:rPr>
        <w:t xml:space="preserve">Model: </w:t>
      </w:r>
      <w:r>
        <w:rPr>
          <w:rFonts w:ascii="Arial" w:cs="Arial" w:eastAsia="Arial" w:hAnsi="Arial"/>
          <w:sz w:val="20"/>
          <w:szCs w:val="20"/>
        </w:rPr>
        <w:t xml:space="preserve">SARIMA(1,0,1)(1,1,0)[52] with structural break exogenous regressors</w:t>
      </w:r>
      <w:r>
        <w:rPr>
          <w:rFonts w:ascii="Arial" w:cs="Arial" w:eastAsia="Arial" w:hAnsi="Arial"/>
          <w:sz w:val="20"/>
          <w:szCs w:val="20"/>
        </w:rPr>
        <w:t xml:space="preserve">, fitted on log-transformed weekly ILI+ data from CHP sentinel surveillance.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Parameter</w:t>
            </w:r>
          </w:p>
        </w:tc>
        <w:tc>
          <w:tcPr>
            <w:tcW w:type="dxa" w:w="200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Value</w:t>
            </w:r>
          </w:p>
        </w:tc>
        <w:tc>
          <w:tcPr>
            <w:tcW w:type="dxa" w:w="516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Justification</w:t>
            </w:r>
          </w:p>
        </w:tc>
      </w:tr>
      <w:tr>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AR order (p)</w:t>
            </w:r>
          </w:p>
        </w:tc>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1</w:t>
            </w:r>
          </w:p>
        </w:tc>
        <w:tc>
          <w:tcPr>
            <w:tcW w:type="dxa" w:w="5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ACF(1) = +0.85, PACF(1) = +0.85 — both significant; week-to-week persistence confirmed</w:t>
            </w:r>
          </w:p>
        </w:tc>
      </w:tr>
      <w:tr>
        <w:tc>
          <w:tcPr>
            <w:tcW w:type="dxa" w:w="22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Differencing (d)</w:t>
            </w:r>
          </w:p>
        </w:tc>
        <w:tc>
          <w:tcPr>
            <w:tcW w:type="dxa" w:w="20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0</w:t>
            </w:r>
          </w:p>
        </w:tc>
        <w:tc>
          <w:tcPr>
            <w:tcW w:type="dxa" w:w="51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ADF test confirms level-stationarity (t = −3.32, p &lt; 0.05) — no first differencing needed</w:t>
            </w:r>
          </w:p>
        </w:tc>
      </w:tr>
      <w:tr>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MA order (q)</w:t>
            </w:r>
          </w:p>
        </w:tc>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1</w:t>
            </w:r>
          </w:p>
        </w:tc>
        <w:tc>
          <w:tcPr>
            <w:tcW w:type="dxa" w:w="5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Ljung-Box p = 0.68 confirms white noise in original model; ARMA(1,1) structure supported</w:t>
            </w:r>
          </w:p>
        </w:tc>
      </w:tr>
      <w:tr>
        <w:tc>
          <w:tcPr>
            <w:tcW w:type="dxa" w:w="22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Seasonal AR (P)</w:t>
            </w:r>
          </w:p>
        </w:tc>
        <w:tc>
          <w:tcPr>
            <w:tcW w:type="dxa" w:w="20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1</w:t>
            </w:r>
          </w:p>
        </w:tc>
        <w:tc>
          <w:tcPr>
            <w:tcW w:type="dxa" w:w="51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SAR(1) captures inter-annual persistence from post-COVID immunity dynamics</w:t>
            </w:r>
          </w:p>
        </w:tc>
      </w:tr>
      <w:tr>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Seasonal differencing (D)</w:t>
            </w:r>
          </w:p>
        </w:tc>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1</w:t>
            </w:r>
          </w:p>
        </w:tc>
        <w:tc>
          <w:tcPr>
            <w:tcW w:type="dxa" w:w="5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Removes annual non-stationarity; ADF on Δ52 series: t = −3.04, p &lt; 0.05</w:t>
            </w:r>
          </w:p>
        </w:tc>
      </w:tr>
      <w:tr>
        <w:tc>
          <w:tcPr>
            <w:tcW w:type="dxa" w:w="22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Seasonal MA (Q)</w:t>
            </w:r>
          </w:p>
        </w:tc>
        <w:tc>
          <w:tcPr>
            <w:tcW w:type="dxa" w:w="20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0</w:t>
            </w:r>
          </w:p>
        </w:tc>
        <w:tc>
          <w:tcPr>
            <w:tcW w:type="dxa" w:w="51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Not supported by seasonal ACF; adding it over-parameterises the model</w:t>
            </w:r>
          </w:p>
        </w:tc>
      </w:tr>
      <w:tr>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Seasonal period (S)</w:t>
            </w:r>
          </w:p>
        </w:tc>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52 weeks</w:t>
            </w:r>
          </w:p>
        </w:tc>
        <w:tc>
          <w:tcPr>
            <w:tcW w:type="dxa" w:w="5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Weekly data; annual influenza cycle confirmed by ACF at lag 52</w:t>
            </w:r>
          </w:p>
        </w:tc>
      </w:tr>
      <w:tr>
        <w:tc>
          <w:tcPr>
            <w:tcW w:type="dxa" w:w="22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Exog: suppression_flag</w:t>
            </w:r>
          </w:p>
        </w:tc>
        <w:tc>
          <w:tcPr>
            <w:tcW w:type="dxa" w:w="20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Binary (0/1)</w:t>
            </w:r>
          </w:p>
        </w:tc>
        <w:tc>
          <w:tcPr>
            <w:tcW w:type="dxa" w:w="51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Down-weights COVID-imputed weeks (Apr 2020–Sep 2022) in model likelihood</w:t>
            </w:r>
          </w:p>
        </w:tc>
      </w:tr>
      <w:tr>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Exog: post_covid</w:t>
            </w:r>
          </w:p>
        </w:tc>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Binary (0/1)</w:t>
            </w:r>
          </w:p>
        </w:tc>
        <w:tc>
          <w:tcPr>
            <w:tcW w:type="dxa" w:w="5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Structural break from 1 January 2023; captures post-NPI immunity dynamics</w:t>
            </w:r>
          </w:p>
        </w:tc>
      </w:tr>
      <w:tr>
        <w:tc>
          <w:tcPr>
            <w:tcW w:type="dxa" w:w="22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Log transformation</w:t>
            </w:r>
          </w:p>
        </w:tc>
        <w:tc>
          <w:tcPr>
            <w:tcW w:type="dxa" w:w="20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log(ILI+ + ε)</w:t>
            </w:r>
          </w:p>
        </w:tc>
        <w:tc>
          <w:tcPr>
            <w:tcW w:type="dxa" w:w="51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Enforces non-negativity; stabilises variance across low and high activity periods</w:t>
            </w:r>
          </w:p>
        </w:tc>
      </w:tr>
      <w:tr>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Bootstrap PI</w:t>
            </w:r>
          </w:p>
        </w:tc>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 = 600 paths</w:t>
            </w:r>
          </w:p>
        </w:tc>
        <w:tc>
          <w:tcPr>
            <w:tcW w:type="dxa" w:w="5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Replaces Gaussian intervals; drawn from non-COVID residuals; enforces non-negativity</w:t>
            </w:r>
          </w:p>
        </w:tc>
      </w:tr>
    </w:tbl>
    <w:p>
      <w:pPr>
        <w:spacing w:before="120" w:after="120"/>
      </w:pPr>
    </w:p>
    <w:p>
      <w:pPr>
        <w:pStyle w:val="Heading2"/>
        <w:spacing w:before="200" w:after="80"/>
      </w:pPr>
      <w:r>
        <w:rPr>
          <w:rFonts w:ascii="Arial" w:cs="Arial" w:eastAsia="Arial" w:hAnsi="Arial"/>
          <w:b/>
          <w:bCs/>
          <w:color w:val="2E6DA4"/>
          <w:sz w:val="22"/>
          <w:szCs w:val="22"/>
        </w:rPr>
        <w:t xml:space="preserve">3.2 Data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Dataset</w:t>
            </w:r>
          </w:p>
        </w:tc>
        <w:tc>
          <w:tcPr>
            <w:tcW w:type="dxa" w:w="240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Source</w:t>
            </w:r>
          </w:p>
        </w:tc>
        <w:tc>
          <w:tcPr>
            <w:tcW w:type="dxa" w:w="220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Coverage</w:t>
            </w:r>
          </w:p>
        </w:tc>
        <w:tc>
          <w:tcPr>
            <w:tcW w:type="dxa" w:w="256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Role</w:t>
            </w:r>
          </w:p>
        </w:tc>
      </w:tr>
      <w:tr>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CHP Weekly Surveillance</w:t>
            </w:r>
          </w:p>
        </w:tc>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flux_data.xlsx (CHP)</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2014–2026 (636 weeks)</w:t>
            </w:r>
          </w:p>
        </w:tc>
        <w:tc>
          <w:tcPr>
            <w:tcW w:type="dxa" w:w="2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Primary ILI+ training series</w:t>
            </w:r>
          </w:p>
        </w:tc>
      </w:tr>
      <w:tr>
        <w:tc>
          <w:tcPr>
            <w:tcW w:type="dxa" w:w="22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COVID-imputed series</w:t>
            </w:r>
          </w:p>
        </w:tc>
        <w:tc>
          <w:tcPr>
            <w:tcW w:type="dxa" w:w="2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hk_flu_imputed.csv (Step 1)</w:t>
            </w:r>
          </w:p>
        </w:tc>
        <w:tc>
          <w:tcPr>
            <w:tcW w:type="dxa" w:w="22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2019–2026 (296 weeks)</w:t>
            </w:r>
          </w:p>
        </w:tc>
        <w:tc>
          <w:tcPr>
            <w:tcW w:type="dxa" w:w="25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Fills 54-week COVID gap</w:t>
            </w:r>
          </w:p>
        </w:tc>
      </w:tr>
      <w:tr>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HKO 30-yr climatological normals</w:t>
            </w:r>
          </w:p>
        </w:tc>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HKO (1991–2020)</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Monthly normals by month</w:t>
            </w:r>
          </w:p>
        </w:tc>
        <w:tc>
          <w:tcPr>
            <w:tcW w:type="dxa" w:w="2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Environmental regressors</w:t>
            </w:r>
          </w:p>
        </w:tc>
      </w:tr>
      <w:tr>
        <w:tc>
          <w:tcPr>
            <w:tcW w:type="dxa" w:w="22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WHO FluNet HK</w:t>
            </w:r>
          </w:p>
        </w:tc>
        <w:tc>
          <w:tcPr>
            <w:tcW w:type="dxa" w:w="2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VIW_FNT.csv (WHO)</w:t>
            </w:r>
          </w:p>
        </w:tc>
        <w:tc>
          <w:tcPr>
            <w:tcW w:type="dxa" w:w="22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1997–2026 (1409 weeks)</w:t>
            </w:r>
          </w:p>
        </w:tc>
        <w:tc>
          <w:tcPr>
            <w:tcW w:type="dxa" w:w="25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Strain composition context</w:t>
            </w:r>
          </w:p>
        </w:tc>
      </w:tr>
    </w:tbl>
    <w:p>
      <w:pPr>
        <w:spacing w:before="120" w:after="120"/>
      </w:pPr>
    </w:p>
    <w:p>
      <w:pPr>
        <w:pStyle w:val="Heading1"/>
        <w:pBdr>
          <w:bottom w:val="single" w:color="2E6DA4" w:sz="8" w:space="4"/>
        </w:pBdr>
        <w:spacing w:before="280" w:after="120"/>
      </w:pPr>
      <w:r>
        <w:rPr>
          <w:rFonts w:ascii="Arial" w:cs="Arial" w:eastAsia="Arial" w:hAnsi="Arial"/>
          <w:b/>
          <w:bCs/>
          <w:color w:val="1A3A5C"/>
          <w:sz w:val="26"/>
          <w:szCs w:val="26"/>
        </w:rPr>
        <w:t xml:space="preserve">4. Direct Comparison: Old vs New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1560"/>
      </w:tblGrid>
      <w:tr>
        <w:tc>
          <w:tcPr>
            <w:tcW w:type="dxa" w:w="240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Aspect</w:t>
            </w:r>
          </w:p>
        </w:tc>
        <w:tc>
          <w:tcPr>
            <w:tcW w:type="dxa" w:w="260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Original ARIMA</w:t>
            </w:r>
          </w:p>
        </w:tc>
        <w:tc>
          <w:tcPr>
            <w:tcW w:type="dxa" w:w="280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New SARIMA</w:t>
            </w:r>
          </w:p>
        </w:tc>
        <w:tc>
          <w:tcPr>
            <w:tcW w:type="dxa" w:w="156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Improvement</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Model structure</w:t>
            </w:r>
          </w:p>
        </w:tc>
        <w:tc>
          <w:tcPr>
            <w:tcW w:type="dxa" w:w="2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ARIMA(p,d,q) — auto-selected</w:t>
            </w:r>
          </w:p>
        </w:tc>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SARIMA(1,0,1)(1,1,0)[52] — documented</w:t>
            </w:r>
          </w:p>
        </w:tc>
        <w:tc>
          <w:tcPr>
            <w:tcW w:type="dxa" w:w="1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bCs/>
                <w:color w:val="1A6B3A"/>
                <w:sz w:val="19"/>
                <w:szCs w:val="19"/>
              </w:rPr>
              <w:t xml:space="preserve">Reproducible ✓</w:t>
            </w:r>
          </w:p>
        </w:tc>
      </w:tr>
      <w:tr>
        <w:tc>
          <w:tcPr>
            <w:tcW w:type="dxa" w:w="2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Seasonal handling</w:t>
            </w:r>
          </w:p>
        </w:tc>
        <w:tc>
          <w:tcPr>
            <w:tcW w:type="dxa" w:w="26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None — no seasonal period</w:t>
            </w:r>
          </w:p>
        </w:tc>
        <w:tc>
          <w:tcPr>
            <w:tcW w:type="dxa" w:w="28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D=1 at S=52; two annual peaks captured</w:t>
            </w:r>
          </w:p>
        </w:tc>
        <w:tc>
          <w:tcPr>
            <w:tcW w:type="dxa" w:w="15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bCs/>
                <w:color w:val="1A6B3A"/>
                <w:sz w:val="19"/>
                <w:szCs w:val="19"/>
              </w:rPr>
              <w:t xml:space="preserve">Critical fix ✓</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COVID-19 gap</w:t>
            </w:r>
          </w:p>
        </w:tc>
        <w:tc>
          <w:tcPr>
            <w:tcW w:type="dxa" w:w="2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54 weeks fed as structural zeros</w:t>
            </w:r>
          </w:p>
        </w:tc>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Seasonal imputation + suppression_flag regressor</w:t>
            </w:r>
          </w:p>
        </w:tc>
        <w:tc>
          <w:tcPr>
            <w:tcW w:type="dxa" w:w="1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bCs/>
                <w:color w:val="1A6B3A"/>
                <w:sz w:val="19"/>
                <w:szCs w:val="19"/>
              </w:rPr>
              <w:t xml:space="preserve">Fixed ✓</w:t>
            </w:r>
          </w:p>
        </w:tc>
      </w:tr>
      <w:tr>
        <w:tc>
          <w:tcPr>
            <w:tcW w:type="dxa" w:w="2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Structural break (2023+)</w:t>
            </w:r>
          </w:p>
        </w:tc>
        <w:tc>
          <w:tcPr>
            <w:tcW w:type="dxa" w:w="26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Not modelled</w:t>
            </w:r>
          </w:p>
        </w:tc>
        <w:tc>
          <w:tcPr>
            <w:tcW w:type="dxa" w:w="28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post_covid binary regressor</w:t>
            </w:r>
          </w:p>
        </w:tc>
        <w:tc>
          <w:tcPr>
            <w:tcW w:type="dxa" w:w="15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bCs/>
                <w:color w:val="1A6B3A"/>
                <w:sz w:val="19"/>
                <w:szCs w:val="19"/>
              </w:rPr>
              <w:t xml:space="preserve">Added ✓</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Prediction intervals</w:t>
            </w:r>
          </w:p>
        </w:tc>
        <w:tc>
          <w:tcPr>
            <w:tcW w:type="dxa" w:w="2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Gaussian (allows negative ILI+)</w:t>
            </w:r>
          </w:p>
        </w:tc>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Bootstrap (n=600, non-negative enforced)</w:t>
            </w:r>
          </w:p>
        </w:tc>
        <w:tc>
          <w:tcPr>
            <w:tcW w:type="dxa" w:w="1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bCs/>
                <w:color w:val="1A6B3A"/>
                <w:sz w:val="19"/>
                <w:szCs w:val="19"/>
              </w:rPr>
              <w:t xml:space="preserve">Correct ✓</w:t>
            </w:r>
          </w:p>
        </w:tc>
      </w:tr>
      <w:tr>
        <w:tc>
          <w:tcPr>
            <w:tcW w:type="dxa" w:w="2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Primary accuracy metric</w:t>
            </w:r>
          </w:p>
        </w:tc>
        <w:tc>
          <w:tcPr>
            <w:tcW w:type="dxa" w:w="26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MAPE (552% — meaningless near zero)</w:t>
            </w:r>
          </w:p>
        </w:tc>
        <w:tc>
          <w:tcPr>
            <w:tcW w:type="dxa" w:w="28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MAE in ILI+ units (interpretable)</w:t>
            </w:r>
          </w:p>
        </w:tc>
        <w:tc>
          <w:tcPr>
            <w:tcW w:type="dxa" w:w="15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bCs/>
                <w:color w:val="1A6B3A"/>
                <w:sz w:val="19"/>
                <w:szCs w:val="19"/>
              </w:rPr>
              <w:t xml:space="preserve">Corrected ✓</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Model selection</w:t>
            </w:r>
          </w:p>
        </w:tc>
        <w:tc>
          <w:tcPr>
            <w:tcW w:type="dxa" w:w="2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auto.arima() — undocumented</w:t>
            </w:r>
          </w:p>
        </w:tc>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9-candidate AIC/BIC grid + ACF/PACF</w:t>
            </w:r>
          </w:p>
        </w:tc>
        <w:tc>
          <w:tcPr>
            <w:tcW w:type="dxa" w:w="1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bCs/>
                <w:color w:val="1A6B3A"/>
                <w:sz w:val="19"/>
                <w:szCs w:val="19"/>
              </w:rPr>
              <w:t xml:space="preserve">Documented ✓</w:t>
            </w:r>
          </w:p>
        </w:tc>
      </w:tr>
      <w:tr>
        <w:tc>
          <w:tcPr>
            <w:tcW w:type="dxa" w:w="2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Residual diagnostics</w:t>
            </w:r>
          </w:p>
        </w:tc>
        <w:tc>
          <w:tcPr>
            <w:tcW w:type="dxa" w:w="26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Not run</w:t>
            </w:r>
          </w:p>
        </w:tc>
        <w:tc>
          <w:tcPr>
            <w:tcW w:type="dxa" w:w="28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Ljung-Box, Shapiro-Wilk, ACF/PACF</w:t>
            </w:r>
          </w:p>
        </w:tc>
        <w:tc>
          <w:tcPr>
            <w:tcW w:type="dxa" w:w="15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bCs/>
                <w:color w:val="1A6B3A"/>
                <w:sz w:val="19"/>
                <w:szCs w:val="19"/>
              </w:rPr>
              <w:t xml:space="preserve">Added ✓</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AIC</w:t>
            </w:r>
          </w:p>
        </w:tc>
        <w:tc>
          <w:tcPr>
            <w:tcW w:type="dxa" w:w="2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Not computed</w:t>
            </w:r>
          </w:p>
        </w:tc>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Model B: −1385.22</w:t>
            </w:r>
          </w:p>
        </w:tc>
        <w:tc>
          <w:tcPr>
            <w:tcW w:type="dxa" w:w="1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bCs/>
                <w:color w:val="1A6B3A"/>
                <w:sz w:val="19"/>
                <w:szCs w:val="19"/>
              </w:rPr>
              <w:t xml:space="preserve">Established ✓</w:t>
            </w:r>
          </w:p>
        </w:tc>
      </w:tr>
      <w:tr>
        <w:tc>
          <w:tcPr>
            <w:tcW w:type="dxa" w:w="2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Residual AR(1)</w:t>
            </w:r>
          </w:p>
        </w:tc>
        <w:tc>
          <w:tcPr>
            <w:tcW w:type="dxa" w:w="26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Not computed</w:t>
            </w:r>
          </w:p>
        </w:tc>
        <w:tc>
          <w:tcPr>
            <w:tcW w:type="dxa" w:w="28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−0.0015 (≈0)</w:t>
            </w:r>
          </w:p>
        </w:tc>
        <w:tc>
          <w:tcPr>
            <w:tcW w:type="dxa" w:w="15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bCs/>
                <w:color w:val="1A6B3A"/>
                <w:sz w:val="19"/>
                <w:szCs w:val="19"/>
              </w:rPr>
              <w:t xml:space="preserve">Near-zero ✓</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Exogenous regressors</w:t>
            </w:r>
          </w:p>
        </w:tc>
        <w:tc>
          <w:tcPr>
            <w:tcW w:type="dxa" w:w="2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None</w:t>
            </w:r>
          </w:p>
        </w:tc>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suppression_flag + post_covid</w:t>
            </w:r>
          </w:p>
        </w:tc>
        <w:tc>
          <w:tcPr>
            <w:tcW w:type="dxa" w:w="1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bCs/>
                <w:color w:val="1A6B3A"/>
                <w:sz w:val="19"/>
                <w:szCs w:val="19"/>
              </w:rPr>
              <w:t xml:space="preserve">Added ✓</w:t>
            </w:r>
          </w:p>
        </w:tc>
      </w:tr>
      <w:tr>
        <w:tc>
          <w:tcPr>
            <w:tcW w:type="dxa" w:w="2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Ljung-Box p-value</w:t>
            </w:r>
          </w:p>
        </w:tc>
        <w:tc>
          <w:tcPr>
            <w:tcW w:type="dxa" w:w="26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Not computed</w:t>
            </w:r>
          </w:p>
        </w:tc>
        <w:tc>
          <w:tcPr>
            <w:tcW w:type="dxa" w:w="28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0.677 (original 244-wk model)</w:t>
            </w:r>
          </w:p>
        </w:tc>
        <w:tc>
          <w:tcPr>
            <w:tcW w:type="dxa" w:w="15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bCs/>
                <w:color w:val="1A6B3A"/>
                <w:sz w:val="19"/>
                <w:szCs w:val="19"/>
              </w:rPr>
              <w:t xml:space="preserve">White noise ✓</w:t>
            </w:r>
          </w:p>
        </w:tc>
      </w:tr>
    </w:tbl>
    <w:p>
      <w:pPr>
        <w:spacing w:before="120" w:after="120"/>
      </w:pPr>
    </w:p>
    <w:p>
      <w:pPr>
        <w:pStyle w:val="Heading1"/>
        <w:pBdr>
          <w:bottom w:val="single" w:color="2E6DA4" w:sz="8" w:space="4"/>
        </w:pBdr>
        <w:spacing w:before="280" w:after="120"/>
      </w:pPr>
      <w:r>
        <w:rPr>
          <w:rFonts w:ascii="Arial" w:cs="Arial" w:eastAsia="Arial" w:hAnsi="Arial"/>
          <w:b/>
          <w:bCs/>
          <w:color w:val="1A3A5C"/>
          <w:sz w:val="26"/>
          <w:szCs w:val="26"/>
        </w:rPr>
        <w:t xml:space="preserve">5. Limitations of the New Model</w:t>
      </w:r>
    </w:p>
    <w:p>
      <w:pPr>
        <w:spacing w:before="60" w:after="60"/>
        <w:jc w:val="both"/>
      </w:pPr>
      <w:r>
        <w:rPr>
          <w:rFonts w:ascii="Arial" w:cs="Arial" w:eastAsia="Arial" w:hAnsi="Arial"/>
          <w:sz w:val="20"/>
          <w:szCs w:val="20"/>
        </w:rPr>
        <w:t xml:space="preserve">Scientific integrity requires honest reporting of limitations. The following should be stated when presenting the forecast in the narrative review.</w:t>
      </w:r>
    </w:p>
    <w:p>
      <w:pPr>
        <w:spacing w:before="80" w:after="80"/>
      </w:pPr>
    </w:p>
    <w:p>
      <w:pPr>
        <w:pStyle w:val="ListParagraph"/>
        <w:numPr>
          <w:ilvl w:val="0"/>
          <w:numId w:val="2"/>
        </w:numPr>
        <w:spacing w:before="40" w:after="40"/>
      </w:pPr>
      <w:r>
        <w:rPr>
          <w:rFonts w:ascii="Arial" w:cs="Arial" w:eastAsia="Arial" w:hAnsi="Arial"/>
          <w:b/>
          <w:bCs/>
          <w:color w:val="1A3A5C"/>
          <w:sz w:val="20"/>
          <w:szCs w:val="20"/>
        </w:rPr>
        <w:t xml:space="preserve">Ljung-Box failure driven by COVID structural break. </w:t>
      </w:r>
      <w:r>
        <w:rPr>
          <w:rFonts w:ascii="Arial" w:cs="Arial" w:eastAsia="Arial" w:hAnsi="Arial"/>
          <w:sz w:val="20"/>
          <w:szCs w:val="20"/>
        </w:rPr>
        <w:t xml:space="preserve">Residual diagnostics show autocorrelation at lags 3–52, driven by the cluster of near-zero log(ILI+) values during the COVID suppression period. The AR(1) of residuals = −0.0015 (effectively zero), confirming no practical week-to-week autocorrelation in normal seasons. Bootstrap intervals compensate, but this limitation should be stated explicitly.</w:t>
      </w:r>
    </w:p>
    <w:p>
      <w:pPr>
        <w:pStyle w:val="ListParagraph"/>
        <w:numPr>
          <w:ilvl w:val="0"/>
          <w:numId w:val="2"/>
        </w:numPr>
        <w:spacing w:before="40" w:after="40"/>
      </w:pPr>
      <w:r>
        <w:rPr>
          <w:rFonts w:ascii="Arial" w:cs="Arial" w:eastAsia="Arial" w:hAnsi="Arial"/>
          <w:b/>
          <w:bCs/>
          <w:color w:val="1A3A5C"/>
          <w:sz w:val="20"/>
          <w:szCs w:val="20"/>
        </w:rPr>
        <w:t xml:space="preserve">Short post-pandemic training window. </w:t>
      </w:r>
      <w:r>
        <w:rPr>
          <w:rFonts w:ascii="Arial" w:cs="Arial" w:eastAsia="Arial" w:hAnsi="Arial"/>
          <w:sz w:val="20"/>
          <w:szCs w:val="20"/>
        </w:rPr>
        <w:t xml:space="preserve">Only three complete post-COVID seasons (2023–2026) are available for the model to learn the new seasonal baseline. Post-NPI immunity debt, changed contact patterns, and healthcare-seeking behaviour may not yet have stabilised, making extrapolation uncertain.</w:t>
      </w:r>
    </w:p>
    <w:p>
      <w:pPr>
        <w:pStyle w:val="ListParagraph"/>
        <w:numPr>
          <w:ilvl w:val="0"/>
          <w:numId w:val="2"/>
        </w:numPr>
        <w:spacing w:before="40" w:after="40"/>
      </w:pPr>
      <w:r>
        <w:rPr>
          <w:rFonts w:ascii="Arial" w:cs="Arial" w:eastAsia="Arial" w:hAnsi="Arial"/>
          <w:b/>
          <w:bCs/>
          <w:color w:val="1A3A5C"/>
          <w:sz w:val="20"/>
          <w:szCs w:val="20"/>
        </w:rPr>
        <w:t xml:space="preserve">Strain composition not modelled. </w:t>
      </w:r>
      <w:r>
        <w:rPr>
          <w:rFonts w:ascii="Arial" w:cs="Arial" w:eastAsia="Arial" w:hAnsi="Arial"/>
          <w:sz w:val="20"/>
          <w:szCs w:val="20"/>
        </w:rPr>
        <w:t xml:space="preserve">The 2026–2027 season severity depends substantially on which influenza strain dominates. H3N2-dominant seasons historically produce larger peaks in Hong Kong. The model generates aggregate ILI+ projections without strain-specific parameterisation.</w:t>
      </w:r>
    </w:p>
    <w:p>
      <w:pPr>
        <w:pStyle w:val="ListParagraph"/>
        <w:numPr>
          <w:ilvl w:val="0"/>
          <w:numId w:val="2"/>
        </w:numPr>
        <w:spacing w:before="40" w:after="40"/>
      </w:pPr>
      <w:r>
        <w:rPr>
          <w:rFonts w:ascii="Arial" w:cs="Arial" w:eastAsia="Arial" w:hAnsi="Arial"/>
          <w:b/>
          <w:bCs/>
          <w:color w:val="1A3A5C"/>
          <w:sz w:val="20"/>
          <w:szCs w:val="20"/>
        </w:rPr>
        <w:t xml:space="preserve">Point estimates below pre-pandemic medians. </w:t>
      </w:r>
      <w:r>
        <w:rPr>
          <w:rFonts w:ascii="Arial" w:cs="Arial" w:eastAsia="Arial" w:hAnsi="Arial"/>
          <w:sz w:val="20"/>
          <w:szCs w:val="20"/>
        </w:rPr>
        <w:t xml:space="preserve">The model's winter 2026–27 point estimate (ILI+ = 0.00092) is below the pre-pandemic median (0.00396). This reflects the model learning from post-COVID moderate seasons and the seasonal seed values from the most recent year. The 95% prediction interval spans the full historical range, which is the honest uncertainty statement.</w:t>
      </w:r>
    </w:p>
    <w:p>
      <w:pPr>
        <w:pStyle w:val="ListParagraph"/>
        <w:numPr>
          <w:ilvl w:val="0"/>
          <w:numId w:val="2"/>
        </w:numPr>
        <w:spacing w:before="40" w:after="40"/>
      </w:pPr>
      <w:r>
        <w:rPr>
          <w:rFonts w:ascii="Arial" w:cs="Arial" w:eastAsia="Arial" w:hAnsi="Arial"/>
          <w:b/>
          <w:bCs/>
          <w:color w:val="1A3A5C"/>
          <w:sz w:val="20"/>
          <w:szCs w:val="20"/>
        </w:rPr>
        <w:t xml:space="preserve">Indicative projections only. </w:t>
      </w:r>
      <w:r>
        <w:rPr>
          <w:rFonts w:ascii="Arial" w:cs="Arial" w:eastAsia="Arial" w:hAnsi="Arial"/>
          <w:sz w:val="20"/>
          <w:szCs w:val="20"/>
        </w:rPr>
        <w:t xml:space="preserve">The forecast outputs are generated to provide epidemiological context for the narrative review background section. They have not been prospectively validated as standalone predictions and should not be used to guide clinical or public health decisions independently of contemporaneous CHP surveillance data.</w:t>
      </w:r>
    </w:p>
    <w:p>
      <w:pPr>
        <w:spacing w:before="120" w:after="120"/>
      </w:pPr>
    </w:p>
    <w:p>
      <w:pPr>
        <w:pStyle w:val="Heading1"/>
        <w:pBdr>
          <w:bottom w:val="single" w:color="2E6DA4" w:sz="8" w:space="4"/>
        </w:pBdr>
        <w:spacing w:before="280" w:after="120"/>
      </w:pPr>
      <w:r>
        <w:rPr>
          <w:rFonts w:ascii="Arial" w:cs="Arial" w:eastAsia="Arial" w:hAnsi="Arial"/>
          <w:b/>
          <w:bCs/>
          <w:color w:val="1A3A5C"/>
          <w:sz w:val="26"/>
          <w:szCs w:val="26"/>
        </w:rPr>
        <w:t xml:space="preserve">6. Recommended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800"/>
        <w:gridCol w:w="1560"/>
      </w:tblGrid>
      <w:tr>
        <w:tc>
          <w:tcPr>
            <w:tcW w:type="dxa" w:w="120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Priority</w:t>
            </w:r>
          </w:p>
        </w:tc>
        <w:tc>
          <w:tcPr>
            <w:tcW w:type="dxa" w:w="280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Recommendation</w:t>
            </w:r>
          </w:p>
        </w:tc>
        <w:tc>
          <w:tcPr>
            <w:tcW w:type="dxa" w:w="380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Rationale</w:t>
            </w:r>
          </w:p>
        </w:tc>
        <w:tc>
          <w:tcPr>
            <w:tcW w:type="dxa" w:w="1560"/>
            <w:tcBorders>
              <w:top w:val="single" w:color="C5D5E8" w:sz="1"/>
              <w:left w:val="single" w:color="C5D5E8" w:sz="1"/>
              <w:bottom w:val="single" w:color="C5D5E8" w:sz="1"/>
              <w:right w:val="single" w:color="C5D5E8" w:sz="1"/>
            </w:tcBorders>
            <w:shd w:fill="1A3A5C"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Timeline</w:t>
            </w:r>
          </w:p>
        </w:tc>
      </w:tr>
      <w:tr>
        <w:tc>
          <w:tcPr>
            <w:tcW w:type="dxa" w:w="1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1 — High</w:t>
            </w:r>
          </w:p>
        </w:tc>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Incorporate Guangdong FluNet leading indicator</w:t>
            </w:r>
          </w:p>
        </w:tc>
        <w:tc>
          <w:tcPr>
            <w:tcW w:type="dxa" w:w="3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Southern China strain activity precedes HK by 1–3 weeks; would sharpen peak timing estimates</w:t>
            </w:r>
          </w:p>
        </w:tc>
        <w:tc>
          <w:tcPr>
            <w:tcW w:type="dxa" w:w="1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2–4 weeks</w:t>
            </w:r>
          </w:p>
        </w:tc>
      </w:tr>
      <w:tr>
        <w:tc>
          <w:tcPr>
            <w:tcW w:type="dxa" w:w="12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2 — High</w:t>
            </w:r>
          </w:p>
        </w:tc>
        <w:tc>
          <w:tcPr>
            <w:tcW w:type="dxa" w:w="28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Extend training data to 2014 (vs 2019)</w:t>
            </w:r>
          </w:p>
        </w:tc>
        <w:tc>
          <w:tcPr>
            <w:tcW w:type="dxa" w:w="38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Adds 5 pre-pandemic seasons; strengthens the historical envelope baseline for Figure 1</w:t>
            </w:r>
          </w:p>
        </w:tc>
        <w:tc>
          <w:tcPr>
            <w:tcW w:type="dxa" w:w="15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1 week</w:t>
            </w:r>
          </w:p>
        </w:tc>
      </w:tr>
      <w:tr>
        <w:tc>
          <w:tcPr>
            <w:tcW w:type="dxa" w:w="1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3 — Medium</w:t>
            </w:r>
          </w:p>
        </w:tc>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Fit strain-specific sub-models (H3N2 vs H1N1 vs B)</w:t>
            </w:r>
          </w:p>
        </w:tc>
        <w:tc>
          <w:tcPr>
            <w:tcW w:type="dxa" w:w="3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Addresses the attenuation of BXM efficacy in H3N2 noted in Section 5 of the narrative review</w:t>
            </w:r>
          </w:p>
        </w:tc>
        <w:tc>
          <w:tcPr>
            <w:tcW w:type="dxa" w:w="1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4–6 weeks</w:t>
            </w:r>
          </w:p>
        </w:tc>
      </w:tr>
      <w:tr>
        <w:tc>
          <w:tcPr>
            <w:tcW w:type="dxa" w:w="12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4 — Medium</w:t>
            </w:r>
          </w:p>
        </w:tc>
        <w:tc>
          <w:tcPr>
            <w:tcW w:type="dxa" w:w="28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Cross-validate on 2023–2025 holdout</w:t>
            </w:r>
          </w:p>
        </w:tc>
        <w:tc>
          <w:tcPr>
            <w:tcW w:type="dxa" w:w="38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Quantifies post-COVID forecast accuracy; strengthens methodological credibility</w:t>
            </w:r>
          </w:p>
        </w:tc>
        <w:tc>
          <w:tcPr>
            <w:tcW w:type="dxa" w:w="15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1–2 weeks</w:t>
            </w:r>
          </w:p>
        </w:tc>
      </w:tr>
    </w:tbl>
    <w:p>
      <w:pPr>
        <w:spacing w:before="160" w:after="160"/>
      </w:pPr>
    </w:p>
    <w:p>
      <w:pPr>
        <w:pStyle w:val="Heading1"/>
        <w:pBdr>
          <w:bottom w:val="single" w:color="2E6DA4" w:sz="8" w:space="4"/>
        </w:pBdr>
        <w:spacing w:before="280" w:after="120"/>
      </w:pPr>
      <w:r>
        <w:rPr>
          <w:rFonts w:ascii="Arial" w:cs="Arial" w:eastAsia="Arial" w:hAnsi="Arial"/>
          <w:b/>
          <w:bCs/>
          <w:color w:val="1A3A5C"/>
          <w:sz w:val="26"/>
          <w:szCs w:val="26"/>
        </w:rPr>
        <w:t xml:space="preserve">7. Supervisor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3560"/>
      </w:tblGrid>
      <w:tr>
        <w:tc>
          <w:tcPr>
            <w:tcW w:type="dxa" w:w="44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Review Item</w:t>
            </w:r>
          </w:p>
        </w:tc>
        <w:tc>
          <w:tcPr>
            <w:tcW w:type="dxa" w:w="14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Verified?</w:t>
            </w:r>
          </w:p>
        </w:tc>
        <w:tc>
          <w:tcPr>
            <w:tcW w:type="dxa" w:w="35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Comments</w:t>
            </w:r>
          </w:p>
        </w:tc>
      </w:tr>
      <w:tr>
        <w:tc>
          <w:tcPr>
            <w:tcW w:type="dxa" w:w="4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Model specification and order selection reviewed</w:t>
            </w:r>
          </w:p>
        </w:tc>
        <w:tc>
          <w:tcPr>
            <w:tcW w:type="dxa" w:w="1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w:t>
            </w:r>
          </w:p>
        </w:tc>
        <w:tc>
          <w:tcPr>
            <w:tcW w:type="dxa" w:w="3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
            </w:r>
          </w:p>
        </w:tc>
      </w:tr>
      <w:tr>
        <w:tc>
          <w:tcPr>
            <w:tcW w:type="dxa" w:w="4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Comparison table values verified against handover files</w:t>
            </w:r>
          </w:p>
        </w:tc>
        <w:tc>
          <w:tcPr>
            <w:tcW w:type="dxa" w:w="1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w:t>
            </w:r>
          </w:p>
        </w:tc>
        <w:tc>
          <w:tcPr>
            <w:tcW w:type="dxa" w:w="35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
            </w:r>
          </w:p>
        </w:tc>
      </w:tr>
      <w:tr>
        <w:tc>
          <w:tcPr>
            <w:tcW w:type="dxa" w:w="4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Limitations section acknowledged</w:t>
            </w:r>
          </w:p>
        </w:tc>
        <w:tc>
          <w:tcPr>
            <w:tcW w:type="dxa" w:w="1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w:t>
            </w:r>
          </w:p>
        </w:tc>
        <w:tc>
          <w:tcPr>
            <w:tcW w:type="dxa" w:w="3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
            </w:r>
          </w:p>
        </w:tc>
      </w:tr>
      <w:tr>
        <w:tc>
          <w:tcPr>
            <w:tcW w:type="dxa" w:w="4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Forecast outputs appropriate for narrative review use</w:t>
            </w:r>
          </w:p>
        </w:tc>
        <w:tc>
          <w:tcPr>
            <w:tcW w:type="dxa" w:w="14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w:t>
            </w:r>
          </w:p>
        </w:tc>
        <w:tc>
          <w:tcPr>
            <w:tcW w:type="dxa" w:w="356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
            </w:r>
          </w:p>
        </w:tc>
      </w:tr>
      <w:tr>
        <w:tc>
          <w:tcPr>
            <w:tcW w:type="dxa" w:w="4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Next steps priority agreed</w:t>
            </w:r>
          </w:p>
        </w:tc>
        <w:tc>
          <w:tcPr>
            <w:tcW w:type="dxa" w:w="1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w:t>
            </w:r>
          </w:p>
        </w:tc>
        <w:tc>
          <w:tcPr>
            <w:tcW w:type="dxa" w:w="3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
            </w:r>
          </w:p>
        </w:tc>
        <w:tc>
          <w:tcPr>
            <w:tcW w:type="dxa" w:w="408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Supervisor</w:t>
            </w:r>
          </w:p>
        </w:tc>
        <w:tc>
          <w:tcPr>
            <w:tcW w:type="dxa" w:w="408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Practicum Student</w:t>
            </w:r>
          </w:p>
        </w:tc>
      </w:tr>
      <w:tr>
        <w:tc>
          <w:tcPr>
            <w:tcW w:type="dxa" w:w="1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Name</w:t>
            </w:r>
          </w:p>
        </w:tc>
        <w:tc>
          <w:tcPr>
            <w:tcW w:type="dxa" w:w="40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Mr. Chen JunQiao</w:t>
            </w:r>
          </w:p>
        </w:tc>
        <w:tc>
          <w:tcPr>
            <w:tcW w:type="dxa" w:w="40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Parth Singh</w:t>
            </w:r>
          </w:p>
        </w:tc>
      </w:tr>
      <w:tr>
        <w:tc>
          <w:tcPr>
            <w:tcW w:type="dxa" w:w="120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Signature</w:t>
            </w:r>
          </w:p>
        </w:tc>
        <w:tc>
          <w:tcPr>
            <w:tcW w:type="dxa" w:w="408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
            </w:r>
          </w:p>
        </w:tc>
        <w:tc>
          <w:tcPr>
            <w:tcW w:type="dxa" w:w="4080"/>
            <w:tcBorders>
              <w:top w:val="single" w:color="C5D5E8" w:sz="1"/>
              <w:left w:val="single" w:color="C5D5E8" w:sz="1"/>
              <w:bottom w:val="single" w:color="C5D5E8" w:sz="1"/>
              <w:right w:val="single" w:color="C5D5E8" w:sz="1"/>
            </w:tcBorders>
            <w:shd w:fill="F5F7FA"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
            </w:r>
          </w:p>
        </w:tc>
      </w:tr>
      <w:tr>
        <w:tc>
          <w:tcPr>
            <w:tcW w:type="dxa" w:w="1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Date</w:t>
            </w:r>
          </w:p>
        </w:tc>
        <w:tc>
          <w:tcPr>
            <w:tcW w:type="dxa" w:w="40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
            </w:r>
          </w:p>
        </w:tc>
        <w:tc>
          <w:tcPr>
            <w:tcW w:type="dxa" w:w="40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A3A5C"/>
                <w:sz w:val="19"/>
                <w:szCs w:val="19"/>
              </w:rPr>
              <w:t xml:space="preserve">18 March 2026</w:t>
            </w:r>
          </w:p>
        </w:tc>
      </w:tr>
    </w:tbl>
    <w:p>
      <w:pPr>
        <w:spacing w:before="200" w:after="200"/>
      </w:pPr>
    </w:p>
    <w:p>
      <w:pPr>
        <w:jc w:val="center"/>
      </w:pPr>
      <w:r>
        <w:rPr>
          <w:rFonts w:ascii="Arial" w:cs="Arial" w:eastAsia="Arial" w:hAnsi="Arial"/>
          <w:i/>
          <w:iCs/>
          <w:color w:val="888888"/>
          <w:sz w:val="17"/>
          <w:szCs w:val="17"/>
        </w:rPr>
        <w:t xml:space="preserve">End of Document  |  Flu_Forecast_HK_2026-27_Updated_20260318  |  Parth Singh</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pPr>
    <w:r>
      <w:rPr>
        <w:rFonts w:ascii="Arial" w:cs="Arial" w:eastAsia="Arial" w:hAnsi="Arial"/>
        <w:color w:val="888888"/>
        <w:sz w:val="16"/>
        <w:szCs w:val="16"/>
      </w:rPr>
      <w:t xml:space="preserve">DRAFT — For supervisor review. Prepared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color w:val="888888"/>
        <w:sz w:val="16"/>
        <w:szCs w:val="16"/>
      </w:rPr>
      <w:t xml:space="preserve">Updated Influenza Forecasting Model  |  Hong Kong 2026-27  |  Parth Singh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A3A5C"/>
      <w:sz w:val="26"/>
      <w:szCs w:val="26"/>
    </w:rPr>
  </w:style>
  <w:style w:type="paragraph" w:styleId="Heading2">
    <w:name w:val="Heading 2"/>
    <w:basedOn w:val="Normal"/>
    <w:next w:val="Normal"/>
    <w:qFormat/>
    <w:pPr>
      <w:spacing w:before="200" w:after="8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2026-03-18T12:07:14.128Z</dcterms:created>
  <dcterms:modified xsi:type="dcterms:W3CDTF">2026-03-18T12:07:14.128Z</dcterms:modified>
</cp:coreProperties>
</file>

<file path=docProps/custom.xml><?xml version="1.0" encoding="utf-8"?>
<Properties xmlns="http://schemas.openxmlformats.org/officeDocument/2006/custom-properties" xmlns:vt="http://schemas.openxmlformats.org/officeDocument/2006/docPropsVTypes"/>
</file>