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aps/>
          <w:color w:val="2E86AB"/>
          <w:sz w:val="28"/>
          <w:szCs w:val="28"/>
        </w:rPr>
        <w:t xml:space="preserve">REVMATICS</w:t>
      </w:r>
    </w:p>
    <w:p>
      <w:pPr>
        <w:spacing w:after="160" w:before="0"/>
      </w:pPr>
      <w:r>
        <w:rPr>
          <w:rFonts w:ascii="Arial" w:cs="Arial" w:eastAsia="Arial" w:hAnsi="Arial"/>
          <w:b/>
          <w:bCs/>
          <w:color w:val="1E3A5F"/>
          <w:sz w:val="56"/>
          <w:szCs w:val="56"/>
        </w:rPr>
        <w:t xml:space="preserve">A/B &amp; Multivariate Testing Suite</w:t>
      </w:r>
    </w:p>
    <w:p>
      <w:pPr>
        <w:spacing w:after="400" w:before="0"/>
      </w:pPr>
      <w:r>
        <w:rPr>
          <w:rFonts w:ascii="Arial" w:cs="Arial" w:eastAsia="Arial" w:hAnsi="Arial"/>
          <w:color w:val="4A5568"/>
          <w:sz w:val="32"/>
          <w:szCs w:val="32"/>
        </w:rPr>
        <w:t xml:space="preserve">Product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8E4" w:sz="1"/>
              <w:left w:val="single" w:color="D0D8E4" w:sz="1"/>
              <w:bottom w:val="single" w:color="D0D8E4" w:sz="1"/>
              <w:right w:val="single" w:color="D0D8E4" w:sz="1"/>
            </w:tcBorders>
            <w:shd w:fill="E8F0F7" w:val="clear"/>
            <w:tcMar>
              <w:top w:type="dxa" w:w="120"/>
              <w:left w:type="dxa" w:w="160"/>
              <w:bottom w:type="dxa" w:w="120"/>
              <w:right w:type="dxa" w:w="160"/>
            </w:tcMar>
          </w:tcPr>
          <w:p>
            <w:r>
              <w:rPr>
                <w:rFonts w:ascii="Arial" w:cs="Arial" w:eastAsia="Arial" w:hAnsi="Arial"/>
                <w:b/>
                <w:bCs/>
                <w:caps/>
                <w:color w:val="1E3A5F"/>
                <w:sz w:val="18"/>
                <w:szCs w:val="18"/>
              </w:rPr>
              <w:t xml:space="preserve">Version</w:t>
            </w:r>
          </w:p>
          <w:p>
            <w:r>
              <w:rPr>
                <w:rFonts w:ascii="Arial" w:cs="Arial" w:eastAsia="Arial" w:hAnsi="Arial"/>
                <w:color w:val="1A1A2E"/>
                <w:sz w:val="22"/>
                <w:szCs w:val="22"/>
              </w:rPr>
              <w:t xml:space="preserve">1.0</w:t>
            </w:r>
          </w:p>
        </w:tc>
        <w:tc>
          <w:tcPr>
            <w:tcW w:type="dxa" w:w="2340"/>
            <w:tcBorders>
              <w:top w:val="single" w:color="D0D8E4" w:sz="1"/>
              <w:left w:val="single" w:color="D0D8E4" w:sz="1"/>
              <w:bottom w:val="single" w:color="D0D8E4" w:sz="1"/>
              <w:right w:val="single" w:color="D0D8E4" w:sz="1"/>
            </w:tcBorders>
            <w:shd w:fill="E8F0F7" w:val="clear"/>
            <w:tcMar>
              <w:top w:type="dxa" w:w="120"/>
              <w:left w:type="dxa" w:w="160"/>
              <w:bottom w:type="dxa" w:w="120"/>
              <w:right w:type="dxa" w:w="160"/>
            </w:tcMar>
          </w:tcPr>
          <w:p>
            <w:r>
              <w:rPr>
                <w:rFonts w:ascii="Arial" w:cs="Arial" w:eastAsia="Arial" w:hAnsi="Arial"/>
                <w:b/>
                <w:bCs/>
                <w:caps/>
                <w:color w:val="1E3A5F"/>
                <w:sz w:val="18"/>
                <w:szCs w:val="18"/>
              </w:rPr>
              <w:t xml:space="preserve">Date</w:t>
            </w:r>
          </w:p>
          <w:p>
            <w:r>
              <w:rPr>
                <w:rFonts w:ascii="Arial" w:cs="Arial" w:eastAsia="Arial" w:hAnsi="Arial"/>
                <w:color w:val="1A1A2E"/>
                <w:sz w:val="22"/>
                <w:szCs w:val="22"/>
              </w:rPr>
              <w:t xml:space="preserve">April 2026</w:t>
            </w:r>
          </w:p>
        </w:tc>
        <w:tc>
          <w:tcPr>
            <w:tcW w:type="dxa" w:w="2340"/>
            <w:tcBorders>
              <w:top w:val="single" w:color="D0D8E4" w:sz="1"/>
              <w:left w:val="single" w:color="D0D8E4" w:sz="1"/>
              <w:bottom w:val="single" w:color="D0D8E4" w:sz="1"/>
              <w:right w:val="single" w:color="D0D8E4" w:sz="1"/>
            </w:tcBorders>
            <w:shd w:fill="E8F0F7" w:val="clear"/>
            <w:tcMar>
              <w:top w:type="dxa" w:w="120"/>
              <w:left w:type="dxa" w:w="160"/>
              <w:bottom w:type="dxa" w:w="120"/>
              <w:right w:type="dxa" w:w="160"/>
            </w:tcMar>
          </w:tcPr>
          <w:p>
            <w:r>
              <w:rPr>
                <w:rFonts w:ascii="Arial" w:cs="Arial" w:eastAsia="Arial" w:hAnsi="Arial"/>
                <w:b/>
                <w:bCs/>
                <w:caps/>
                <w:color w:val="1E3A5F"/>
                <w:sz w:val="18"/>
                <w:szCs w:val="18"/>
              </w:rPr>
              <w:t xml:space="preserve">Status</w:t>
            </w:r>
          </w:p>
          <w:p>
            <w:r>
              <w:rPr>
                <w:rFonts w:ascii="Arial" w:cs="Arial" w:eastAsia="Arial" w:hAnsi="Arial"/>
                <w:color w:val="1A1A2E"/>
                <w:sz w:val="22"/>
                <w:szCs w:val="22"/>
              </w:rPr>
              <w:t xml:space="preserve">Draft</w:t>
            </w:r>
          </w:p>
        </w:tc>
        <w:tc>
          <w:tcPr>
            <w:tcW w:type="dxa" w:w="2340"/>
            <w:tcBorders>
              <w:top w:val="single" w:color="D0D8E4" w:sz="1"/>
              <w:left w:val="single" w:color="D0D8E4" w:sz="1"/>
              <w:bottom w:val="single" w:color="D0D8E4" w:sz="1"/>
              <w:right w:val="single" w:color="D0D8E4" w:sz="1"/>
            </w:tcBorders>
            <w:shd w:fill="E8F0F7" w:val="clear"/>
            <w:tcMar>
              <w:top w:type="dxa" w:w="120"/>
              <w:left w:type="dxa" w:w="160"/>
              <w:bottom w:type="dxa" w:w="120"/>
              <w:right w:type="dxa" w:w="160"/>
            </w:tcMar>
          </w:tcPr>
          <w:p>
            <w:r>
              <w:rPr>
                <w:rFonts w:ascii="Arial" w:cs="Arial" w:eastAsia="Arial" w:hAnsi="Arial"/>
                <w:b/>
                <w:bCs/>
                <w:caps/>
                <w:color w:val="1E3A5F"/>
                <w:sz w:val="18"/>
                <w:szCs w:val="18"/>
              </w:rPr>
              <w:t xml:space="preserve">Author</w:t>
            </w:r>
          </w:p>
          <w:p>
            <w:r>
              <w:rPr>
                <w:rFonts w:ascii="Arial" w:cs="Arial" w:eastAsia="Arial" w:hAnsi="Arial"/>
                <w:color w:val="1A1A2E"/>
                <w:sz w:val="22"/>
                <w:szCs w:val="22"/>
              </w:rPr>
              <w:t xml:space="preserve">Revmatics / Alex</w:t>
            </w:r>
          </w:p>
        </w:tc>
      </w:tr>
    </w:tbl>
    <w:p>
      <w:pPr>
        <w:spacing w:after="200" w:before="0"/>
      </w:pPr>
      <w:r>
        <w:t xml:space="preserve"/>
      </w:r>
    </w:p>
    <w:p>
      <w:r>
        <w:rPr>
          <w:rFonts w:ascii="Arial" w:cs="Arial" w:eastAsia="Arial" w:hAnsi="Arial"/>
          <w:i/>
          <w:iCs/>
          <w:color w:val="4A5568"/>
          <w:sz w:val="22"/>
          <w:szCs w:val="22"/>
        </w:rPr>
        <w:t xml:space="preserve">Scope: Activation of A/B Testing Suite (US-13 to US-16) for Shopify merchants running paid and digital campaigns across the Awareness, Differentiation, Conversion, and Loyalty funnel stages.</w:t>
      </w:r>
    </w:p>
    <w:p>
      <w:r>
        <w:br w:type="page"/>
      </w:r>
    </w:p>
    <w:p>
      <w:pPr>
        <w:pStyle w:val="Heading1"/>
        <w:pBdr>
          <w:bottom w:val="single" w:color="1E3A5F" w:sz="4" w:space="6"/>
        </w:pBdr>
        <w:spacing w:after="200" w:before="400"/>
      </w:pPr>
      <w:r>
        <w:rPr>
          <w:rFonts w:ascii="Arial" w:cs="Arial" w:eastAsia="Arial" w:hAnsi="Arial"/>
          <w:b/>
          <w:bCs/>
          <w:color w:val="1E3A5F"/>
          <w:sz w:val="36"/>
          <w:szCs w:val="36"/>
        </w:rPr>
        <w:t xml:space="preserve">1. Product Overview</w:t>
      </w:r>
    </w:p>
    <w:p>
      <w:pPr>
        <w:spacing w:after="100" w:before="80"/>
      </w:pPr>
      <w:r>
        <w:rPr>
          <w:rFonts w:ascii="Arial" w:cs="Arial" w:eastAsia="Arial" w:hAnsi="Arial"/>
          <w:color w:val="1A1A2E"/>
          <w:sz w:val="22"/>
          <w:szCs w:val="22"/>
        </w:rPr>
        <w:t xml:space="preserve">The Revmatics A/B &amp; Multivariate Testing Suite activates the experimentation layer that sits on top of the four fit-for-purpose landing pages already generated by the CRO system. Merchants running paid and digital campaigns can now create, run, and analyze experiments directly inside Revmatics — without touching code, switching tools, or hiring a CRO agency.</w:t>
      </w:r>
    </w:p>
    <w:p>
      <w:pPr>
        <w:spacing w:after="50" w:before="0"/>
      </w:pPr>
      <w:r>
        <w:t xml:space="preserve"/>
      </w:r>
    </w:p>
    <w:p>
      <w:pPr>
        <w:spacing w:after="100" w:before="80"/>
      </w:pPr>
      <w:r>
        <w:rPr>
          <w:rFonts w:ascii="Arial" w:cs="Arial" w:eastAsia="Arial" w:hAnsi="Arial"/>
          <w:color w:val="1A1A2E"/>
          <w:sz w:val="22"/>
          <w:szCs w:val="22"/>
        </w:rPr>
        <w:t xml:space="preserve">This is not a generic testing tool. Every decision in this PRD — from how traffic is allocated to how results are displayed — is shaped by the reality that Shopify merchants are running campaigns on Google, Meta, TikTok, and email. Traffic is volatile, budgets shift, and attribution is complex. The system is built to be honest about that.</w:t>
      </w:r>
    </w:p>
    <w:p>
      <w:pPr>
        <w:spacing w:after="50" w:before="0"/>
      </w:pPr>
      <w:r>
        <w:t xml:space="preserve"/>
      </w:r>
    </w:p>
    <w:p>
      <w:pPr>
        <w:pStyle w:val="Heading2"/>
        <w:spacing w:after="140" w:before="320"/>
      </w:pPr>
      <w:r>
        <w:rPr>
          <w:rFonts w:ascii="Arial" w:cs="Arial" w:eastAsia="Arial" w:hAnsi="Arial"/>
          <w:b/>
          <w:bCs/>
          <w:color w:val="1E3A5F"/>
          <w:sz w:val="28"/>
          <w:szCs w:val="28"/>
        </w:rPr>
        <w:t xml:space="preserve">1.1 What This Activates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User Story</w:t>
            </w:r>
          </w:p>
        </w:tc>
        <w:tc>
          <w:tcPr>
            <w:tcW w:type="dxa" w:w="786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What It Delivers</w:t>
            </w:r>
          </w:p>
        </w:tc>
      </w:tr>
      <w:tr>
        <w:tc>
          <w:tcPr>
            <w:tcW w:type="dxa" w:w="15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US-13</w:t>
            </w:r>
          </w:p>
        </w:tc>
        <w:tc>
          <w:tcPr>
            <w:tcW w:type="dxa" w:w="78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Experiment List — merchants view, filter, and manage all tests</w:t>
            </w:r>
          </w:p>
        </w:tc>
      </w:tr>
      <w:tr>
        <w:tc>
          <w:tcPr>
            <w:tcW w:type="dxa" w:w="15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US-14</w:t>
            </w:r>
          </w:p>
        </w:tc>
        <w:tc>
          <w:tcPr>
            <w:tcW w:type="dxa" w:w="78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Page Selection — pick which funnel stage page to test</w:t>
            </w:r>
          </w:p>
        </w:tc>
      </w:tr>
      <w:tr>
        <w:tc>
          <w:tcPr>
            <w:tcW w:type="dxa" w:w="15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US-15</w:t>
            </w:r>
          </w:p>
        </w:tc>
        <w:tc>
          <w:tcPr>
            <w:tcW w:type="dxa" w:w="78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Variant Setup — choose elements, see AI suggestions, configure test</w:t>
            </w:r>
          </w:p>
        </w:tc>
      </w:tr>
      <w:tr>
        <w:tc>
          <w:tcPr>
            <w:tcW w:type="dxa" w:w="15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US-16</w:t>
            </w:r>
          </w:p>
        </w:tc>
        <w:tc>
          <w:tcPr>
            <w:tcW w:type="dxa" w:w="78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Results &amp; Promotion — read results and promote the winning variant</w:t>
            </w:r>
          </w:p>
        </w:tc>
      </w:tr>
    </w:tbl>
    <w:p>
      <w:pPr>
        <w:spacing w:after="50" w:before="0"/>
      </w:pPr>
      <w:r>
        <w:t xml:space="preserve"/>
      </w:r>
    </w:p>
    <w:p>
      <w:pPr>
        <w:pStyle w:val="Heading2"/>
        <w:spacing w:after="140" w:before="320"/>
      </w:pPr>
      <w:r>
        <w:rPr>
          <w:rFonts w:ascii="Arial" w:cs="Arial" w:eastAsia="Arial" w:hAnsi="Arial"/>
          <w:b/>
          <w:bCs/>
          <w:color w:val="1E3A5F"/>
          <w:sz w:val="28"/>
          <w:szCs w:val="28"/>
        </w:rPr>
        <w:t xml:space="preserve">1.2 What This Is Not</w:t>
      </w:r>
    </w:p>
    <w:p>
      <w:pPr>
        <w:pStyle w:val="ListParagraph"/>
        <w:numPr>
          <w:ilvl w:val="0"/>
          <w:numId w:val="2"/>
        </w:numPr>
        <w:spacing w:after="60" w:before="60"/>
      </w:pPr>
      <w:r>
        <w:rPr>
          <w:rFonts w:ascii="Arial" w:cs="Arial" w:eastAsia="Arial" w:hAnsi="Arial"/>
          <w:color w:val="1A1A2E"/>
          <w:sz w:val="22"/>
          <w:szCs w:val="22"/>
        </w:rPr>
        <w:t xml:space="preserve">Not a full feature-flag experimentation platform (no server-side SDK, no codebase integration)</w:t>
      </w:r>
    </w:p>
    <w:p>
      <w:pPr>
        <w:pStyle w:val="ListParagraph"/>
        <w:numPr>
          <w:ilvl w:val="0"/>
          <w:numId w:val="2"/>
        </w:numPr>
        <w:spacing w:after="60" w:before="60"/>
      </w:pPr>
      <w:r>
        <w:rPr>
          <w:rFonts w:ascii="Arial" w:cs="Arial" w:eastAsia="Arial" w:hAnsi="Arial"/>
          <w:color w:val="1A1A2E"/>
          <w:sz w:val="22"/>
          <w:szCs w:val="22"/>
        </w:rPr>
        <w:t xml:space="preserve">Not a personalization engine</w:t>
      </w:r>
    </w:p>
    <w:p>
      <w:pPr>
        <w:pStyle w:val="ListParagraph"/>
        <w:numPr>
          <w:ilvl w:val="0"/>
          <w:numId w:val="2"/>
        </w:numPr>
        <w:spacing w:after="60" w:before="60"/>
      </w:pPr>
      <w:r>
        <w:rPr>
          <w:rFonts w:ascii="Arial" w:cs="Arial" w:eastAsia="Arial" w:hAnsi="Arial"/>
          <w:color w:val="1A1A2E"/>
          <w:sz w:val="22"/>
          <w:szCs w:val="22"/>
        </w:rPr>
        <w:t xml:space="preserve">Not a session recording or heatmap tool</w:t>
      </w:r>
    </w:p>
    <w:p>
      <w:pPr>
        <w:pStyle w:val="ListParagraph"/>
        <w:numPr>
          <w:ilvl w:val="0"/>
          <w:numId w:val="2"/>
        </w:numPr>
        <w:spacing w:after="60" w:before="60"/>
      </w:pPr>
      <w:r>
        <w:rPr>
          <w:rFonts w:ascii="Arial" w:cs="Arial" w:eastAsia="Arial" w:hAnsi="Arial"/>
          <w:color w:val="1A1A2E"/>
          <w:sz w:val="22"/>
          <w:szCs w:val="22"/>
        </w:rPr>
        <w:t xml:space="preserve">Not designed for product UI experiments — landing pages only</w:t>
      </w:r>
    </w:p>
    <w:p>
      <w:pPr>
        <w:spacing w:after="50" w:before="0"/>
      </w:pPr>
      <w:r>
        <w:t xml:space="preserve"/>
      </w:r>
    </w:p>
    <w:p>
      <w:pPr>
        <w:pStyle w:val="Heading2"/>
        <w:spacing w:after="140" w:before="320"/>
      </w:pPr>
      <w:r>
        <w:rPr>
          <w:rFonts w:ascii="Arial" w:cs="Arial" w:eastAsia="Arial" w:hAnsi="Arial"/>
          <w:b/>
          <w:bCs/>
          <w:color w:val="1E3A5F"/>
          <w:sz w:val="28"/>
          <w:szCs w:val="28"/>
        </w:rPr>
        <w:t xml:space="preserve">1.3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Principle</w:t>
            </w:r>
          </w:p>
        </w:tc>
        <w:tc>
          <w:tcPr>
            <w:tcW w:type="dxa" w:w="716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What It Means in Practice</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Paid-media first</w:t>
            </w:r>
          </w:p>
        </w:tc>
        <w:tc>
          <w:tcPr>
            <w:tcW w:type="dxa" w:w="71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Every metric, flow, and constraint is shaped by ad traffic realities — volatile distribution, UTM tracking, attribution complexity</w:t>
            </w:r>
          </w:p>
        </w:tc>
      </w:tr>
      <w:tr>
        <w:tc>
          <w:tcPr>
            <w:tcW w:type="dxa" w:w="22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Educate before asking</w:t>
            </w:r>
          </w:p>
        </w:tc>
        <w:tc>
          <w:tcPr>
            <w:tcW w:type="dxa" w:w="71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Merchants learn what a test is and why it matters before they configure one</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Smart over configurable</w:t>
            </w:r>
          </w:p>
        </w:tc>
        <w:tc>
          <w:tcPr>
            <w:tcW w:type="dxa" w:w="71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System recommends traffic splits and test duration; merchants can override</w:t>
            </w:r>
          </w:p>
        </w:tc>
      </w:tr>
      <w:tr>
        <w:tc>
          <w:tcPr>
            <w:tcW w:type="dxa" w:w="22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A/B by default, MVT by exception</w:t>
            </w:r>
          </w:p>
        </w:tc>
        <w:tc>
          <w:tcPr>
            <w:tcW w:type="dxa" w:w="71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A/B covers 90% of Shopify merchant needs; MVT is surfaced only when traffic volume justifies it</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Decisions over data</w:t>
            </w:r>
          </w:p>
        </w:tc>
        <w:tc>
          <w:tcPr>
            <w:tcW w:type="dxa" w:w="71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Results screens show a clear recommendation, not a dashboard of raw stats</w:t>
            </w:r>
          </w:p>
        </w:tc>
      </w:tr>
    </w:tbl>
    <w:p>
      <w:r>
        <w:br w:type="page"/>
      </w:r>
    </w:p>
    <w:p>
      <w:pPr>
        <w:pStyle w:val="Heading1"/>
        <w:pBdr>
          <w:bottom w:val="single" w:color="1E3A5F" w:sz="4" w:space="6"/>
        </w:pBdr>
        <w:spacing w:after="200" w:before="400"/>
      </w:pPr>
      <w:r>
        <w:rPr>
          <w:rFonts w:ascii="Arial" w:cs="Arial" w:eastAsia="Arial" w:hAnsi="Arial"/>
          <w:b/>
          <w:bCs/>
          <w:color w:val="1E3A5F"/>
          <w:sz w:val="36"/>
          <w:szCs w:val="36"/>
        </w:rPr>
        <w:t xml:space="preserve">2. Experiment Types &amp; Funnel Stage Mapping</w:t>
      </w:r>
    </w:p>
    <w:p>
      <w:pPr>
        <w:spacing w:after="100" w:before="80"/>
      </w:pPr>
      <w:r>
        <w:rPr>
          <w:rFonts w:ascii="Arial" w:cs="Arial" w:eastAsia="Arial" w:hAnsi="Arial"/>
          <w:color w:val="1A1A2E"/>
          <w:sz w:val="22"/>
          <w:szCs w:val="22"/>
        </w:rPr>
        <w:t xml:space="preserve">Not every test type is appropriate for every funnel stage. The system enforces this mapping — it does not surface MVT to a merchant whose Awareness page gets 2,000 visitors a month.</w:t>
      </w:r>
    </w:p>
    <w:p>
      <w:pPr>
        <w:spacing w:after="50" w:before="0"/>
      </w:pPr>
      <w:r>
        <w:t xml:space="preserve"/>
      </w:r>
    </w:p>
    <w:p>
      <w:pPr>
        <w:pStyle w:val="Heading2"/>
        <w:spacing w:after="140" w:before="320"/>
      </w:pPr>
      <w:r>
        <w:rPr>
          <w:rFonts w:ascii="Arial" w:cs="Arial" w:eastAsia="Arial" w:hAnsi="Arial"/>
          <w:b/>
          <w:bCs/>
          <w:color w:val="1E3A5F"/>
          <w:sz w:val="28"/>
          <w:szCs w:val="28"/>
        </w:rPr>
        <w:t xml:space="preserve">2.1 Test Type Definitions</w:t>
      </w:r>
    </w:p>
    <w:p>
      <w:pPr>
        <w:pStyle w:val="Heading3"/>
        <w:spacing w:after="100" w:before="240"/>
      </w:pPr>
      <w:r>
        <w:rPr>
          <w:rFonts w:ascii="Arial" w:cs="Arial" w:eastAsia="Arial" w:hAnsi="Arial"/>
          <w:b/>
          <w:bCs/>
          <w:color w:val="2E86AB"/>
          <w:sz w:val="24"/>
          <w:szCs w:val="24"/>
        </w:rPr>
        <w:t xml:space="preserve">A/B Test</w:t>
      </w:r>
    </w:p>
    <w:p>
      <w:pPr>
        <w:spacing w:after="100" w:before="80"/>
      </w:pPr>
      <w:r>
        <w:rPr>
          <w:rFonts w:ascii="Arial" w:cs="Arial" w:eastAsia="Arial" w:hAnsi="Arial"/>
          <w:color w:val="1A1A2E"/>
          <w:sz w:val="22"/>
          <w:szCs w:val="22"/>
        </w:rPr>
        <w:t xml:space="preserve">One control (A) against one variant (B). Traffic split is configurable — system recommends based on traffic volume. Minimum viable sample size calculated before launch. The right choice for 90% of Shopify merchants, 100% of the time on new pages.</w:t>
      </w:r>
    </w:p>
    <w:p>
      <w:pPr>
        <w:spacing w:after="30" w:before="0"/>
      </w:pPr>
      <w:r>
        <w:t xml:space="preserve"/>
      </w:r>
    </w:p>
    <w:p>
      <w:pPr>
        <w:pStyle w:val="Heading3"/>
        <w:spacing w:after="100" w:before="240"/>
      </w:pPr>
      <w:r>
        <w:rPr>
          <w:rFonts w:ascii="Arial" w:cs="Arial" w:eastAsia="Arial" w:hAnsi="Arial"/>
          <w:b/>
          <w:bCs/>
          <w:color w:val="2E86AB"/>
          <w:sz w:val="24"/>
          <w:szCs w:val="24"/>
        </w:rPr>
        <w:t xml:space="preserve">A/B/n Test</w:t>
      </w:r>
    </w:p>
    <w:p>
      <w:pPr>
        <w:spacing w:after="100" w:before="80"/>
      </w:pPr>
      <w:r>
        <w:rPr>
          <w:rFonts w:ascii="Arial" w:cs="Arial" w:eastAsia="Arial" w:hAnsi="Arial"/>
          <w:color w:val="1A1A2E"/>
          <w:sz w:val="22"/>
          <w:szCs w:val="22"/>
        </w:rPr>
        <w:t xml:space="preserve">One control against multiple variants (B, C, D...). Requires correction for multiple comparisons — system handles this automatically via Bonferroni correction. Surfaced only when a merchant selects 3+ variants. Requires at least 3x the sample size of a standard A/B test.</w:t>
      </w:r>
    </w:p>
    <w:p>
      <w:pPr>
        <w:spacing w:after="30" w:before="0"/>
      </w:pPr>
      <w:r>
        <w:t xml:space="preserve"/>
      </w:r>
    </w:p>
    <w:p>
      <w:pPr>
        <w:pStyle w:val="Heading3"/>
        <w:spacing w:after="100" w:before="240"/>
      </w:pPr>
      <w:r>
        <w:rPr>
          <w:rFonts w:ascii="Arial" w:cs="Arial" w:eastAsia="Arial" w:hAnsi="Arial"/>
          <w:b/>
          <w:bCs/>
          <w:color w:val="2E86AB"/>
          <w:sz w:val="24"/>
          <w:szCs w:val="24"/>
        </w:rPr>
        <w:t xml:space="preserve">Multivariate Test (MVT)</w:t>
      </w:r>
    </w:p>
    <w:p>
      <w:pPr>
        <w:spacing w:after="100" w:before="80"/>
      </w:pPr>
      <w:r>
        <w:rPr>
          <w:rFonts w:ascii="Arial" w:cs="Arial" w:eastAsia="Arial" w:hAnsi="Arial"/>
          <w:color w:val="1A1A2E"/>
          <w:sz w:val="22"/>
          <w:szCs w:val="22"/>
        </w:rPr>
        <w:t xml:space="preserve">Multiple elements tested simultaneously (e.g., 2 headlines x 2 images x 2 CTAs = 8 combinations). Unlocked only when estimated weekly traffic to the page exceeds 10,000 sessions. System displays a clear warning and recommendation before allowing MVT setup. Not available on Awareness or Loyalty pages at typical Shopify traffic levels.</w:t>
      </w:r>
    </w:p>
    <w:p>
      <w:pPr>
        <w:spacing w:after="50" w:before="0"/>
      </w:pPr>
      <w:r>
        <w:t xml:space="preserve"/>
      </w:r>
    </w:p>
    <w:p>
      <w:pPr>
        <w:pStyle w:val="Heading2"/>
        <w:spacing w:after="140" w:before="320"/>
      </w:pPr>
      <w:r>
        <w:rPr>
          <w:rFonts w:ascii="Arial" w:cs="Arial" w:eastAsia="Arial" w:hAnsi="Arial"/>
          <w:b/>
          <w:bCs/>
          <w:color w:val="1E3A5F"/>
          <w:sz w:val="28"/>
          <w:szCs w:val="28"/>
        </w:rPr>
        <w:t xml:space="preserve">2.2 Funnel Stage to Test Type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360"/>
        <w:gridCol w:w="1800"/>
      </w:tblGrid>
      <w:tr>
        <w:trPr>
          <w:tblHeader/>
        </w:trPr>
        <w:tc>
          <w:tcPr>
            <w:tcW w:type="dxa" w:w="1800"/>
            <w:tcBorders>
              <w:top w:val="single" w:color="D0D8E4" w:sz="1"/>
              <w:left w:val="single" w:color="D0D8E4" w:sz="1"/>
              <w:bottom w:val="single" w:color="D0D8E4" w:sz="1"/>
              <w:right w:val="single" w:color="D0D8E4"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Funnel Stage</w:t>
            </w:r>
          </w:p>
        </w:tc>
        <w:tc>
          <w:tcPr>
            <w:tcW w:type="dxa" w:w="1400"/>
            <w:tcBorders>
              <w:top w:val="single" w:color="D0D8E4" w:sz="1"/>
              <w:left w:val="single" w:color="D0D8E4" w:sz="1"/>
              <w:bottom w:val="single" w:color="D0D8E4" w:sz="1"/>
              <w:right w:val="single" w:color="D0D8E4"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Test Types</w:t>
            </w:r>
          </w:p>
        </w:tc>
        <w:tc>
          <w:tcPr>
            <w:tcW w:type="dxa" w:w="4360"/>
            <w:tcBorders>
              <w:top w:val="single" w:color="D0D8E4" w:sz="1"/>
              <w:left w:val="single" w:color="D0D8E4" w:sz="1"/>
              <w:bottom w:val="single" w:color="D0D8E4" w:sz="1"/>
              <w:right w:val="single" w:color="D0D8E4"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c>
          <w:tcPr>
            <w:tcW w:type="dxa" w:w="1800"/>
            <w:tcBorders>
              <w:top w:val="single" w:color="D0D8E4" w:sz="1"/>
              <w:left w:val="single" w:color="D0D8E4" w:sz="1"/>
              <w:bottom w:val="single" w:color="D0D8E4" w:sz="1"/>
              <w:right w:val="single" w:color="D0D8E4"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Testable Elements</w:t>
            </w:r>
          </w:p>
        </w:tc>
      </w:tr>
      <w:tr>
        <w:tc>
          <w:tcPr>
            <w:tcW w:type="dxa" w:w="18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Awareness</w:t>
            </w:r>
          </w:p>
        </w:tc>
        <w:tc>
          <w:tcPr>
            <w:tcW w:type="dxa" w:w="1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A/B only</w:t>
            </w:r>
          </w:p>
        </w:tc>
        <w:tc>
          <w:tcPr>
            <w:tcW w:type="dxa" w:w="4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Typically low traffic from cold audiences; test one element at a time — usually headline or hero image</w:t>
            </w:r>
          </w:p>
        </w:tc>
        <w:tc>
          <w:tcPr>
            <w:tcW w:type="dxa" w:w="18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Headline, Hero Image, Social Proof Block</w:t>
            </w:r>
          </w:p>
        </w:tc>
      </w:tr>
      <w:tr>
        <w:tc>
          <w:tcPr>
            <w:tcW w:type="dxa" w:w="18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1A1A2E"/>
                <w:sz w:val="18"/>
                <w:szCs w:val="18"/>
              </w:rPr>
              <w:t xml:space="preserve">Differentiation</w:t>
            </w:r>
          </w:p>
        </w:tc>
        <w:tc>
          <w:tcPr>
            <w:tcW w:type="dxa" w:w="14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A/B, A/B/n</w:t>
            </w:r>
          </w:p>
        </w:tc>
        <w:tc>
          <w:tcPr>
            <w:tcW w:type="dxa" w:w="43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Comparison-focused traffic from branded/competitor search; test offer framing and comparison structure</w:t>
            </w:r>
          </w:p>
        </w:tc>
        <w:tc>
          <w:tcPr>
            <w:tcW w:type="dxa" w:w="18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Comparison Table Layout, Value Proposition, Trust Badges</w:t>
            </w:r>
          </w:p>
        </w:tc>
      </w:tr>
      <w:tr>
        <w:tc>
          <w:tcPr>
            <w:tcW w:type="dxa" w:w="18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Conversion</w:t>
            </w:r>
          </w:p>
        </w:tc>
        <w:tc>
          <w:tcPr>
            <w:tcW w:type="dxa" w:w="1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A/B, A/B/n, MVT*</w:t>
            </w:r>
          </w:p>
        </w:tc>
        <w:tc>
          <w:tcPr>
            <w:tcW w:type="dxa" w:w="43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Highest-intent traffic; most optimizable page; MVT possible if retargeting volume is high</w:t>
            </w:r>
          </w:p>
        </w:tc>
        <w:tc>
          <w:tcPr>
            <w:tcW w:type="dxa" w:w="18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CTA Copy, Price Display, Urgency Elements, Form Fields</w:t>
            </w:r>
          </w:p>
        </w:tc>
      </w:tr>
      <w:tr>
        <w:tc>
          <w:tcPr>
            <w:tcW w:type="dxa" w:w="18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1A1A2E"/>
                <w:sz w:val="18"/>
                <w:szCs w:val="18"/>
              </w:rPr>
              <w:t xml:space="preserve">Loyalty</w:t>
            </w:r>
          </w:p>
        </w:tc>
        <w:tc>
          <w:tcPr>
            <w:tcW w:type="dxa" w:w="14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A/B only</w:t>
            </w:r>
          </w:p>
        </w:tc>
        <w:tc>
          <w:tcPr>
            <w:tcW w:type="dxa" w:w="43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Repeat buyers; small but high-value segment; keep tests simple</w:t>
            </w:r>
          </w:p>
        </w:tc>
        <w:tc>
          <w:tcPr>
            <w:tcW w:type="dxa" w:w="18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Loyalty Offer Headline, Re-engagement CTA, Reward Tier Display</w:t>
            </w:r>
          </w:p>
        </w:tc>
      </w:tr>
    </w:tbl>
    <w:p>
      <w:pPr>
        <w:spacing w:after="30" w:before="0"/>
      </w:pPr>
      <w:r>
        <w:t xml:space="preserve"/>
      </w:r>
    </w:p>
    <w:p>
      <w:pPr>
        <w:spacing w:after="100" w:before="60"/>
      </w:pPr>
      <w:r>
        <w:rPr>
          <w:rFonts w:ascii="Arial" w:cs="Arial" w:eastAsia="Arial" w:hAnsi="Arial"/>
          <w:i/>
          <w:iCs/>
          <w:color w:val="4A5568"/>
          <w:sz w:val="19"/>
          <w:szCs w:val="19"/>
        </w:rPr>
        <w:t xml:space="preserve">* MVT on Conversion pages requires estimated weekly traffic &gt; 10,000 sessions. System will calculate and enforce this threshold before unlocking MVT.</w:t>
      </w:r>
    </w:p>
    <w:p>
      <w:r>
        <w:br w:type="page"/>
      </w:r>
    </w:p>
    <w:p>
      <w:pPr>
        <w:pStyle w:val="Heading1"/>
        <w:pBdr>
          <w:bottom w:val="single" w:color="1E3A5F" w:sz="4" w:space="6"/>
        </w:pBdr>
        <w:spacing w:after="200" w:before="400"/>
      </w:pPr>
      <w:r>
        <w:rPr>
          <w:rFonts w:ascii="Arial" w:cs="Arial" w:eastAsia="Arial" w:hAnsi="Arial"/>
          <w:b/>
          <w:bCs/>
          <w:color w:val="1E3A5F"/>
          <w:sz w:val="36"/>
          <w:szCs w:val="36"/>
        </w:rPr>
        <w:t xml:space="preserve">3. Statistical Model</w:t>
      </w:r>
    </w:p>
    <w:p>
      <w:pPr>
        <w:pStyle w:val="Heading2"/>
        <w:spacing w:after="140" w:before="320"/>
      </w:pPr>
      <w:r>
        <w:rPr>
          <w:rFonts w:ascii="Arial" w:cs="Arial" w:eastAsia="Arial" w:hAnsi="Arial"/>
          <w:b/>
          <w:bCs/>
          <w:color w:val="1E3A5F"/>
          <w:sz w:val="28"/>
          <w:szCs w:val="28"/>
        </w:rPr>
        <w:t xml:space="preserve">3.1 Merchant Choice: Frequentist or Bayesian</w:t>
      </w:r>
    </w:p>
    <w:p>
      <w:pPr>
        <w:spacing w:after="100" w:before="80"/>
      </w:pPr>
      <w:r>
        <w:rPr>
          <w:rFonts w:ascii="Arial" w:cs="Arial" w:eastAsia="Arial" w:hAnsi="Arial"/>
          <w:color w:val="1A1A2E"/>
          <w:sz w:val="22"/>
          <w:szCs w:val="22"/>
        </w:rPr>
        <w:t xml:space="preserve">Merchants choose their statistical model once during experiment setup. The choice is explained in plain language — not stat jargon. The system default is Frequentist, with Bayesian presented as the recommended option for merchants who expect to check results more than once before the experiment ends.</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Model</w:t>
            </w:r>
          </w:p>
        </w:tc>
        <w:tc>
          <w:tcPr>
            <w:tcW w:type="dxa" w:w="756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How It Works &amp; When to Use It</w:t>
            </w:r>
          </w:p>
        </w:tc>
      </w:tr>
      <w:tr>
        <w:tc>
          <w:tcPr>
            <w:tcW w:type="dxa" w:w="18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Frequentist</w:t>
            </w:r>
          </w:p>
        </w:tc>
        <w:tc>
          <w:tcPr>
            <w:tcW w:type="dxa" w:w="75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Classic p-value approach. A result is declared significant when p &lt; 0.05 (95% confidence). Simple to explain: "We're 95% sure this variant is better." Risk: merchants who peek early may make wrong decisions.</w:t>
            </w:r>
          </w:p>
        </w:tc>
      </w:tr>
      <w:tr>
        <w:tc>
          <w:tcPr>
            <w:tcW w:type="dxa" w:w="18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Bayesian</w:t>
            </w:r>
          </w:p>
        </w:tc>
        <w:tc>
          <w:tcPr>
            <w:tcW w:type="dxa" w:w="75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Probability-based approach. Shows the probability that Variant B beats Control at any point in time. Safer for merchants who check daily. Produces a "Probability of Being Best" score rather than a p-value. System uses a Beta-Binomial model for conversion rate experiments.</w:t>
            </w:r>
          </w:p>
        </w:tc>
      </w:tr>
    </w:tbl>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67E22" w:val="clear"/>
            <w:tcMar>
              <w:top w:type="dxa" w:w="80"/>
              <w:left w:type="dxa" w:w="80"/>
              <w:bottom w:type="dxa" w:w="80"/>
              <w:right w:type="dxa" w:w="80"/>
            </w:tcMar>
          </w:tcPr>
          <w:p>
            <w:r>
              <w:t xml:space="preserve"/>
            </w:r>
          </w:p>
        </w:tc>
        <w:tc>
          <w:tcPr>
            <w:tcW w:type="dxa" w:w="9160"/>
            <w:tcBorders>
              <w:top w:val="none" w:color="FFFFFF" w:sz="0"/>
              <w:left w:val="single" w:color="E67E22" w:sz="6"/>
              <w:bottom w:val="none" w:color="FFFFFF" w:sz="0"/>
              <w:right w:val="none" w:color="FFFFFF" w:sz="0"/>
            </w:tcBorders>
            <w:shd w:fill="F5F7FA" w:val="clear"/>
            <w:tcMar>
              <w:top w:type="dxa" w:w="120"/>
              <w:left w:type="dxa" w:w="200"/>
              <w:bottom w:type="dxa" w:w="120"/>
              <w:right w:type="dxa" w:w="200"/>
            </w:tcMar>
          </w:tcPr>
          <w:p>
            <w:r>
              <w:rPr>
                <w:rFonts w:ascii="Arial" w:cs="Arial" w:eastAsia="Arial" w:hAnsi="Arial"/>
                <w:b/>
                <w:bCs/>
                <w:color w:val="E67E22"/>
                <w:sz w:val="22"/>
                <w:szCs w:val="22"/>
              </w:rPr>
              <w:t xml:space="preserve">Anti-Peeking Protection</w:t>
            </w:r>
          </w:p>
          <w:p>
            <w:r>
              <w:rPr>
                <w:rFonts w:ascii="Arial" w:cs="Arial" w:eastAsia="Arial" w:hAnsi="Arial"/>
                <w:color w:val="1A1A2E"/>
                <w:sz w:val="20"/>
                <w:szCs w:val="20"/>
              </w:rPr>
              <w:t xml:space="preserve">Regardless of statistical model, the Results screen shows a clear warning if a merchant views results before the minimum sample size is reached: "Your experiment needs more data to be reliable. Results shown below may change significantly." The Promote Winner button is disabled until the minimum threshold is met.</w:t>
            </w:r>
          </w:p>
        </w:tc>
      </w:tr>
    </w:tbl>
    <w:p>
      <w:pPr>
        <w:spacing w:after="50" w:before="0"/>
      </w:pPr>
      <w:r>
        <w:t xml:space="preserve"/>
      </w:r>
    </w:p>
    <w:p>
      <w:pPr>
        <w:pStyle w:val="Heading2"/>
        <w:spacing w:after="140" w:before="320"/>
      </w:pPr>
      <w:r>
        <w:rPr>
          <w:rFonts w:ascii="Arial" w:cs="Arial" w:eastAsia="Arial" w:hAnsi="Arial"/>
          <w:b/>
          <w:bCs/>
          <w:color w:val="1E3A5F"/>
          <w:sz w:val="28"/>
          <w:szCs w:val="28"/>
        </w:rPr>
        <w:t xml:space="preserve">3.2 Sample Size Calculation</w:t>
      </w:r>
    </w:p>
    <w:p>
      <w:pPr>
        <w:spacing w:after="100" w:before="80"/>
      </w:pPr>
      <w:r>
        <w:rPr>
          <w:rFonts w:ascii="Arial" w:cs="Arial" w:eastAsia="Arial" w:hAnsi="Arial"/>
          <w:color w:val="1A1A2E"/>
          <w:sz w:val="22"/>
          <w:szCs w:val="22"/>
        </w:rPr>
        <w:t xml:space="preserve">Before a test launches, the system calculates the required sample size using four inputs. Merchants do not need to understand these — the system explains the output in plain language (e.g., "You need ~4,200 visitors to detect a 10% improvement with 95% confidence").</w:t>
      </w:r>
    </w:p>
    <w:p>
      <w:pPr>
        <w:spacing w:after="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Input</w:t>
            </w:r>
          </w:p>
        </w:tc>
        <w:tc>
          <w:tcPr>
            <w:tcW w:type="dxa" w:w="676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How It Is Handled</w:t>
            </w:r>
          </w:p>
        </w:tc>
      </w:tr>
      <w:tr>
        <w:tc>
          <w:tcPr>
            <w:tcW w:type="dxa" w:w="26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Baseline Conversion Rate</w:t>
            </w:r>
          </w:p>
        </w:tc>
        <w:tc>
          <w:tcPr>
            <w:tcW w:type="dxa" w:w="67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Pulled from the page's existing conversion data (or estimated at 2.5% if no data exists)</w:t>
            </w:r>
          </w:p>
        </w:tc>
      </w:tr>
      <w:tr>
        <w:tc>
          <w:tcPr>
            <w:tcW w:type="dxa" w:w="26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Minimum Detectable Effect (MDE)</w:t>
            </w:r>
          </w:p>
        </w:tc>
        <w:tc>
          <w:tcPr>
            <w:tcW w:type="dxa" w:w="67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Defaulted to 10% relative improvement. Merchant can adjust via a simple slider (5%, 10%, 20%)</w:t>
            </w:r>
          </w:p>
        </w:tc>
      </w:tr>
      <w:tr>
        <w:tc>
          <w:tcPr>
            <w:tcW w:type="dxa" w:w="26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Significance Level (α)</w:t>
            </w:r>
          </w:p>
        </w:tc>
        <w:tc>
          <w:tcPr>
            <w:tcW w:type="dxa" w:w="67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Fixed at 0.05 (95% confidence) for Frequentist. Not exposed to merchant.</w:t>
            </w:r>
          </w:p>
        </w:tc>
      </w:tr>
      <w:tr>
        <w:tc>
          <w:tcPr>
            <w:tcW w:type="dxa" w:w="26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Statistical Power</w:t>
            </w:r>
          </w:p>
        </w:tc>
        <w:tc>
          <w:tcPr>
            <w:tcW w:type="dxa" w:w="67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Fixed at 80%. Not exposed to merchant.</w:t>
            </w:r>
          </w:p>
        </w:tc>
      </w:tr>
    </w:tbl>
    <w:p>
      <w:pPr>
        <w:spacing w:after="50" w:before="0"/>
      </w:pPr>
      <w:r>
        <w:t xml:space="preserve"/>
      </w:r>
    </w:p>
    <w:p>
      <w:pPr>
        <w:pStyle w:val="Heading2"/>
        <w:spacing w:after="140" w:before="320"/>
      </w:pPr>
      <w:r>
        <w:rPr>
          <w:rFonts w:ascii="Arial" w:cs="Arial" w:eastAsia="Arial" w:hAnsi="Arial"/>
          <w:b/>
          <w:bCs/>
          <w:color w:val="1E3A5F"/>
          <w:sz w:val="28"/>
          <w:szCs w:val="28"/>
        </w:rPr>
        <w:t xml:space="preserve">3.3 Traffic Auto-Split &amp; Duration Estimate</w:t>
      </w:r>
    </w:p>
    <w:p>
      <w:pPr>
        <w:spacing w:after="100" w:before="80"/>
      </w:pPr>
      <w:r>
        <w:rPr>
          <w:rFonts w:ascii="Arial" w:cs="Arial" w:eastAsia="Arial" w:hAnsi="Arial"/>
          <w:color w:val="1A1A2E"/>
          <w:sz w:val="22"/>
          <w:szCs w:val="22"/>
        </w:rPr>
        <w:t xml:space="preserve">The system recommends a traffic allocation and estimated test duration based on the page's current traffic volume. Merchants see this recommendation before confirming launch. They can override the split but not reduce it below a guardrail minimum.</w:t>
      </w:r>
    </w:p>
    <w:p>
      <w:pPr>
        <w:spacing w:after="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3760"/>
      </w:tblGrid>
      <w:tr>
        <w:trPr>
          <w:tblHeader/>
        </w:trPr>
        <w:tc>
          <w:tcPr>
            <w:tcW w:type="dxa" w:w="2200"/>
            <w:tcBorders>
              <w:top w:val="single" w:color="D0D8E4" w:sz="1"/>
              <w:left w:val="single" w:color="D0D8E4" w:sz="1"/>
              <w:bottom w:val="single" w:color="D0D8E4" w:sz="1"/>
              <w:right w:val="single" w:color="D0D8E4"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Weekly Traffic</w:t>
            </w:r>
          </w:p>
        </w:tc>
        <w:tc>
          <w:tcPr>
            <w:tcW w:type="dxa" w:w="1400"/>
            <w:tcBorders>
              <w:top w:val="single" w:color="D0D8E4" w:sz="1"/>
              <w:left w:val="single" w:color="D0D8E4" w:sz="1"/>
              <w:bottom w:val="single" w:color="D0D8E4" w:sz="1"/>
              <w:right w:val="single" w:color="D0D8E4"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Recommended Split</w:t>
            </w:r>
          </w:p>
        </w:tc>
        <w:tc>
          <w:tcPr>
            <w:tcW w:type="dxa" w:w="2000"/>
            <w:tcBorders>
              <w:top w:val="single" w:color="D0D8E4" w:sz="1"/>
              <w:left w:val="single" w:color="D0D8E4" w:sz="1"/>
              <w:bottom w:val="single" w:color="D0D8E4" w:sz="1"/>
              <w:right w:val="single" w:color="D0D8E4"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Estimated Duration</w:t>
            </w:r>
          </w:p>
        </w:tc>
        <w:tc>
          <w:tcPr>
            <w:tcW w:type="dxa" w:w="3760"/>
            <w:tcBorders>
              <w:top w:val="single" w:color="D0D8E4" w:sz="1"/>
              <w:left w:val="single" w:color="D0D8E4" w:sz="1"/>
              <w:bottom w:val="single" w:color="D0D8E4" w:sz="1"/>
              <w:right w:val="single" w:color="D0D8E4"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System Behavior</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&lt; 500 sessions/week</w:t>
            </w:r>
          </w:p>
        </w:tc>
        <w:tc>
          <w:tcPr>
            <w:tcW w:type="dxa" w:w="1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50/50</w:t>
            </w:r>
          </w:p>
        </w:tc>
        <w:tc>
          <w:tcPr>
            <w:tcW w:type="dxa" w:w="2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8–12 weeks</w:t>
            </w:r>
          </w:p>
        </w:tc>
        <w:tc>
          <w:tcPr>
            <w:tcW w:type="dxa" w:w="3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System warns: low traffic may produce inconclusive results</w:t>
            </w:r>
          </w:p>
        </w:tc>
      </w:tr>
      <w:tr>
        <w:tc>
          <w:tcPr>
            <w:tcW w:type="dxa" w:w="22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1A1A2E"/>
                <w:sz w:val="18"/>
                <w:szCs w:val="18"/>
              </w:rPr>
              <w:t xml:space="preserve">500–2,000 sessions/week</w:t>
            </w:r>
          </w:p>
        </w:tc>
        <w:tc>
          <w:tcPr>
            <w:tcW w:type="dxa" w:w="14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50/50</w:t>
            </w:r>
          </w:p>
        </w:tc>
        <w:tc>
          <w:tcPr>
            <w:tcW w:type="dxa" w:w="20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3–6 weeks</w:t>
            </w:r>
          </w:p>
        </w:tc>
        <w:tc>
          <w:tcPr>
            <w:tcW w:type="dxa" w:w="37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Standard recommended split</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2,000–10,000 sessions/week</w:t>
            </w:r>
          </w:p>
        </w:tc>
        <w:tc>
          <w:tcPr>
            <w:tcW w:type="dxa" w:w="14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50/50 or 80/20</w:t>
            </w:r>
          </w:p>
        </w:tc>
        <w:tc>
          <w:tcPr>
            <w:tcW w:type="dxa" w:w="2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1–3 weeks</w:t>
            </w:r>
          </w:p>
        </w:tc>
        <w:tc>
          <w:tcPr>
            <w:tcW w:type="dxa" w:w="3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80/20 available to reduce risk on Conversion pages</w:t>
            </w:r>
          </w:p>
        </w:tc>
      </w:tr>
      <w:tr>
        <w:tc>
          <w:tcPr>
            <w:tcW w:type="dxa" w:w="22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1A1A2E"/>
                <w:sz w:val="18"/>
                <w:szCs w:val="18"/>
              </w:rPr>
              <w:t xml:space="preserve">&gt; 10,000 sessions/week</w:t>
            </w:r>
          </w:p>
        </w:tc>
        <w:tc>
          <w:tcPr>
            <w:tcW w:type="dxa" w:w="14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Custom</w:t>
            </w:r>
          </w:p>
        </w:tc>
        <w:tc>
          <w:tcPr>
            <w:tcW w:type="dxa" w:w="20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&lt; 1 week possible</w:t>
            </w:r>
          </w:p>
        </w:tc>
        <w:tc>
          <w:tcPr>
            <w:tcW w:type="dxa" w:w="37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MVT unlocked; merchant can configure custom splits</w:t>
            </w:r>
          </w:p>
        </w:tc>
      </w:tr>
    </w:tbl>
    <w:p>
      <w:pPr>
        <w:spacing w:after="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67E22" w:val="clear"/>
            <w:tcMar>
              <w:top w:type="dxa" w:w="80"/>
              <w:left w:type="dxa" w:w="80"/>
              <w:bottom w:type="dxa" w:w="80"/>
              <w:right w:type="dxa" w:w="80"/>
            </w:tcMar>
          </w:tcPr>
          <w:p>
            <w:r>
              <w:t xml:space="preserve"/>
            </w:r>
          </w:p>
        </w:tc>
        <w:tc>
          <w:tcPr>
            <w:tcW w:type="dxa" w:w="9160"/>
            <w:tcBorders>
              <w:top w:val="none" w:color="FFFFFF" w:sz="0"/>
              <w:left w:val="single" w:color="E67E22" w:sz="6"/>
              <w:bottom w:val="none" w:color="FFFFFF" w:sz="0"/>
              <w:right w:val="none" w:color="FFFFFF" w:sz="0"/>
            </w:tcBorders>
            <w:shd w:fill="F5F7FA" w:val="clear"/>
            <w:tcMar>
              <w:top w:type="dxa" w:w="120"/>
              <w:left w:type="dxa" w:w="200"/>
              <w:bottom w:type="dxa" w:w="120"/>
              <w:right w:type="dxa" w:w="200"/>
            </w:tcMar>
          </w:tcPr>
          <w:p>
            <w:r>
              <w:rPr>
                <w:rFonts w:ascii="Arial" w:cs="Arial" w:eastAsia="Arial" w:hAnsi="Arial"/>
                <w:b/>
                <w:bCs/>
                <w:color w:val="E67E22"/>
                <w:sz w:val="22"/>
                <w:szCs w:val="22"/>
              </w:rPr>
              <w:t xml:space="preserve">Paid Media Warning</w:t>
            </w:r>
          </w:p>
          <w:p>
            <w:r>
              <w:rPr>
                <w:rFonts w:ascii="Arial" w:cs="Arial" w:eastAsia="Arial" w:hAnsi="Arial"/>
                <w:color w:val="1A1A2E"/>
                <w:sz w:val="20"/>
                <w:szCs w:val="20"/>
              </w:rPr>
              <w:t xml:space="preserve">If a merchant is sending ad traffic to the page being tested, the system displays this notice: "Changing your ad campaign budget, targeting, or creatives during this experiment will affect your results. We recommend keeping campaign settings stable for the duration of the test."</w:t>
            </w:r>
          </w:p>
        </w:tc>
      </w:tr>
    </w:tbl>
    <w:p>
      <w:r>
        <w:br w:type="page"/>
      </w:r>
    </w:p>
    <w:p>
      <w:pPr>
        <w:pStyle w:val="Heading1"/>
        <w:pBdr>
          <w:bottom w:val="single" w:color="1E3A5F" w:sz="4" w:space="6"/>
        </w:pBdr>
        <w:spacing w:after="200" w:before="400"/>
      </w:pPr>
      <w:r>
        <w:rPr>
          <w:rFonts w:ascii="Arial" w:cs="Arial" w:eastAsia="Arial" w:hAnsi="Arial"/>
          <w:b/>
          <w:bCs/>
          <w:color w:val="1E3A5F"/>
          <w:sz w:val="36"/>
          <w:szCs w:val="36"/>
        </w:rPr>
        <w:t xml:space="preserve">4. Metrics Framework</w:t>
      </w:r>
    </w:p>
    <w:p>
      <w:pPr>
        <w:spacing w:after="100" w:before="80"/>
      </w:pPr>
      <w:r>
        <w:rPr>
          <w:rFonts w:ascii="Arial" w:cs="Arial" w:eastAsia="Arial" w:hAnsi="Arial"/>
          <w:color w:val="1A1A2E"/>
          <w:sz w:val="22"/>
          <w:szCs w:val="22"/>
        </w:rPr>
        <w:t xml:space="preserve">Every experiment has exactly one primary metric, one or more secondary metrics, and at least one guardrail metric. Guardrail metrics cannot degrade — if they do, the system flags the experiment automatically.</w:t>
      </w:r>
    </w:p>
    <w:p>
      <w:pPr>
        <w:spacing w:after="50" w:before="0"/>
      </w:pPr>
      <w:r>
        <w:t xml:space="preserve"/>
      </w:r>
    </w:p>
    <w:p>
      <w:pPr>
        <w:pStyle w:val="Heading2"/>
        <w:spacing w:after="140" w:before="320"/>
      </w:pPr>
      <w:r>
        <w:rPr>
          <w:rFonts w:ascii="Arial" w:cs="Arial" w:eastAsia="Arial" w:hAnsi="Arial"/>
          <w:b/>
          <w:bCs/>
          <w:color w:val="1E3A5F"/>
          <w:sz w:val="28"/>
          <w:szCs w:val="28"/>
        </w:rPr>
        <w:t xml:space="preserve">4.1 Primary Metrics by Funnel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D0D8E4" w:sz="1"/>
              <w:left w:val="single" w:color="D0D8E4" w:sz="1"/>
              <w:bottom w:val="single" w:color="D0D8E4" w:sz="1"/>
              <w:right w:val="single" w:color="D0D8E4"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Funnel Stage</w:t>
            </w:r>
          </w:p>
        </w:tc>
        <w:tc>
          <w:tcPr>
            <w:tcW w:type="dxa" w:w="2200"/>
            <w:tcBorders>
              <w:top w:val="single" w:color="D0D8E4" w:sz="1"/>
              <w:left w:val="single" w:color="D0D8E4" w:sz="1"/>
              <w:bottom w:val="single" w:color="D0D8E4" w:sz="1"/>
              <w:right w:val="single" w:color="D0D8E4"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Primary Metric</w:t>
            </w:r>
          </w:p>
        </w:tc>
        <w:tc>
          <w:tcPr>
            <w:tcW w:type="dxa" w:w="2800"/>
            <w:tcBorders>
              <w:top w:val="single" w:color="D0D8E4" w:sz="1"/>
              <w:left w:val="single" w:color="D0D8E4" w:sz="1"/>
              <w:bottom w:val="single" w:color="D0D8E4" w:sz="1"/>
              <w:right w:val="single" w:color="D0D8E4"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Calculation</w:t>
            </w:r>
          </w:p>
        </w:tc>
        <w:tc>
          <w:tcPr>
            <w:tcW w:type="dxa" w:w="2560"/>
            <w:tcBorders>
              <w:top w:val="single" w:color="D0D8E4" w:sz="1"/>
              <w:left w:val="single" w:color="D0D8E4" w:sz="1"/>
              <w:bottom w:val="single" w:color="D0D8E4" w:sz="1"/>
              <w:right w:val="single" w:color="D0D8E4"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Aggregation</w:t>
            </w:r>
          </w:p>
        </w:tc>
      </w:tr>
      <w:tr>
        <w:tc>
          <w:tcPr>
            <w:tcW w:type="dxa" w:w="18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Awareness</w:t>
            </w:r>
          </w:p>
        </w:tc>
        <w:tc>
          <w:tcPr>
            <w:tcW w:type="dxa" w:w="2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Email / Lead Capture Rate</w:t>
            </w:r>
          </w:p>
        </w:tc>
        <w:tc>
          <w:tcPr>
            <w:tcW w:type="dxa" w:w="28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leads_captured / unique_visitors</w:t>
            </w:r>
          </w:p>
        </w:tc>
        <w:tc>
          <w:tcPr>
            <w:tcW w:type="dxa" w:w="25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User, 30-day window</w:t>
            </w:r>
          </w:p>
        </w:tc>
      </w:tr>
      <w:tr>
        <w:tc>
          <w:tcPr>
            <w:tcW w:type="dxa" w:w="18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1A1A2E"/>
                <w:sz w:val="18"/>
                <w:szCs w:val="18"/>
              </w:rPr>
              <w:t xml:space="preserve">Differentiation</w:t>
            </w:r>
          </w:p>
        </w:tc>
        <w:tc>
          <w:tcPr>
            <w:tcW w:type="dxa" w:w="22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Click-Through to Product / Cart</w:t>
            </w:r>
          </w:p>
        </w:tc>
        <w:tc>
          <w:tcPr>
            <w:tcW w:type="dxa" w:w="28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product_clicks / unique_visitors</w:t>
            </w:r>
          </w:p>
        </w:tc>
        <w:tc>
          <w:tcPr>
            <w:tcW w:type="dxa" w:w="25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Session, from landing to cart/PDP</w:t>
            </w:r>
          </w:p>
        </w:tc>
      </w:tr>
      <w:tr>
        <w:tc>
          <w:tcPr>
            <w:tcW w:type="dxa" w:w="18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Conversion</w:t>
            </w:r>
          </w:p>
        </w:tc>
        <w:tc>
          <w:tcPr>
            <w:tcW w:type="dxa" w:w="2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Purchase Conversion Rate (CVR)</w:t>
            </w:r>
          </w:p>
        </w:tc>
        <w:tc>
          <w:tcPr>
            <w:tcW w:type="dxa" w:w="28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completed_purchases / unique_visitors</w:t>
            </w:r>
          </w:p>
        </w:tc>
        <w:tc>
          <w:tcPr>
            <w:tcW w:type="dxa" w:w="25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User, 7-day attribution window</w:t>
            </w:r>
          </w:p>
        </w:tc>
      </w:tr>
      <w:tr>
        <w:tc>
          <w:tcPr>
            <w:tcW w:type="dxa" w:w="18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1A1A2E"/>
                <w:sz w:val="18"/>
                <w:szCs w:val="18"/>
              </w:rPr>
              <w:t xml:space="preserve">Loyalty</w:t>
            </w:r>
          </w:p>
        </w:tc>
        <w:tc>
          <w:tcPr>
            <w:tcW w:type="dxa" w:w="22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Repeat Purchase / Offer Claim Rate</w:t>
            </w:r>
          </w:p>
        </w:tc>
        <w:tc>
          <w:tcPr>
            <w:tcW w:type="dxa" w:w="28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offer_claimed / unique_returning_visitors</w:t>
            </w:r>
          </w:p>
        </w:tc>
        <w:tc>
          <w:tcPr>
            <w:tcW w:type="dxa" w:w="25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User, 14-day window</w:t>
            </w:r>
          </w:p>
        </w:tc>
      </w:tr>
    </w:tbl>
    <w:p>
      <w:pPr>
        <w:spacing w:after="50" w:before="0"/>
      </w:pPr>
      <w:r>
        <w:t xml:space="preserve"/>
      </w:r>
    </w:p>
    <w:p>
      <w:pPr>
        <w:pStyle w:val="Heading2"/>
        <w:spacing w:after="140" w:before="320"/>
      </w:pPr>
      <w:r>
        <w:rPr>
          <w:rFonts w:ascii="Arial" w:cs="Arial" w:eastAsia="Arial" w:hAnsi="Arial"/>
          <w:b/>
          <w:bCs/>
          <w:color w:val="1E3A5F"/>
          <w:sz w:val="28"/>
          <w:szCs w:val="28"/>
        </w:rPr>
        <w:t xml:space="preserve">4.2 Secondary Metrics (All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716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Definition &amp; Tracking</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Bounce Rate</w:t>
            </w:r>
          </w:p>
        </w:tc>
        <w:tc>
          <w:tcPr>
            <w:tcW w:type="dxa" w:w="71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Visitors who leave without any interaction / total visitors. Tracked per session.</w:t>
            </w:r>
          </w:p>
        </w:tc>
      </w:tr>
      <w:tr>
        <w:tc>
          <w:tcPr>
            <w:tcW w:type="dxa" w:w="22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Time on Page</w:t>
            </w:r>
          </w:p>
        </w:tc>
        <w:tc>
          <w:tcPr>
            <w:tcW w:type="dxa" w:w="71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Median time (seconds) before exit or conversion. Tracked per session.</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Scroll Depth</w:t>
            </w:r>
          </w:p>
        </w:tc>
        <w:tc>
          <w:tcPr>
            <w:tcW w:type="dxa" w:w="71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 of page scrolled before exit. Tracked at 25%, 50%, 75%, 100% thresholds.</w:t>
            </w:r>
          </w:p>
        </w:tc>
      </w:tr>
      <w:tr>
        <w:tc>
          <w:tcPr>
            <w:tcW w:type="dxa" w:w="22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Click Map Engagement</w:t>
            </w:r>
          </w:p>
        </w:tc>
        <w:tc>
          <w:tcPr>
            <w:tcW w:type="dxa" w:w="71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Clicks on key interactive elements (CTA, nav, product links). Tracked per element per session.</w:t>
            </w:r>
          </w:p>
        </w:tc>
      </w:tr>
    </w:tbl>
    <w:p>
      <w:pPr>
        <w:spacing w:after="50" w:before="0"/>
      </w:pPr>
      <w:r>
        <w:t xml:space="preserve"/>
      </w:r>
    </w:p>
    <w:p>
      <w:pPr>
        <w:pStyle w:val="Heading2"/>
        <w:spacing w:after="140" w:before="320"/>
      </w:pPr>
      <w:r>
        <w:rPr>
          <w:rFonts w:ascii="Arial" w:cs="Arial" w:eastAsia="Arial" w:hAnsi="Arial"/>
          <w:b/>
          <w:bCs/>
          <w:color w:val="1E3A5F"/>
          <w:sz w:val="28"/>
          <w:szCs w:val="28"/>
        </w:rPr>
        <w:t xml:space="preserve">4.3 Guardrail Metrics (All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Guardrail</w:t>
            </w:r>
          </w:p>
        </w:tc>
        <w:tc>
          <w:tcPr>
            <w:tcW w:type="dxa" w:w="676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Definition &amp; Threshold</w:t>
            </w:r>
          </w:p>
        </w:tc>
      </w:tr>
      <w:tr>
        <w:tc>
          <w:tcPr>
            <w:tcW w:type="dxa" w:w="26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Page Load Time</w:t>
            </w:r>
          </w:p>
        </w:tc>
        <w:tc>
          <w:tcPr>
            <w:tcW w:type="dxa" w:w="67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Must not increase by more than 200ms vs control. Measured at P75 (75th percentile load time). Sampled every 15 minutes.</w:t>
            </w:r>
          </w:p>
        </w:tc>
      </w:tr>
      <w:tr>
        <w:tc>
          <w:tcPr>
            <w:tcW w:type="dxa" w:w="26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Error Rate</w:t>
            </w:r>
          </w:p>
        </w:tc>
        <w:tc>
          <w:tcPr>
            <w:tcW w:type="dxa" w:w="67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JavaScript errors on the page must not exceed 1% of sessions. Monitored continuously.</w:t>
            </w:r>
          </w:p>
        </w:tc>
      </w:tr>
      <w:tr>
        <w:tc>
          <w:tcPr>
            <w:tcW w:type="dxa" w:w="26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Ad Quality Score (indirect)</w:t>
            </w:r>
          </w:p>
        </w:tc>
        <w:tc>
          <w:tcPr>
            <w:tcW w:type="dxa" w:w="67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Not directly measurable, but if CTR from ads drops &gt; 15% during experiment, system alerts merchant to investigate landing page relevance.</w:t>
            </w:r>
          </w:p>
        </w:tc>
      </w:tr>
    </w:tbl>
    <w:p>
      <w:pPr>
        <w:spacing w:after="50" w:before="0"/>
      </w:pPr>
      <w:r>
        <w:t xml:space="preserve"/>
      </w:r>
    </w:p>
    <w:p>
      <w:pPr>
        <w:pStyle w:val="Heading2"/>
        <w:spacing w:after="140" w:before="320"/>
      </w:pPr>
      <w:r>
        <w:rPr>
          <w:rFonts w:ascii="Arial" w:cs="Arial" w:eastAsia="Arial" w:hAnsi="Arial"/>
          <w:b/>
          <w:bCs/>
          <w:color w:val="1E3A5F"/>
          <w:sz w:val="28"/>
          <w:szCs w:val="28"/>
        </w:rPr>
        <w:t xml:space="preserve">4.4 Paid Media Metrics (When UTM Data Is Available)</w:t>
      </w:r>
    </w:p>
    <w:p>
      <w:pPr>
        <w:spacing w:after="100" w:before="80"/>
      </w:pPr>
      <w:r>
        <w:rPr>
          <w:rFonts w:ascii="Arial" w:cs="Arial" w:eastAsia="Arial" w:hAnsi="Arial"/>
          <w:color w:val="1A1A2E"/>
          <w:sz w:val="22"/>
          <w:szCs w:val="22"/>
        </w:rPr>
        <w:t xml:space="preserve">When a merchant has connected Google Ads or Meta Ads, the following metrics are computed per variant and broken down by traffic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716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Calculation</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Cost per Acquisition (CPA)</w:t>
            </w:r>
          </w:p>
        </w:tc>
        <w:tc>
          <w:tcPr>
            <w:tcW w:type="dxa" w:w="71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Total ad spend attributed to this page / conversions. Requires cost data from ad platform API.</w:t>
            </w:r>
          </w:p>
        </w:tc>
      </w:tr>
      <w:tr>
        <w:tc>
          <w:tcPr>
            <w:tcW w:type="dxa" w:w="22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Revenue per Visitor (RPV)</w:t>
            </w:r>
          </w:p>
        </w:tc>
        <w:tc>
          <w:tcPr>
            <w:tcW w:type="dxa" w:w="71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Total revenue from page visitors / unique visitors. Requires Shopify order data.</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Return on Ad Spend (ROAS)</w:t>
            </w:r>
          </w:p>
        </w:tc>
        <w:tc>
          <w:tcPr>
            <w:tcW w:type="dxa" w:w="71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Revenue attributed to ads / ad spend for this page. Requires both ad cost and Shopify revenue.</w:t>
            </w:r>
          </w:p>
        </w:tc>
      </w:tr>
    </w:tbl>
    <w:p>
      <w:pPr>
        <w:spacing w:after="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86AB" w:val="clear"/>
            <w:tcMar>
              <w:top w:type="dxa" w:w="80"/>
              <w:left w:type="dxa" w:w="80"/>
              <w:bottom w:type="dxa" w:w="80"/>
              <w:right w:type="dxa" w:w="80"/>
            </w:tcMar>
          </w:tcPr>
          <w:p>
            <w:r>
              <w:t xml:space="preserve"/>
            </w:r>
          </w:p>
        </w:tc>
        <w:tc>
          <w:tcPr>
            <w:tcW w:type="dxa" w:w="9160"/>
            <w:tcBorders>
              <w:top w:val="none" w:color="FFFFFF" w:sz="0"/>
              <w:left w:val="single" w:color="2E86AB" w:sz="6"/>
              <w:bottom w:val="none" w:color="FFFFFF" w:sz="0"/>
              <w:right w:val="none" w:color="FFFFFF" w:sz="0"/>
            </w:tcBorders>
            <w:shd w:fill="F5F7FA" w:val="clear"/>
            <w:tcMar>
              <w:top w:type="dxa" w:w="120"/>
              <w:left w:type="dxa" w:w="200"/>
              <w:bottom w:type="dxa" w:w="120"/>
              <w:right w:type="dxa" w:w="200"/>
            </w:tcMar>
          </w:tcPr>
          <w:p>
            <w:r>
              <w:rPr>
                <w:rFonts w:ascii="Arial" w:cs="Arial" w:eastAsia="Arial" w:hAnsi="Arial"/>
                <w:b/>
                <w:bCs/>
                <w:color w:val="2E86AB"/>
                <w:sz w:val="22"/>
                <w:szCs w:val="22"/>
              </w:rPr>
              <w:t xml:space="preserve">Attribution Model</w:t>
            </w:r>
          </w:p>
          <w:p>
            <w:r>
              <w:rPr>
                <w:rFonts w:ascii="Arial" w:cs="Arial" w:eastAsia="Arial" w:hAnsi="Arial"/>
                <w:color w:val="1A1A2E"/>
                <w:sz w:val="20"/>
                <w:szCs w:val="20"/>
              </w:rPr>
              <w:t xml:space="preserve">All paid media metrics use last-click attribution as the default. Merchants with GA4 connected can switch to data-driven attribution in Experiment Settings. First-click attribution is not supported in v1.0.</w:t>
            </w:r>
          </w:p>
        </w:tc>
      </w:tr>
    </w:tbl>
    <w:p>
      <w:r>
        <w:br w:type="page"/>
      </w:r>
    </w:p>
    <w:p>
      <w:pPr>
        <w:pStyle w:val="Heading1"/>
        <w:pBdr>
          <w:bottom w:val="single" w:color="1E3A5F" w:sz="4" w:space="6"/>
        </w:pBdr>
        <w:spacing w:after="200" w:before="400"/>
      </w:pPr>
      <w:r>
        <w:rPr>
          <w:rFonts w:ascii="Arial" w:cs="Arial" w:eastAsia="Arial" w:hAnsi="Arial"/>
          <w:b/>
          <w:bCs/>
          <w:color w:val="1E3A5F"/>
          <w:sz w:val="36"/>
          <w:szCs w:val="36"/>
        </w:rPr>
        <w:t xml:space="preserve">5. User Flows</w:t>
      </w:r>
    </w:p>
    <w:p>
      <w:pPr>
        <w:spacing w:after="100" w:before="80"/>
      </w:pPr>
      <w:r>
        <w:rPr>
          <w:rFonts w:ascii="Arial" w:cs="Arial" w:eastAsia="Arial" w:hAnsi="Arial"/>
          <w:color w:val="1A1A2E"/>
          <w:sz w:val="22"/>
          <w:szCs w:val="22"/>
        </w:rPr>
        <w:t xml:space="preserve">Three core flows make up the experimentation system. Each flow is designed to be completable in under 5 minutes by a merchant with no prior testing experience.</w:t>
      </w:r>
    </w:p>
    <w:p>
      <w:pPr>
        <w:spacing w:after="50" w:before="0"/>
      </w:pPr>
      <w:r>
        <w:t xml:space="preserve"/>
      </w:r>
    </w:p>
    <w:p>
      <w:pPr>
        <w:pStyle w:val="Heading2"/>
        <w:spacing w:after="140" w:before="320"/>
      </w:pPr>
      <w:r>
        <w:rPr>
          <w:rFonts w:ascii="Arial" w:cs="Arial" w:eastAsia="Arial" w:hAnsi="Arial"/>
          <w:b/>
          <w:bCs/>
          <w:color w:val="1E3A5F"/>
          <w:sz w:val="28"/>
          <w:szCs w:val="28"/>
        </w:rPr>
        <w:t xml:space="preserve">5.1 Experiment Creation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816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Action</w:t>
            </w:r>
          </w:p>
        </w:tc>
      </w:tr>
      <w:tr>
        <w:tc>
          <w:tcPr>
            <w:tcW w:type="dxa" w:w="12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Step 1</w:t>
            </w:r>
          </w:p>
        </w:tc>
        <w:tc>
          <w:tcPr>
            <w:tcW w:type="dxa" w:w="81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Merchant lands on Experiment List (US-13). Clicks 'Create New Experiment'.</w:t>
            </w:r>
          </w:p>
        </w:tc>
      </w:tr>
      <w:tr>
        <w:tc>
          <w:tcPr>
            <w:tcW w:type="dxa" w:w="12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Step 2</w:t>
            </w:r>
          </w:p>
        </w:tc>
        <w:tc>
          <w:tcPr>
            <w:tcW w:type="dxa" w:w="81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Page Selection screen (US-14). Merchant sees the four funnel stage pages with readiness scores and current traffic estimates. Selects one page.</w:t>
            </w:r>
          </w:p>
        </w:tc>
      </w:tr>
      <w:tr>
        <w:tc>
          <w:tcPr>
            <w:tcW w:type="dxa" w:w="12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Step 3</w:t>
            </w:r>
          </w:p>
        </w:tc>
        <w:tc>
          <w:tcPr>
            <w:tcW w:type="dxa" w:w="81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System checks traffic volume and displays: (a) recommended test type, (b) estimated test duration, (c) unlock status for MVT. Merchant confirms or adjusts.</w:t>
            </w:r>
          </w:p>
        </w:tc>
      </w:tr>
      <w:tr>
        <w:tc>
          <w:tcPr>
            <w:tcW w:type="dxa" w:w="12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Step 4</w:t>
            </w:r>
          </w:p>
        </w:tc>
        <w:tc>
          <w:tcPr>
            <w:tcW w:type="dxa" w:w="81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Hypothesis input. Merchant sees the hypothesis template pre-filled: 'If we change [element], then [metric] will improve because [reason].' Merchant completes it. Required field — cannot proceed without it.</w:t>
            </w:r>
          </w:p>
        </w:tc>
      </w:tr>
      <w:tr>
        <w:tc>
          <w:tcPr>
            <w:tcW w:type="dxa" w:w="12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Step 5</w:t>
            </w:r>
          </w:p>
        </w:tc>
        <w:tc>
          <w:tcPr>
            <w:tcW w:type="dxa" w:w="81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Variant Setup (US-15). Merchant selects elements to test. Impact badges (High/Medium/Low) guide selection. AI suggests 2–3 variant options per element. Merchant edits or uses suggestions.</w:t>
            </w:r>
          </w:p>
        </w:tc>
      </w:tr>
      <w:tr>
        <w:tc>
          <w:tcPr>
            <w:tcW w:type="dxa" w:w="12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Step 6</w:t>
            </w:r>
          </w:p>
        </w:tc>
        <w:tc>
          <w:tcPr>
            <w:tcW w:type="dxa" w:w="81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Statistical model selection. Merchant chooses Frequentist or Bayesian. System explains the choice in one sentence each.</w:t>
            </w:r>
          </w:p>
        </w:tc>
      </w:tr>
      <w:tr>
        <w:tc>
          <w:tcPr>
            <w:tcW w:type="dxa" w:w="12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Step 7</w:t>
            </w:r>
          </w:p>
        </w:tc>
        <w:tc>
          <w:tcPr>
            <w:tcW w:type="dxa" w:w="81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Traffic split confirmation. System shows recommendation with explanation. Merchant can override.</w:t>
            </w:r>
          </w:p>
        </w:tc>
      </w:tr>
      <w:tr>
        <w:tc>
          <w:tcPr>
            <w:tcW w:type="dxa" w:w="12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Step 8</w:t>
            </w:r>
          </w:p>
        </w:tc>
        <w:tc>
          <w:tcPr>
            <w:tcW w:type="dxa" w:w="81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Metrics confirmation. Primary metric is pre-selected based on funnel stage. Merchant can review guardrail metrics. No changes required to proceed.</w:t>
            </w:r>
          </w:p>
        </w:tc>
      </w:tr>
      <w:tr>
        <w:tc>
          <w:tcPr>
            <w:tcW w:type="dxa" w:w="12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Step 9</w:t>
            </w:r>
          </w:p>
        </w:tc>
        <w:tc>
          <w:tcPr>
            <w:tcW w:type="dxa" w:w="81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Launch confirmation screen. Summary of: page, hypothesis, variants, split, estimated duration, primary metric. 'Launch Experiment' CTA.</w:t>
            </w:r>
          </w:p>
        </w:tc>
      </w:tr>
    </w:tbl>
    <w:p>
      <w:pPr>
        <w:spacing w:after="50" w:before="0"/>
      </w:pPr>
      <w:r>
        <w:t xml:space="preserve"/>
      </w:r>
    </w:p>
    <w:p>
      <w:pPr>
        <w:pStyle w:val="Heading2"/>
        <w:spacing w:after="140" w:before="320"/>
      </w:pPr>
      <w:r>
        <w:rPr>
          <w:rFonts w:ascii="Arial" w:cs="Arial" w:eastAsia="Arial" w:hAnsi="Arial"/>
          <w:b/>
          <w:bCs/>
          <w:color w:val="1E3A5F"/>
          <w:sz w:val="28"/>
          <w:szCs w:val="28"/>
        </w:rPr>
        <w:t xml:space="preserve">5.2 Runtime Flow (System Behavior — Background)</w:t>
      </w:r>
    </w:p>
    <w:p>
      <w:pPr>
        <w:spacing w:after="100" w:before="80"/>
      </w:pPr>
      <w:r>
        <w:rPr>
          <w:rFonts w:ascii="Arial" w:cs="Arial" w:eastAsia="Arial" w:hAnsi="Arial"/>
          <w:color w:val="1A1A2E"/>
          <w:sz w:val="22"/>
          <w:szCs w:val="22"/>
        </w:rPr>
        <w:t xml:space="preserve">This flow describes what the system does once an experiment is live. Merchants do not interact with this directly — it is the technical behavior that enables valid results.</w:t>
      </w:r>
    </w:p>
    <w:p>
      <w:pPr>
        <w:spacing w:after="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Event</w:t>
            </w:r>
          </w:p>
        </w:tc>
        <w:tc>
          <w:tcPr>
            <w:tcW w:type="dxa" w:w="756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System Action</w:t>
            </w:r>
          </w:p>
        </w:tc>
      </w:tr>
      <w:tr>
        <w:tc>
          <w:tcPr>
            <w:tcW w:type="dxa" w:w="18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Visitor Arrives</w:t>
            </w:r>
          </w:p>
        </w:tc>
        <w:tc>
          <w:tcPr>
            <w:tcW w:type="dxa" w:w="75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Visitor clicks ad or link and lands on the experiment-enabled page.</w:t>
            </w:r>
          </w:p>
        </w:tc>
      </w:tr>
      <w:tr>
        <w:tc>
          <w:tcPr>
            <w:tcW w:type="dxa" w:w="18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UTM Capture</w:t>
            </w:r>
          </w:p>
        </w:tc>
        <w:tc>
          <w:tcPr>
            <w:tcW w:type="dxa" w:w="75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System immediately reads and stores UTM parameters (utm_source, utm_medium, utm_campaign, utm_content, utm_term) from the URL. These are stored with every subsequent event from this visitor.</w:t>
            </w:r>
          </w:p>
        </w:tc>
      </w:tr>
      <w:tr>
        <w:tc>
          <w:tcPr>
            <w:tcW w:type="dxa" w:w="18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Variant Assignment</w:t>
            </w:r>
          </w:p>
        </w:tc>
        <w:tc>
          <w:tcPr>
            <w:tcW w:type="dxa" w:w="75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System assigns visitor to Control or Variant using deterministic hashing on session ID. Same visitor always sees the same variant (sticky assignment).</w:t>
            </w:r>
          </w:p>
        </w:tc>
      </w:tr>
      <w:tr>
        <w:tc>
          <w:tcPr>
            <w:tcW w:type="dxa" w:w="18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Exposure Event</w:t>
            </w:r>
          </w:p>
        </w:tc>
        <w:tc>
          <w:tcPr>
            <w:tcW w:type="dxa" w:w="75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System logs an 'experiment_exposure' event with: experiment_id, variant_id, session_id, timestamp, UTM parameters, device type, geo.</w:t>
            </w:r>
          </w:p>
        </w:tc>
      </w:tr>
      <w:tr>
        <w:tc>
          <w:tcPr>
            <w:tcW w:type="dxa" w:w="18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Visitor Interacts</w:t>
            </w:r>
          </w:p>
        </w:tc>
        <w:tc>
          <w:tcPr>
            <w:tcW w:type="dxa" w:w="75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All configured tracking events fire (scroll depth, CTA clicks, form submissions, purchases).</w:t>
            </w:r>
          </w:p>
        </w:tc>
      </w:tr>
      <w:tr>
        <w:tc>
          <w:tcPr>
            <w:tcW w:type="dxa" w:w="18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Conversion Tracked</w:t>
            </w:r>
          </w:p>
        </w:tc>
        <w:tc>
          <w:tcPr>
            <w:tcW w:type="dxa" w:w="75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Conversion event logged with same session/user ID, enabling join to exposure event.</w:t>
            </w:r>
          </w:p>
        </w:tc>
      </w:tr>
      <w:tr>
        <w:tc>
          <w:tcPr>
            <w:tcW w:type="dxa" w:w="18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Metrics Aggregated</w:t>
            </w:r>
          </w:p>
        </w:tc>
        <w:tc>
          <w:tcPr>
            <w:tcW w:type="dxa" w:w="75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Metrics engine joins exposure events to conversion events. Computes per-variant rates. Runs statistical engine. Updates results dashboard.</w:t>
            </w:r>
          </w:p>
        </w:tc>
      </w:tr>
    </w:tbl>
    <w:p>
      <w:pPr>
        <w:spacing w:after="50" w:before="0"/>
      </w:pPr>
      <w:r>
        <w:t xml:space="preserve"/>
      </w:r>
    </w:p>
    <w:p>
      <w:pPr>
        <w:pStyle w:val="Heading2"/>
        <w:spacing w:after="140" w:before="320"/>
      </w:pPr>
      <w:r>
        <w:rPr>
          <w:rFonts w:ascii="Arial" w:cs="Arial" w:eastAsia="Arial" w:hAnsi="Arial"/>
          <w:b/>
          <w:bCs/>
          <w:color w:val="1E3A5F"/>
          <w:sz w:val="28"/>
          <w:szCs w:val="28"/>
        </w:rPr>
        <w:t xml:space="preserve">5.3 Results &amp; Promotion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816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Action</w:t>
            </w:r>
          </w:p>
        </w:tc>
      </w:tr>
      <w:tr>
        <w:tc>
          <w:tcPr>
            <w:tcW w:type="dxa" w:w="12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Step 1</w:t>
            </w:r>
          </w:p>
        </w:tc>
        <w:tc>
          <w:tcPr>
            <w:tcW w:type="dxa" w:w="81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Merchant navigates to running experiment from Experiment List. Sees current status: visitors per variant, conversions, conversion rate, lift vs control.</w:t>
            </w:r>
          </w:p>
        </w:tc>
      </w:tr>
      <w:tr>
        <w:tc>
          <w:tcPr>
            <w:tcW w:type="dxa" w:w="12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Step 2</w:t>
            </w:r>
          </w:p>
        </w:tc>
        <w:tc>
          <w:tcPr>
            <w:tcW w:type="dxa" w:w="81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If below minimum sample: warning banner shown, Promote Winner button disabled, results displayed with 'Preliminary — do not act yet' label.</w:t>
            </w:r>
          </w:p>
        </w:tc>
      </w:tr>
      <w:tr>
        <w:tc>
          <w:tcPr>
            <w:tcW w:type="dxa" w:w="12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Step 3</w:t>
            </w:r>
          </w:p>
        </w:tc>
        <w:tc>
          <w:tcPr>
            <w:tcW w:type="dxa" w:w="81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If minimum sample reached: statistical results shown. Frequentist: p-value and confidence level. Bayesian: probability that variant beats control.</w:t>
            </w:r>
          </w:p>
        </w:tc>
      </w:tr>
      <w:tr>
        <w:tc>
          <w:tcPr>
            <w:tcW w:type="dxa" w:w="12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Step 4</w:t>
            </w:r>
          </w:p>
        </w:tc>
        <w:tc>
          <w:tcPr>
            <w:tcW w:type="dxa" w:w="81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If result is significant (Frequentist: p &lt; 0.05 / Bayesian: probability &gt; 95%): system shows recommendation: 'Variant B appears to be the winner. We recommend promoting it.'</w:t>
            </w:r>
          </w:p>
        </w:tc>
      </w:tr>
      <w:tr>
        <w:tc>
          <w:tcPr>
            <w:tcW w:type="dxa" w:w="12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Step 5</w:t>
            </w:r>
          </w:p>
        </w:tc>
        <w:tc>
          <w:tcPr>
            <w:tcW w:type="dxa" w:w="81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Merchant clicks 'Promote Winner'. Confirmation modal: 'This will replace the current control with Variant B and stop the experiment. This cannot be undone.' Requires explicit confirmation.</w:t>
            </w:r>
          </w:p>
        </w:tc>
      </w:tr>
      <w:tr>
        <w:tc>
          <w:tcPr>
            <w:tcW w:type="dxa" w:w="12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Step 6</w:t>
            </w:r>
          </w:p>
        </w:tc>
        <w:tc>
          <w:tcPr>
            <w:tcW w:type="dxa" w:w="81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Winning variant replaces control on the live page. Experiment status updates to 'Completed'. Historical results preserved.</w:t>
            </w:r>
          </w:p>
        </w:tc>
      </w:tr>
      <w:tr>
        <w:tc>
          <w:tcPr>
            <w:tcW w:type="dxa" w:w="12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Step 7</w:t>
            </w:r>
          </w:p>
        </w:tc>
        <w:tc>
          <w:tcPr>
            <w:tcW w:type="dxa" w:w="81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System suggests next test: 'Your [page name] page has [X] other high-impact elements to test. Want to run another experiment?'</w:t>
            </w:r>
          </w:p>
        </w:tc>
      </w:tr>
    </w:tbl>
    <w:p>
      <w:r>
        <w:br w:type="page"/>
      </w:r>
    </w:p>
    <w:p>
      <w:pPr>
        <w:pStyle w:val="Heading1"/>
        <w:pBdr>
          <w:bottom w:val="single" w:color="1E3A5F" w:sz="4" w:space="6"/>
        </w:pBdr>
        <w:spacing w:after="200" w:before="400"/>
      </w:pPr>
      <w:r>
        <w:rPr>
          <w:rFonts w:ascii="Arial" w:cs="Arial" w:eastAsia="Arial" w:hAnsi="Arial"/>
          <w:b/>
          <w:bCs/>
          <w:color w:val="1E3A5F"/>
          <w:sz w:val="36"/>
          <w:szCs w:val="36"/>
        </w:rPr>
        <w:t xml:space="preserve">6. User Stories &amp; Acceptance Criteria</w:t>
      </w:r>
    </w:p>
    <w:p>
      <w:pPr>
        <w:spacing w:after="100" w:before="80"/>
      </w:pPr>
      <w:r>
        <w:rPr>
          <w:rFonts w:ascii="Arial" w:cs="Arial" w:eastAsia="Arial" w:hAnsi="Arial"/>
          <w:color w:val="1A1A2E"/>
          <w:sz w:val="22"/>
          <w:szCs w:val="22"/>
        </w:rPr>
        <w:t xml:space="preserve">These user stories activate and replace the placeholder US-13 to US-16 entries in PRD v3.1. Each story is written for a Shopify merchant with no experimentation background.</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vAlign w:val="center"/>
          </w:tcPr>
          <w:p>
            <w:r>
              <w:rPr>
                <w:rFonts w:ascii="Arial" w:cs="Arial" w:eastAsia="Arial" w:hAnsi="Arial"/>
                <w:b/>
                <w:bCs/>
                <w:color w:val="FFFFFF"/>
                <w:sz w:val="22"/>
                <w:szCs w:val="22"/>
              </w:rPr>
              <w:t xml:space="preserve">US-13</w:t>
            </w:r>
          </w:p>
        </w:tc>
        <w:tc>
          <w:tcPr>
            <w:tcW w:type="dxa" w:w="8160"/>
            <w:tcBorders>
              <w:top w:val="single" w:color="D0D8E4" w:sz="1"/>
              <w:left w:val="single" w:color="D0D8E4" w:sz="1"/>
              <w:bottom w:val="single" w:color="D0D8E4" w:sz="1"/>
              <w:right w:val="single" w:color="D0D8E4" w:sz="1"/>
            </w:tcBorders>
            <w:shd w:fill="E8F0F7" w:val="clear"/>
            <w:tcMar>
              <w:top w:type="dxa" w:w="100"/>
              <w:left w:type="dxa" w:w="160"/>
              <w:bottom w:type="dxa" w:w="100"/>
              <w:right w:type="dxa" w:w="160"/>
            </w:tcMar>
          </w:tcPr>
          <w:p>
            <w:r>
              <w:rPr>
                <w:rFonts w:ascii="Arial" w:cs="Arial" w:eastAsia="Arial" w:hAnsi="Arial"/>
                <w:b/>
                <w:bCs/>
                <w:color w:val="1E3A5F"/>
                <w:sz w:val="24"/>
                <w:szCs w:val="24"/>
              </w:rPr>
              <w:t xml:space="preserve">Experiment 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4A5568"/>
                <w:sz w:val="20"/>
                <w:szCs w:val="20"/>
              </w:rPr>
              <w:t xml:space="preserve">As a...</w:t>
            </w:r>
          </w:p>
        </w:tc>
        <w:tc>
          <w:tcPr>
            <w:tcW w:type="dxa" w:w="78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Shopify merchant running paid campaigns</w:t>
            </w:r>
          </w:p>
        </w:tc>
      </w:tr>
      <w:tr>
        <w:tc>
          <w:tcPr>
            <w:tcW w:type="dxa" w:w="15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4A5568"/>
                <w:sz w:val="20"/>
                <w:szCs w:val="20"/>
              </w:rPr>
              <w:t xml:space="preserve">I want to...</w:t>
            </w:r>
          </w:p>
        </w:tc>
        <w:tc>
          <w:tcPr>
            <w:tcW w:type="dxa" w:w="78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see all my experiments in one place so I can track what's running, what's finished, and what the outcomes were</w:t>
            </w:r>
          </w:p>
        </w:tc>
      </w:tr>
      <w:tr>
        <w:tc>
          <w:tcPr>
            <w:tcW w:type="dxa" w:w="15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4A5568"/>
                <w:sz w:val="20"/>
                <w:szCs w:val="20"/>
              </w:rPr>
              <w:t xml:space="preserve">So that...</w:t>
            </w:r>
          </w:p>
        </w:tc>
        <w:tc>
          <w:tcPr>
            <w:tcW w:type="dxa" w:w="78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 can manage my testing programme without losing track of what I've already tested</w:t>
            </w:r>
          </w:p>
        </w:tc>
      </w:tr>
    </w:tbl>
    <w:p>
      <w:pPr>
        <w:spacing w:after="50" w:before="0"/>
      </w:pPr>
      <w:r>
        <w:t xml:space="preserve"/>
      </w:r>
    </w:p>
    <w:p>
      <w:pPr>
        <w:spacing w:after="60" w:before="80"/>
      </w:pPr>
      <w:r>
        <w:rPr>
          <w:rFonts w:ascii="Arial" w:cs="Arial" w:eastAsia="Arial" w:hAnsi="Arial"/>
          <w:b/>
          <w:bCs/>
          <w:caps/>
          <w:color w:val="1E3A5F"/>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86AB"/>
                <w:sz w:val="18"/>
                <w:szCs w:val="18"/>
              </w:rPr>
              <w:t xml:space="preserve">AC-01</w:t>
            </w:r>
          </w:p>
        </w:tc>
        <w:tc>
          <w:tcPr>
            <w:tcW w:type="dxa" w:w="8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Table displays all experiments with columns: Experiment Name, Page (funnel stage badge), Test Type (A/B / A/B/n / MVT), Status (Running / Paused / Completed / Draft), Conversion Rate (Control vs Variant), Lift, Last Modified.</w:t>
            </w:r>
          </w:p>
        </w:tc>
      </w:tr>
      <w:tr>
        <w:tc>
          <w:tcPr>
            <w:tcW w:type="dxa" w:w="6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86AB"/>
                <w:sz w:val="18"/>
                <w:szCs w:val="18"/>
              </w:rPr>
              <w:t xml:space="preserve">AC-02</w:t>
            </w:r>
          </w:p>
        </w:tc>
        <w:tc>
          <w:tcPr>
            <w:tcW w:type="dxa" w:w="87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Status badges are color-coded: Running = green, Paused = amber, Completed = blue, Draft = gray.</w:t>
            </w:r>
          </w:p>
        </w:tc>
      </w:tr>
      <w:tr>
        <w:tc>
          <w:tcPr>
            <w:tcW w:type="dxa" w:w="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86AB"/>
                <w:sz w:val="18"/>
                <w:szCs w:val="18"/>
              </w:rPr>
              <w:t xml:space="preserve">AC-03</w:t>
            </w:r>
          </w:p>
        </w:tc>
        <w:tc>
          <w:tcPr>
            <w:tcW w:type="dxa" w:w="8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Search field filters experiments by name in real time.</w:t>
            </w:r>
          </w:p>
        </w:tc>
      </w:tr>
      <w:tr>
        <w:tc>
          <w:tcPr>
            <w:tcW w:type="dxa" w:w="6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86AB"/>
                <w:sz w:val="18"/>
                <w:szCs w:val="18"/>
              </w:rPr>
              <w:t xml:space="preserve">AC-04</w:t>
            </w:r>
          </w:p>
        </w:tc>
        <w:tc>
          <w:tcPr>
            <w:tcW w:type="dxa" w:w="87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Filter dropdown allows filtering by Status and Funnel Stage independently.</w:t>
            </w:r>
          </w:p>
        </w:tc>
      </w:tr>
      <w:tr>
        <w:tc>
          <w:tcPr>
            <w:tcW w:type="dxa" w:w="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86AB"/>
                <w:sz w:val="18"/>
                <w:szCs w:val="18"/>
              </w:rPr>
              <w:t xml:space="preserve">AC-05</w:t>
            </w:r>
          </w:p>
        </w:tc>
        <w:tc>
          <w:tcPr>
            <w:tcW w:type="dxa" w:w="8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Table is sortable by clicking column headers (default: Last Modified, descending).</w:t>
            </w:r>
          </w:p>
        </w:tc>
      </w:tr>
      <w:tr>
        <w:tc>
          <w:tcPr>
            <w:tcW w:type="dxa" w:w="6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86AB"/>
                <w:sz w:val="18"/>
                <w:szCs w:val="18"/>
              </w:rPr>
              <w:t xml:space="preserve">AC-06</w:t>
            </w:r>
          </w:p>
        </w:tc>
        <w:tc>
          <w:tcPr>
            <w:tcW w:type="dxa" w:w="87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'Create New Experiment' CTA button is prominently displayed and always visible.</w:t>
            </w:r>
          </w:p>
        </w:tc>
      </w:tr>
      <w:tr>
        <w:tc>
          <w:tcPr>
            <w:tcW w:type="dxa" w:w="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86AB"/>
                <w:sz w:val="18"/>
                <w:szCs w:val="18"/>
              </w:rPr>
              <w:t xml:space="preserve">AC-07</w:t>
            </w:r>
          </w:p>
        </w:tc>
        <w:tc>
          <w:tcPr>
            <w:tcW w:type="dxa" w:w="8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Clicking any row navigates to that experiment's Results screen.</w:t>
            </w:r>
          </w:p>
        </w:tc>
      </w:tr>
      <w:tr>
        <w:tc>
          <w:tcPr>
            <w:tcW w:type="dxa" w:w="6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86AB"/>
                <w:sz w:val="18"/>
                <w:szCs w:val="18"/>
              </w:rPr>
              <w:t xml:space="preserve">AC-08</w:t>
            </w:r>
          </w:p>
        </w:tc>
        <w:tc>
          <w:tcPr>
            <w:tcW w:type="dxa" w:w="87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Empty state (no experiments yet) shows an illustration and the message: 'You haven't run any experiments yet. Create your first test to start improving your pages.'</w:t>
            </w:r>
          </w:p>
        </w:tc>
      </w:tr>
      <w:tr>
        <w:tc>
          <w:tcPr>
            <w:tcW w:type="dxa" w:w="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86AB"/>
                <w:sz w:val="18"/>
                <w:szCs w:val="18"/>
              </w:rPr>
              <w:t xml:space="preserve">AC-09</w:t>
            </w:r>
          </w:p>
        </w:tc>
        <w:tc>
          <w:tcPr>
            <w:tcW w:type="dxa" w:w="8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Running experiments show a live pulsing indicator next to their status badge.</w:t>
            </w:r>
          </w:p>
        </w:tc>
      </w:tr>
      <w:tr>
        <w:tc>
          <w:tcPr>
            <w:tcW w:type="dxa" w:w="6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86AB"/>
                <w:sz w:val="18"/>
                <w:szCs w:val="18"/>
              </w:rPr>
              <w:t xml:space="preserve">AC-10</w:t>
            </w:r>
          </w:p>
        </w:tc>
        <w:tc>
          <w:tcPr>
            <w:tcW w:type="dxa" w:w="87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Experiments with a winner ready to promote show a 'Winner Ready' badge in the Status column.</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vAlign w:val="center"/>
          </w:tcPr>
          <w:p>
            <w:r>
              <w:rPr>
                <w:rFonts w:ascii="Arial" w:cs="Arial" w:eastAsia="Arial" w:hAnsi="Arial"/>
                <w:b/>
                <w:bCs/>
                <w:color w:val="FFFFFF"/>
                <w:sz w:val="22"/>
                <w:szCs w:val="22"/>
              </w:rPr>
              <w:t xml:space="preserve">US-14</w:t>
            </w:r>
          </w:p>
        </w:tc>
        <w:tc>
          <w:tcPr>
            <w:tcW w:type="dxa" w:w="8160"/>
            <w:tcBorders>
              <w:top w:val="single" w:color="D0D8E4" w:sz="1"/>
              <w:left w:val="single" w:color="D0D8E4" w:sz="1"/>
              <w:bottom w:val="single" w:color="D0D8E4" w:sz="1"/>
              <w:right w:val="single" w:color="D0D8E4" w:sz="1"/>
            </w:tcBorders>
            <w:shd w:fill="E8F0F7" w:val="clear"/>
            <w:tcMar>
              <w:top w:type="dxa" w:w="100"/>
              <w:left w:type="dxa" w:w="160"/>
              <w:bottom w:type="dxa" w:w="100"/>
              <w:right w:type="dxa" w:w="160"/>
            </w:tcMar>
          </w:tcPr>
          <w:p>
            <w:r>
              <w:rPr>
                <w:rFonts w:ascii="Arial" w:cs="Arial" w:eastAsia="Arial" w:hAnsi="Arial"/>
                <w:b/>
                <w:bCs/>
                <w:color w:val="1E3A5F"/>
                <w:sz w:val="24"/>
                <w:szCs w:val="24"/>
              </w:rPr>
              <w:t xml:space="preserve">Create Experiment — Page Selection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4A5568"/>
                <w:sz w:val="20"/>
                <w:szCs w:val="20"/>
              </w:rPr>
              <w:t xml:space="preserve">As a...</w:t>
            </w:r>
          </w:p>
        </w:tc>
        <w:tc>
          <w:tcPr>
            <w:tcW w:type="dxa" w:w="78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Shopify merchant</w:t>
            </w:r>
          </w:p>
        </w:tc>
      </w:tr>
      <w:tr>
        <w:tc>
          <w:tcPr>
            <w:tcW w:type="dxa" w:w="15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4A5568"/>
                <w:sz w:val="20"/>
                <w:szCs w:val="20"/>
              </w:rPr>
              <w:t xml:space="preserve">I want to...</w:t>
            </w:r>
          </w:p>
        </w:tc>
        <w:tc>
          <w:tcPr>
            <w:tcW w:type="dxa" w:w="78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select which landing page to run an experiment on, and understand what kind of test is appropriate for that page</w:t>
            </w:r>
          </w:p>
        </w:tc>
      </w:tr>
      <w:tr>
        <w:tc>
          <w:tcPr>
            <w:tcW w:type="dxa" w:w="15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4A5568"/>
                <w:sz w:val="20"/>
                <w:szCs w:val="20"/>
              </w:rPr>
              <w:t xml:space="preserve">So that...</w:t>
            </w:r>
          </w:p>
        </w:tc>
        <w:tc>
          <w:tcPr>
            <w:tcW w:type="dxa" w:w="78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 don't waste time setting up a test that won't produce reliable results given my traffic volume</w:t>
            </w:r>
          </w:p>
        </w:tc>
      </w:tr>
    </w:tbl>
    <w:p>
      <w:pPr>
        <w:spacing w:after="50" w:before="0"/>
      </w:pPr>
      <w:r>
        <w:t xml:space="preserve"/>
      </w:r>
    </w:p>
    <w:p>
      <w:pPr>
        <w:spacing w:after="60" w:before="80"/>
      </w:pPr>
      <w:r>
        <w:rPr>
          <w:rFonts w:ascii="Arial" w:cs="Arial" w:eastAsia="Arial" w:hAnsi="Arial"/>
          <w:b/>
          <w:bCs/>
          <w:caps/>
          <w:color w:val="1E3A5F"/>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86AB"/>
                <w:sz w:val="18"/>
                <w:szCs w:val="18"/>
              </w:rPr>
              <w:t xml:space="preserve">AC-01</w:t>
            </w:r>
          </w:p>
        </w:tc>
        <w:tc>
          <w:tcPr>
            <w:tcW w:type="dxa" w:w="8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Four page cards are shown, one per funnel stage (Awareness, Differentiation, Conversion, Loyalty).</w:t>
            </w:r>
          </w:p>
        </w:tc>
      </w:tr>
      <w:tr>
        <w:tc>
          <w:tcPr>
            <w:tcW w:type="dxa" w:w="6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86AB"/>
                <w:sz w:val="18"/>
                <w:szCs w:val="18"/>
              </w:rPr>
              <w:t xml:space="preserve">AC-02</w:t>
            </w:r>
          </w:p>
        </w:tc>
        <w:tc>
          <w:tcPr>
            <w:tcW w:type="dxa" w:w="87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Each card shows: funnel stage name and icon, page readiness score (from the existing readiness checklist), current weekly traffic estimate (e.g., '~1,200 sessions/week'), and recommended test type for that page.</w:t>
            </w:r>
          </w:p>
        </w:tc>
      </w:tr>
      <w:tr>
        <w:tc>
          <w:tcPr>
            <w:tcW w:type="dxa" w:w="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86AB"/>
                <w:sz w:val="18"/>
                <w:szCs w:val="18"/>
              </w:rPr>
              <w:t xml:space="preserve">AC-03</w:t>
            </w:r>
          </w:p>
        </w:tc>
        <w:tc>
          <w:tcPr>
            <w:tcW w:type="dxa" w:w="8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traffic is below 500 sessions/week, the card shows a warning: 'Low traffic — results may take 10+ weeks. Consider increasing ad spend before testing.'</w:t>
            </w:r>
          </w:p>
        </w:tc>
      </w:tr>
      <w:tr>
        <w:tc>
          <w:tcPr>
            <w:tcW w:type="dxa" w:w="6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86AB"/>
                <w:sz w:val="18"/>
                <w:szCs w:val="18"/>
              </w:rPr>
              <w:t xml:space="preserve">AC-04</w:t>
            </w:r>
          </w:p>
        </w:tc>
        <w:tc>
          <w:tcPr>
            <w:tcW w:type="dxa" w:w="87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MVT badge appears on Conversion page cards only when weekly traffic exceeds 10,000 sessions.</w:t>
            </w:r>
          </w:p>
        </w:tc>
      </w:tr>
      <w:tr>
        <w:tc>
          <w:tcPr>
            <w:tcW w:type="dxa" w:w="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86AB"/>
                <w:sz w:val="18"/>
                <w:szCs w:val="18"/>
              </w:rPr>
              <w:t xml:space="preserve">AC-05</w:t>
            </w:r>
          </w:p>
        </w:tc>
        <w:tc>
          <w:tcPr>
            <w:tcW w:type="dxa" w:w="8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Single-select mode: only one page can be selected at a time. Selected state is visually distinct (border highlight, checkmark).</w:t>
            </w:r>
          </w:p>
        </w:tc>
      </w:tr>
      <w:tr>
        <w:tc>
          <w:tcPr>
            <w:tcW w:type="dxa" w:w="6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86AB"/>
                <w:sz w:val="18"/>
                <w:szCs w:val="18"/>
              </w:rPr>
              <w:t xml:space="preserve">AC-06</w:t>
            </w:r>
          </w:p>
        </w:tc>
        <w:tc>
          <w:tcPr>
            <w:tcW w:type="dxa" w:w="87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Continue button is disabled until a page is selected.</w:t>
            </w:r>
          </w:p>
        </w:tc>
      </w:tr>
      <w:tr>
        <w:tc>
          <w:tcPr>
            <w:tcW w:type="dxa" w:w="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86AB"/>
                <w:sz w:val="18"/>
                <w:szCs w:val="18"/>
              </w:rPr>
              <w:t xml:space="preserve">AC-07</w:t>
            </w:r>
          </w:p>
        </w:tc>
        <w:tc>
          <w:tcPr>
            <w:tcW w:type="dxa" w:w="8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Cancel button returns to Experiment List without saving.</w:t>
            </w:r>
          </w:p>
        </w:tc>
      </w:tr>
      <w:tr>
        <w:tc>
          <w:tcPr>
            <w:tcW w:type="dxa" w:w="6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86AB"/>
                <w:sz w:val="18"/>
                <w:szCs w:val="18"/>
              </w:rPr>
              <w:t xml:space="preserve">AC-08</w:t>
            </w:r>
          </w:p>
        </w:tc>
        <w:tc>
          <w:tcPr>
            <w:tcW w:type="dxa" w:w="87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System pre-selects the Conversion page if it has the highest traffic — merchant can override.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vAlign w:val="center"/>
          </w:tcPr>
          <w:p>
            <w:r>
              <w:rPr>
                <w:rFonts w:ascii="Arial" w:cs="Arial" w:eastAsia="Arial" w:hAnsi="Arial"/>
                <w:b/>
                <w:bCs/>
                <w:color w:val="FFFFFF"/>
                <w:sz w:val="22"/>
                <w:szCs w:val="22"/>
              </w:rPr>
              <w:t xml:space="preserve">US-15</w:t>
            </w:r>
          </w:p>
        </w:tc>
        <w:tc>
          <w:tcPr>
            <w:tcW w:type="dxa" w:w="8160"/>
            <w:tcBorders>
              <w:top w:val="single" w:color="D0D8E4" w:sz="1"/>
              <w:left w:val="single" w:color="D0D8E4" w:sz="1"/>
              <w:bottom w:val="single" w:color="D0D8E4" w:sz="1"/>
              <w:right w:val="single" w:color="D0D8E4" w:sz="1"/>
            </w:tcBorders>
            <w:shd w:fill="E8F0F7" w:val="clear"/>
            <w:tcMar>
              <w:top w:type="dxa" w:w="100"/>
              <w:left w:type="dxa" w:w="160"/>
              <w:bottom w:type="dxa" w:w="100"/>
              <w:right w:type="dxa" w:w="160"/>
            </w:tcMar>
          </w:tcPr>
          <w:p>
            <w:r>
              <w:rPr>
                <w:rFonts w:ascii="Arial" w:cs="Arial" w:eastAsia="Arial" w:hAnsi="Arial"/>
                <w:b/>
                <w:bCs/>
                <w:color w:val="1E3A5F"/>
                <w:sz w:val="24"/>
                <w:szCs w:val="24"/>
              </w:rPr>
              <w:t xml:space="preserve">Create Experiment — Variant Setup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4A5568"/>
                <w:sz w:val="20"/>
                <w:szCs w:val="20"/>
              </w:rPr>
              <w:t xml:space="preserve">As a...</w:t>
            </w:r>
          </w:p>
        </w:tc>
        <w:tc>
          <w:tcPr>
            <w:tcW w:type="dxa" w:w="78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Shopify merchant</w:t>
            </w:r>
          </w:p>
        </w:tc>
      </w:tr>
      <w:tr>
        <w:tc>
          <w:tcPr>
            <w:tcW w:type="dxa" w:w="15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4A5568"/>
                <w:sz w:val="20"/>
                <w:szCs w:val="20"/>
              </w:rPr>
              <w:t xml:space="preserve">I want to...</w:t>
            </w:r>
          </w:p>
        </w:tc>
        <w:tc>
          <w:tcPr>
            <w:tcW w:type="dxa" w:w="78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choose what to test on my page and see AI-generated variant suggestions so I can launch a well-structured experiment quickly</w:t>
            </w:r>
          </w:p>
        </w:tc>
      </w:tr>
      <w:tr>
        <w:tc>
          <w:tcPr>
            <w:tcW w:type="dxa" w:w="15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4A5568"/>
                <w:sz w:val="20"/>
                <w:szCs w:val="20"/>
              </w:rPr>
              <w:t xml:space="preserve">So that...</w:t>
            </w:r>
          </w:p>
        </w:tc>
        <w:tc>
          <w:tcPr>
            <w:tcW w:type="dxa" w:w="78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my experiment is based on a real hypothesis and tested with relevant variants — not random guesses</w:t>
            </w:r>
          </w:p>
        </w:tc>
      </w:tr>
    </w:tbl>
    <w:p>
      <w:pPr>
        <w:spacing w:after="50" w:before="0"/>
      </w:pPr>
      <w:r>
        <w:t xml:space="preserve"/>
      </w:r>
    </w:p>
    <w:p>
      <w:pPr>
        <w:spacing w:after="60" w:before="80"/>
      </w:pPr>
      <w:r>
        <w:rPr>
          <w:rFonts w:ascii="Arial" w:cs="Arial" w:eastAsia="Arial" w:hAnsi="Arial"/>
          <w:b/>
          <w:bCs/>
          <w:caps/>
          <w:color w:val="1E3A5F"/>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86AB"/>
                <w:sz w:val="18"/>
                <w:szCs w:val="18"/>
              </w:rPr>
              <w:t xml:space="preserve">AC-01</w:t>
            </w:r>
          </w:p>
        </w:tc>
        <w:tc>
          <w:tcPr>
            <w:tcW w:type="dxa" w:w="8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Hypothesis input field is displayed at the top of the screen with the template: 'If we change [element], then [metric] will improve because [reason].' Field is required — Continue button is disabled until filled.</w:t>
            </w:r>
          </w:p>
        </w:tc>
      </w:tr>
      <w:tr>
        <w:tc>
          <w:tcPr>
            <w:tcW w:type="dxa" w:w="6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86AB"/>
                <w:sz w:val="18"/>
                <w:szCs w:val="18"/>
              </w:rPr>
              <w:t xml:space="preserve">AC-02</w:t>
            </w:r>
          </w:p>
        </w:tc>
        <w:tc>
          <w:tcPr>
            <w:tcW w:type="dxa" w:w="87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Grid of testable elements is displayed. Elements are specific to the selected funnel stage (see Section 2.2 for element list per stage).</w:t>
            </w:r>
          </w:p>
        </w:tc>
      </w:tr>
      <w:tr>
        <w:tc>
          <w:tcPr>
            <w:tcW w:type="dxa" w:w="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86AB"/>
                <w:sz w:val="18"/>
                <w:szCs w:val="18"/>
              </w:rPr>
              <w:t xml:space="preserve">AC-03</w:t>
            </w:r>
          </w:p>
        </w:tc>
        <w:tc>
          <w:tcPr>
            <w:tcW w:type="dxa" w:w="8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Each element card shows an impact badge: High (red), Medium (amber), Low (gray). Impact is estimated based on industry CVR benchmarks for that element type.</w:t>
            </w:r>
          </w:p>
        </w:tc>
      </w:tr>
      <w:tr>
        <w:tc>
          <w:tcPr>
            <w:tcW w:type="dxa" w:w="6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86AB"/>
                <w:sz w:val="18"/>
                <w:szCs w:val="18"/>
              </w:rPr>
              <w:t xml:space="preserve">AC-04</w:t>
            </w:r>
          </w:p>
        </w:tc>
        <w:tc>
          <w:tcPr>
            <w:tcW w:type="dxa" w:w="87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Multi-select: merchant can select multiple elements. System warns if more than 3 elements are selected for A/B: 'Testing multiple elements at once makes it harder to know what caused the result. Consider testing one element at a time.'</w:t>
            </w:r>
          </w:p>
        </w:tc>
      </w:tr>
      <w:tr>
        <w:tc>
          <w:tcPr>
            <w:tcW w:type="dxa" w:w="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86AB"/>
                <w:sz w:val="18"/>
                <w:szCs w:val="18"/>
              </w:rPr>
              <w:t xml:space="preserve">AC-05</w:t>
            </w:r>
          </w:p>
        </w:tc>
        <w:tc>
          <w:tcPr>
            <w:tcW w:type="dxa" w:w="8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 each selected element, 2–3 AI-generated variant suggestions appear below the element card. Suggestions are contextually relevant to the merchant's brand copy and the funnel stage.</w:t>
            </w:r>
          </w:p>
        </w:tc>
      </w:tr>
      <w:tr>
        <w:tc>
          <w:tcPr>
            <w:tcW w:type="dxa" w:w="6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86AB"/>
                <w:sz w:val="18"/>
                <w:szCs w:val="18"/>
              </w:rPr>
              <w:t xml:space="preserve">AC-06</w:t>
            </w:r>
          </w:p>
        </w:tc>
        <w:tc>
          <w:tcPr>
            <w:tcW w:type="dxa" w:w="87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Merchant can accept a suggestion, edit it inline, or write a custom variant from scratch.</w:t>
            </w:r>
          </w:p>
        </w:tc>
      </w:tr>
      <w:tr>
        <w:tc>
          <w:tcPr>
            <w:tcW w:type="dxa" w:w="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86AB"/>
                <w:sz w:val="18"/>
                <w:szCs w:val="18"/>
              </w:rPr>
              <w:t xml:space="preserve">AC-07</w:t>
            </w:r>
          </w:p>
        </w:tc>
        <w:tc>
          <w:tcPr>
            <w:tcW w:type="dxa" w:w="8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Statistical model selection: two clearly labeled cards — Frequentist and Bayesian — each with a one-sentence plain-language explanation. Default is Frequentist.</w:t>
            </w:r>
          </w:p>
        </w:tc>
      </w:tr>
      <w:tr>
        <w:tc>
          <w:tcPr>
            <w:tcW w:type="dxa" w:w="6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86AB"/>
                <w:sz w:val="18"/>
                <w:szCs w:val="18"/>
              </w:rPr>
              <w:t xml:space="preserve">AC-08</w:t>
            </w:r>
          </w:p>
        </w:tc>
        <w:tc>
          <w:tcPr>
            <w:tcW w:type="dxa" w:w="87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Traffic split recommendation is displayed: 'Based on your traffic volume (~1,200 sessions/week), we recommend a 50/50 split. Estimated test duration: 4–6 weeks.' Merchant can override the split via a slider (minimum 20/80 guardrail enforced).</w:t>
            </w:r>
          </w:p>
        </w:tc>
      </w:tr>
      <w:tr>
        <w:tc>
          <w:tcPr>
            <w:tcW w:type="dxa" w:w="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86AB"/>
                <w:sz w:val="18"/>
                <w:szCs w:val="18"/>
              </w:rPr>
              <w:t xml:space="preserve">AC-09</w:t>
            </w:r>
          </w:p>
        </w:tc>
        <w:tc>
          <w:tcPr>
            <w:tcW w:type="dxa" w:w="8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 name is auto-generated (e.g., 'Conversion Page — CTA Copy Test — April 2026'). Merchant can rename it.</w:t>
            </w:r>
          </w:p>
        </w:tc>
      </w:tr>
      <w:tr>
        <w:tc>
          <w:tcPr>
            <w:tcW w:type="dxa" w:w="6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86AB"/>
                <w:sz w:val="18"/>
                <w:szCs w:val="18"/>
              </w:rPr>
              <w:t xml:space="preserve">AC-10</w:t>
            </w:r>
          </w:p>
        </w:tc>
        <w:tc>
          <w:tcPr>
            <w:tcW w:type="dxa" w:w="87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Launch Summary screen shows all configured settings before final confirmation.</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vAlign w:val="center"/>
          </w:tcPr>
          <w:p>
            <w:r>
              <w:rPr>
                <w:rFonts w:ascii="Arial" w:cs="Arial" w:eastAsia="Arial" w:hAnsi="Arial"/>
                <w:b/>
                <w:bCs/>
                <w:color w:val="FFFFFF"/>
                <w:sz w:val="22"/>
                <w:szCs w:val="22"/>
              </w:rPr>
              <w:t xml:space="preserve">US-16</w:t>
            </w:r>
          </w:p>
        </w:tc>
        <w:tc>
          <w:tcPr>
            <w:tcW w:type="dxa" w:w="8160"/>
            <w:tcBorders>
              <w:top w:val="single" w:color="D0D8E4" w:sz="1"/>
              <w:left w:val="single" w:color="D0D8E4" w:sz="1"/>
              <w:bottom w:val="single" w:color="D0D8E4" w:sz="1"/>
              <w:right w:val="single" w:color="D0D8E4" w:sz="1"/>
            </w:tcBorders>
            <w:shd w:fill="E8F0F7" w:val="clear"/>
            <w:tcMar>
              <w:top w:type="dxa" w:w="100"/>
              <w:left w:type="dxa" w:w="160"/>
              <w:bottom w:type="dxa" w:w="100"/>
              <w:right w:type="dxa" w:w="160"/>
            </w:tcMar>
          </w:tcPr>
          <w:p>
            <w:r>
              <w:rPr>
                <w:rFonts w:ascii="Arial" w:cs="Arial" w:eastAsia="Arial" w:hAnsi="Arial"/>
                <w:b/>
                <w:bCs/>
                <w:color w:val="1E3A5F"/>
                <w:sz w:val="24"/>
                <w:szCs w:val="24"/>
              </w:rPr>
              <w:t xml:space="preserve">A/B Testing — Results &amp; Promotion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4A5568"/>
                <w:sz w:val="20"/>
                <w:szCs w:val="20"/>
              </w:rPr>
              <w:t xml:space="preserve">As a...</w:t>
            </w:r>
          </w:p>
        </w:tc>
        <w:tc>
          <w:tcPr>
            <w:tcW w:type="dxa" w:w="78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Shopify merchant</w:t>
            </w:r>
          </w:p>
        </w:tc>
      </w:tr>
      <w:tr>
        <w:tc>
          <w:tcPr>
            <w:tcW w:type="dxa" w:w="15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4A5568"/>
                <w:sz w:val="20"/>
                <w:szCs w:val="20"/>
              </w:rPr>
              <w:t xml:space="preserve">I want to...</w:t>
            </w:r>
          </w:p>
        </w:tc>
        <w:tc>
          <w:tcPr>
            <w:tcW w:type="dxa" w:w="78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understand whether my experiment produced a clear winner and promote it to my live page with one click</w:t>
            </w:r>
          </w:p>
        </w:tc>
      </w:tr>
      <w:tr>
        <w:tc>
          <w:tcPr>
            <w:tcW w:type="dxa" w:w="15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4A5568"/>
                <w:sz w:val="20"/>
                <w:szCs w:val="20"/>
              </w:rPr>
              <w:t xml:space="preserve">So that...</w:t>
            </w:r>
          </w:p>
        </w:tc>
        <w:tc>
          <w:tcPr>
            <w:tcW w:type="dxa" w:w="78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 can make confident decisions about my landing pages without needing to understand statistics</w:t>
            </w:r>
          </w:p>
        </w:tc>
      </w:tr>
    </w:tbl>
    <w:p>
      <w:pPr>
        <w:spacing w:after="50" w:before="0"/>
      </w:pPr>
      <w:r>
        <w:t xml:space="preserve"/>
      </w:r>
    </w:p>
    <w:p>
      <w:pPr>
        <w:spacing w:after="60" w:before="80"/>
      </w:pPr>
      <w:r>
        <w:rPr>
          <w:rFonts w:ascii="Arial" w:cs="Arial" w:eastAsia="Arial" w:hAnsi="Arial"/>
          <w:b/>
          <w:bCs/>
          <w:caps/>
          <w:color w:val="1E3A5F"/>
          <w:sz w:val="20"/>
          <w:szCs w:val="20"/>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86AB"/>
                <w:sz w:val="18"/>
                <w:szCs w:val="18"/>
              </w:rPr>
              <w:t xml:space="preserve">AC-01</w:t>
            </w:r>
          </w:p>
        </w:tc>
        <w:tc>
          <w:tcPr>
            <w:tcW w:type="dxa" w:w="8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Results screen shows: experiment name, funnel stage, test type, status, and days running.</w:t>
            </w:r>
          </w:p>
        </w:tc>
      </w:tr>
      <w:tr>
        <w:tc>
          <w:tcPr>
            <w:tcW w:type="dxa" w:w="6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86AB"/>
                <w:sz w:val="18"/>
                <w:szCs w:val="18"/>
              </w:rPr>
              <w:t xml:space="preserve">AC-02</w:t>
            </w:r>
          </w:p>
        </w:tc>
        <w:tc>
          <w:tcPr>
            <w:tcW w:type="dxa" w:w="87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Side-by-side variant cards display for Control and each Variant: visitors, conversions, conversion rate, and lift vs control (shown as % change with arrow indicator).</w:t>
            </w:r>
          </w:p>
        </w:tc>
      </w:tr>
      <w:tr>
        <w:tc>
          <w:tcPr>
            <w:tcW w:type="dxa" w:w="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86AB"/>
                <w:sz w:val="18"/>
                <w:szCs w:val="18"/>
              </w:rPr>
              <w:t xml:space="preserve">AC-03</w:t>
            </w:r>
          </w:p>
        </w:tc>
        <w:tc>
          <w:tcPr>
            <w:tcW w:type="dxa" w:w="8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Frequentist result: confidence level displayed as a percentage (e.g., '87% confidence'). Significance threshold (95%) shown as a progress bar. Plain-language label: 'Not yet significant — keep running' or 'Statistically significant result'.</w:t>
            </w:r>
          </w:p>
        </w:tc>
      </w:tr>
      <w:tr>
        <w:tc>
          <w:tcPr>
            <w:tcW w:type="dxa" w:w="6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86AB"/>
                <w:sz w:val="18"/>
                <w:szCs w:val="18"/>
              </w:rPr>
              <w:t xml:space="preserve">AC-04</w:t>
            </w:r>
          </w:p>
        </w:tc>
        <w:tc>
          <w:tcPr>
            <w:tcW w:type="dxa" w:w="87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Bayesian result: probability that variant beats control shown as a percentage (e.g., 'Variant B has an 91% probability of being better'). Plain-language label: 'Still gathering evidence' or 'Ready to decide'.</w:t>
            </w:r>
          </w:p>
        </w:tc>
      </w:tr>
      <w:tr>
        <w:tc>
          <w:tcPr>
            <w:tcW w:type="dxa" w:w="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86AB"/>
                <w:sz w:val="18"/>
                <w:szCs w:val="18"/>
              </w:rPr>
              <w:t xml:space="preserve">AC-05</w:t>
            </w:r>
          </w:p>
        </w:tc>
        <w:tc>
          <w:tcPr>
            <w:tcW w:type="dxa" w:w="8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below minimum sample size: all results are shown with a warning banner: 'Your experiment needs more data. Results may change significantly. Minimum visitors needed: [X].' Promote Winner button is disabled.</w:t>
            </w:r>
          </w:p>
        </w:tc>
      </w:tr>
      <w:tr>
        <w:tc>
          <w:tcPr>
            <w:tcW w:type="dxa" w:w="6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86AB"/>
                <w:sz w:val="18"/>
                <w:szCs w:val="18"/>
              </w:rPr>
              <w:t xml:space="preserve">AC-06</w:t>
            </w:r>
          </w:p>
        </w:tc>
        <w:tc>
          <w:tcPr>
            <w:tcW w:type="dxa" w:w="87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If a winner is identified: 'Promote Winner' button becomes active. Button label: 'Make [Variant Name] the new control.' Confirmation modal explains the action and is irreversible.</w:t>
            </w:r>
          </w:p>
        </w:tc>
      </w:tr>
      <w:tr>
        <w:tc>
          <w:tcPr>
            <w:tcW w:type="dxa" w:w="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86AB"/>
                <w:sz w:val="18"/>
                <w:szCs w:val="18"/>
              </w:rPr>
              <w:t xml:space="preserve">AC-07</w:t>
            </w:r>
          </w:p>
        </w:tc>
        <w:tc>
          <w:tcPr>
            <w:tcW w:type="dxa" w:w="8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Paid media breakdown table shown when ad data is available: CPA, RPV, and ROAS per variant, broken down by channel (Google / Meta / Email).</w:t>
            </w:r>
          </w:p>
        </w:tc>
      </w:tr>
      <w:tr>
        <w:tc>
          <w:tcPr>
            <w:tcW w:type="dxa" w:w="6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86AB"/>
                <w:sz w:val="18"/>
                <w:szCs w:val="18"/>
              </w:rPr>
              <w:t xml:space="preserve">AC-08</w:t>
            </w:r>
          </w:p>
        </w:tc>
        <w:tc>
          <w:tcPr>
            <w:tcW w:type="dxa" w:w="87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UTM breakdown table: results segmented by utm_source and utm_campaign to show whether the variant performs differently across traffic sources.</w:t>
            </w:r>
          </w:p>
        </w:tc>
      </w:tr>
      <w:tr>
        <w:tc>
          <w:tcPr>
            <w:tcW w:type="dxa" w:w="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2E86AB"/>
                <w:sz w:val="18"/>
                <w:szCs w:val="18"/>
              </w:rPr>
              <w:t xml:space="preserve">AC-09</w:t>
            </w:r>
          </w:p>
        </w:tc>
        <w:tc>
          <w:tcPr>
            <w:tcW w:type="dxa" w:w="87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Time-series graph shows conversion rate per variant over the duration of the experiment (one line per variant, daily granularity).</w:t>
            </w:r>
          </w:p>
        </w:tc>
      </w:tr>
      <w:tr>
        <w:tc>
          <w:tcPr>
            <w:tcW w:type="dxa" w:w="6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2E86AB"/>
                <w:sz w:val="18"/>
                <w:szCs w:val="18"/>
              </w:rPr>
              <w:t xml:space="preserve">AC-10</w:t>
            </w:r>
          </w:p>
        </w:tc>
        <w:tc>
          <w:tcPr>
            <w:tcW w:type="dxa" w:w="87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After promoting a winner, experiment status updates to 'Completed' and a suggestion appears for the next recommended test on that page.</w:t>
            </w:r>
          </w:p>
        </w:tc>
      </w:tr>
    </w:tbl>
    <w:p>
      <w:pPr>
        <w:spacing w:after="100" w:before="0"/>
      </w:pPr>
      <w:r>
        <w:t xml:space="preserve"/>
      </w:r>
    </w:p>
    <w:p>
      <w:r>
        <w:br w:type="page"/>
      </w:r>
    </w:p>
    <w:p>
      <w:pPr>
        <w:pStyle w:val="Heading1"/>
        <w:pBdr>
          <w:bottom w:val="single" w:color="1E3A5F" w:sz="4" w:space="6"/>
        </w:pBdr>
        <w:spacing w:after="200" w:before="400"/>
      </w:pPr>
      <w:r>
        <w:rPr>
          <w:rFonts w:ascii="Arial" w:cs="Arial" w:eastAsia="Arial" w:hAnsi="Arial"/>
          <w:b/>
          <w:bCs/>
          <w:color w:val="1E3A5F"/>
          <w:sz w:val="36"/>
          <w:szCs w:val="36"/>
        </w:rPr>
        <w:t xml:space="preserve">7. Paid Media &amp; Attribution Requirements</w:t>
      </w:r>
    </w:p>
    <w:p>
      <w:pPr>
        <w:spacing w:after="100" w:before="80"/>
      </w:pPr>
      <w:r>
        <w:rPr>
          <w:rFonts w:ascii="Arial" w:cs="Arial" w:eastAsia="Arial" w:hAnsi="Arial"/>
          <w:color w:val="1A1A2E"/>
          <w:sz w:val="22"/>
          <w:szCs w:val="22"/>
        </w:rPr>
        <w:t xml:space="preserve">Because Revmatics landing pages are primarily driven by paid and digital traffic, the experimentation system must handle the realities of ad-platform-controlled distribution, UTM-based attribution, and cost data integration.</w:t>
      </w:r>
    </w:p>
    <w:p>
      <w:pPr>
        <w:spacing w:after="50" w:before="0"/>
      </w:pPr>
      <w:r>
        <w:t xml:space="preserve"/>
      </w:r>
    </w:p>
    <w:p>
      <w:pPr>
        <w:pStyle w:val="Heading2"/>
        <w:spacing w:after="140" w:before="320"/>
      </w:pPr>
      <w:r>
        <w:rPr>
          <w:rFonts w:ascii="Arial" w:cs="Arial" w:eastAsia="Arial" w:hAnsi="Arial"/>
          <w:b/>
          <w:bCs/>
          <w:color w:val="1E3A5F"/>
          <w:sz w:val="28"/>
          <w:szCs w:val="28"/>
        </w:rPr>
        <w:t xml:space="preserve">7.1 UTM Parameter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Requirement</w:t>
            </w:r>
          </w:p>
        </w:tc>
        <w:tc>
          <w:tcPr>
            <w:tcW w:type="dxa" w:w="786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Specification</w:t>
            </w:r>
          </w:p>
        </w:tc>
      </w:tr>
      <w:tr>
        <w:tc>
          <w:tcPr>
            <w:tcW w:type="dxa" w:w="15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Capture</w:t>
            </w:r>
          </w:p>
        </w:tc>
        <w:tc>
          <w:tcPr>
            <w:tcW w:type="dxa" w:w="78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All five UTM parameters (utm_source, utm_medium, utm_campaign, utm_content, utm_term) are read from the URL on page load and stored in the visitor session.</w:t>
            </w:r>
          </w:p>
        </w:tc>
      </w:tr>
      <w:tr>
        <w:tc>
          <w:tcPr>
            <w:tcW w:type="dxa" w:w="15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Persistence</w:t>
            </w:r>
          </w:p>
        </w:tc>
        <w:tc>
          <w:tcPr>
            <w:tcW w:type="dxa" w:w="78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UTM parameters persist for the session duration. If a visitor returns within 7 days via direct traffic (no UTM), the original UTM values are preserved for attribution.</w:t>
            </w:r>
          </w:p>
        </w:tc>
      </w:tr>
      <w:tr>
        <w:tc>
          <w:tcPr>
            <w:tcW w:type="dxa" w:w="15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Event Association</w:t>
            </w:r>
          </w:p>
        </w:tc>
        <w:tc>
          <w:tcPr>
            <w:tcW w:type="dxa" w:w="78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Every tracking event (exposure, scroll, click, conversion) is tagged with the UTM parameters from the visitor's session.</w:t>
            </w:r>
          </w:p>
        </w:tc>
      </w:tr>
      <w:tr>
        <w:tc>
          <w:tcPr>
            <w:tcW w:type="dxa" w:w="15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Reporting</w:t>
            </w:r>
          </w:p>
        </w:tc>
        <w:tc>
          <w:tcPr>
            <w:tcW w:type="dxa" w:w="78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Results can be filtered and broken down by any UTM parameter on the Results screen.</w:t>
            </w:r>
          </w:p>
        </w:tc>
      </w:tr>
    </w:tbl>
    <w:p>
      <w:pPr>
        <w:spacing w:after="50" w:before="0"/>
      </w:pPr>
      <w:r>
        <w:t xml:space="preserve"/>
      </w:r>
    </w:p>
    <w:p>
      <w:pPr>
        <w:pStyle w:val="Heading2"/>
        <w:spacing w:after="140" w:before="320"/>
      </w:pPr>
      <w:r>
        <w:rPr>
          <w:rFonts w:ascii="Arial" w:cs="Arial" w:eastAsia="Arial" w:hAnsi="Arial"/>
          <w:b/>
          <w:bCs/>
          <w:color w:val="1E3A5F"/>
          <w:sz w:val="28"/>
          <w:szCs w:val="28"/>
        </w:rPr>
        <w:t xml:space="preserve">7.2 Post-Click Randomization</w:t>
      </w:r>
    </w:p>
    <w:p>
      <w:pPr>
        <w:spacing w:after="100" w:before="80"/>
      </w:pPr>
      <w:r>
        <w:rPr>
          <w:rFonts w:ascii="Arial" w:cs="Arial" w:eastAsia="Arial" w:hAnsi="Arial"/>
          <w:color w:val="1A1A2E"/>
          <w:sz w:val="22"/>
          <w:szCs w:val="22"/>
        </w:rPr>
        <w:t xml:space="preserve">Traffic allocation is handled entirely on the landing page after the click — not at the ad platform level. Ad platforms (Google, Meta) must not be used to split traffic between variants. This is enforced by design: the system assigns variants via on-page JavaScript using deterministic session-ID hashing. Merchants are instructed never to use ad platform A/B features alongside Revmatics experiments on the same page.</w:t>
      </w:r>
    </w:p>
    <w:p>
      <w:pPr>
        <w:spacing w:after="50" w:before="0"/>
      </w:pPr>
      <w:r>
        <w:t xml:space="preserve"/>
      </w:r>
    </w:p>
    <w:p>
      <w:pPr>
        <w:pStyle w:val="Heading2"/>
        <w:spacing w:after="140" w:before="320"/>
      </w:pPr>
      <w:r>
        <w:rPr>
          <w:rFonts w:ascii="Arial" w:cs="Arial" w:eastAsia="Arial" w:hAnsi="Arial"/>
          <w:b/>
          <w:bCs/>
          <w:color w:val="1E3A5F"/>
          <w:sz w:val="28"/>
          <w:szCs w:val="28"/>
        </w:rPr>
        <w:t xml:space="preserve">7.3 Ad Platform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Integration</w:t>
            </w:r>
          </w:p>
        </w:tc>
        <w:tc>
          <w:tcPr>
            <w:tcW w:type="dxa" w:w="716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Role in Experimentation</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Google Ads API</w:t>
            </w:r>
          </w:p>
        </w:tc>
        <w:tc>
          <w:tcPr>
            <w:tcW w:type="dxa" w:w="71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Cost data (spend, impressions, clicks) ingested per campaign per day. Used to compute CPA and ROAS per variant. Required for paid media metrics. Optional for experiment to run.</w:t>
            </w:r>
          </w:p>
        </w:tc>
      </w:tr>
      <w:tr>
        <w:tc>
          <w:tcPr>
            <w:tcW w:type="dxa" w:w="22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Meta Ads API</w:t>
            </w:r>
          </w:p>
        </w:tc>
        <w:tc>
          <w:tcPr>
            <w:tcW w:type="dxa" w:w="71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Same as Google Ads. Cost data per ad set per day. Attribution window: 7-day click, 1-day view (Meta default).</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GA4</w:t>
            </w:r>
          </w:p>
        </w:tc>
        <w:tc>
          <w:tcPr>
            <w:tcW w:type="dxa" w:w="71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Session and event data. Used as fallback conversion signal when Shopify order data is unavailable. Also enables data-driven attribution model as an alternative to last-click.</w:t>
            </w:r>
          </w:p>
        </w:tc>
      </w:tr>
      <w:tr>
        <w:tc>
          <w:tcPr>
            <w:tcW w:type="dxa" w:w="22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Shopify Orders API</w:t>
            </w:r>
          </w:p>
        </w:tc>
        <w:tc>
          <w:tcPr>
            <w:tcW w:type="dxa" w:w="71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Revenue data per order, joined to session ID. Primary source of truth for conversion and RPV metrics.</w:t>
            </w:r>
          </w:p>
        </w:tc>
      </w:tr>
    </w:tbl>
    <w:p>
      <w:pPr>
        <w:spacing w:after="50" w:before="0"/>
      </w:pPr>
      <w:r>
        <w:t xml:space="preserve"/>
      </w:r>
    </w:p>
    <w:p>
      <w:pPr>
        <w:pStyle w:val="Heading2"/>
        <w:spacing w:after="140" w:before="320"/>
      </w:pPr>
      <w:r>
        <w:rPr>
          <w:rFonts w:ascii="Arial" w:cs="Arial" w:eastAsia="Arial" w:hAnsi="Arial"/>
          <w:b/>
          <w:bCs/>
          <w:color w:val="1E3A5F"/>
          <w:sz w:val="28"/>
          <w:szCs w:val="28"/>
        </w:rPr>
        <w:t xml:space="preserve">7.4 Experiment Risk Mitigations (Paid Media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Risk</w:t>
            </w:r>
          </w:p>
        </w:tc>
        <w:tc>
          <w:tcPr>
            <w:tcW w:type="dxa" w:w="686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Mitigation</w:t>
            </w:r>
          </w:p>
        </w:tc>
      </w:tr>
      <w:tr>
        <w:tc>
          <w:tcPr>
            <w:tcW w:type="dxa" w:w="25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Platform Algorithm Bias</w:t>
            </w:r>
          </w:p>
        </w:tc>
        <w:tc>
          <w:tcPr>
            <w:tcW w:type="dxa" w:w="68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System normalises results by session volume per variant (not raw conversion count). If one variant receives &gt; 60% of traffic in any 48-hour window (due to platform optimisation), system flags: 'Uneven traffic detected. Results may be unreliable.'</w:t>
            </w:r>
          </w:p>
        </w:tc>
      </w:tr>
      <w:tr>
        <w:tc>
          <w:tcPr>
            <w:tcW w:type="dxa" w:w="25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Budget Volatility</w:t>
            </w:r>
          </w:p>
        </w:tc>
        <w:tc>
          <w:tcPr>
            <w:tcW w:type="dxa" w:w="68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System tracks daily traffic per variant. If traffic drops &gt; 50% day-over-day, sends alert: 'Traffic to this experiment has dropped significantly. Check your campaign status.'</w:t>
            </w:r>
          </w:p>
        </w:tc>
      </w:tr>
      <w:tr>
        <w:tc>
          <w:tcPr>
            <w:tcW w:type="dxa" w:w="25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Delayed Conversions</w:t>
            </w:r>
          </w:p>
        </w:tc>
        <w:tc>
          <w:tcPr>
            <w:tcW w:type="dxa" w:w="68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Attribution window is 7 days for Conversion pages. Experiments are not concluded until 7 days after the last exposure to allow delayed conversions to register.</w:t>
            </w:r>
          </w:p>
        </w:tc>
      </w:tr>
      <w:tr>
        <w:tc>
          <w:tcPr>
            <w:tcW w:type="dxa" w:w="25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Seasonality</w:t>
            </w:r>
          </w:p>
        </w:tc>
        <w:tc>
          <w:tcPr>
            <w:tcW w:type="dxa" w:w="68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System recommends running experiments for at least one full business week (Monday–Sunday). Experiments shorter than 7 days are flagged with a warning.</w:t>
            </w:r>
          </w:p>
        </w:tc>
      </w:tr>
    </w:tbl>
    <w:p>
      <w:r>
        <w:br w:type="page"/>
      </w:r>
    </w:p>
    <w:p>
      <w:pPr>
        <w:pStyle w:val="Heading1"/>
        <w:pBdr>
          <w:bottom w:val="single" w:color="1E3A5F" w:sz="4" w:space="6"/>
        </w:pBdr>
        <w:spacing w:after="200" w:before="400"/>
      </w:pPr>
      <w:r>
        <w:rPr>
          <w:rFonts w:ascii="Arial" w:cs="Arial" w:eastAsia="Arial" w:hAnsi="Arial"/>
          <w:b/>
          <w:bCs/>
          <w:color w:val="1E3A5F"/>
          <w:sz w:val="36"/>
          <w:szCs w:val="36"/>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rPr>
          <w:tblHeader/>
        </w:trPr>
        <w:tc>
          <w:tcPr>
            <w:tcW w:type="dxa" w:w="2000"/>
            <w:tcBorders>
              <w:top w:val="single" w:color="D0D8E4" w:sz="1"/>
              <w:left w:val="single" w:color="D0D8E4" w:sz="1"/>
              <w:bottom w:val="single" w:color="D0D8E4" w:sz="1"/>
              <w:right w:val="single" w:color="D0D8E4"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600"/>
            <w:tcBorders>
              <w:top w:val="single" w:color="D0D8E4" w:sz="1"/>
              <w:left w:val="single" w:color="D0D8E4" w:sz="1"/>
              <w:bottom w:val="single" w:color="D0D8E4" w:sz="1"/>
              <w:right w:val="single" w:color="D0D8E4"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1200"/>
            <w:tcBorders>
              <w:top w:val="single" w:color="D0D8E4" w:sz="1"/>
              <w:left w:val="single" w:color="D0D8E4" w:sz="1"/>
              <w:bottom w:val="single" w:color="D0D8E4" w:sz="1"/>
              <w:right w:val="single" w:color="D0D8E4"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560"/>
            <w:tcBorders>
              <w:top w:val="single" w:color="D0D8E4" w:sz="1"/>
              <w:left w:val="single" w:color="D0D8E4" w:sz="1"/>
              <w:bottom w:val="single" w:color="D0D8E4" w:sz="1"/>
              <w:right w:val="single" w:color="D0D8E4"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Assignment Latency</w:t>
            </w:r>
          </w:p>
        </w:tc>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&lt; 50ms</w:t>
            </w:r>
          </w:p>
        </w:tc>
        <w:tc>
          <w:tcPr>
            <w:tcW w:type="dxa" w:w="1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High</w:t>
            </w:r>
          </w:p>
        </w:tc>
        <w:tc>
          <w:tcPr>
            <w:tcW w:type="dxa" w:w="45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Variant assignment must not contribute to page load time in any measurable way</w:t>
            </w:r>
          </w:p>
        </w:tc>
      </w:tr>
      <w:tr>
        <w:tc>
          <w:tcPr>
            <w:tcW w:type="dxa" w:w="20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1A1A2E"/>
                <w:sz w:val="18"/>
                <w:szCs w:val="18"/>
              </w:rPr>
              <w:t xml:space="preserve">UI Flicker</w:t>
            </w:r>
          </w:p>
        </w:tc>
        <w:tc>
          <w:tcPr>
            <w:tcW w:type="dxa" w:w="16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Zero tolerance</w:t>
            </w:r>
          </w:p>
        </w:tc>
        <w:tc>
          <w:tcPr>
            <w:tcW w:type="dxa" w:w="12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Critical</w:t>
            </w:r>
          </w:p>
        </w:tc>
        <w:tc>
          <w:tcPr>
            <w:tcW w:type="dxa" w:w="45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Variant must render before page becomes visible to the visitor. Use server-side or edge assignment where possible; client-side must suppress flash.</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Data Loss</w:t>
            </w:r>
          </w:p>
        </w:tc>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&lt; 0.1% of exposure events</w:t>
            </w:r>
          </w:p>
        </w:tc>
        <w:tc>
          <w:tcPr>
            <w:tcW w:type="dxa" w:w="1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High</w:t>
            </w:r>
          </w:p>
        </w:tc>
        <w:tc>
          <w:tcPr>
            <w:tcW w:type="dxa" w:w="45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Events queue locally if API is unavailable and flush on reconnect</w:t>
            </w:r>
          </w:p>
        </w:tc>
      </w:tr>
      <w:tr>
        <w:tc>
          <w:tcPr>
            <w:tcW w:type="dxa" w:w="20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1A1A2E"/>
                <w:sz w:val="18"/>
                <w:szCs w:val="18"/>
              </w:rPr>
              <w:t xml:space="preserve">Results Freshness</w:t>
            </w:r>
          </w:p>
        </w:tc>
        <w:tc>
          <w:tcPr>
            <w:tcW w:type="dxa" w:w="16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Updated every 15 minutes</w:t>
            </w:r>
          </w:p>
        </w:tc>
        <w:tc>
          <w:tcPr>
            <w:tcW w:type="dxa" w:w="12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Medium</w:t>
            </w:r>
          </w:p>
        </w:tc>
        <w:tc>
          <w:tcPr>
            <w:tcW w:type="dxa" w:w="45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Batch computation acceptable; real-time is not required for MVP</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GDPR Compliance</w:t>
            </w:r>
          </w:p>
        </w:tc>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Consent-aware tracking</w:t>
            </w:r>
          </w:p>
        </w:tc>
        <w:tc>
          <w:tcPr>
            <w:tcW w:type="dxa" w:w="1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Critical</w:t>
            </w:r>
          </w:p>
        </w:tc>
        <w:tc>
          <w:tcPr>
            <w:tcW w:type="dxa" w:w="45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Experiment tracking fires only after consent signal is received (if merchant uses consent banner)</w:t>
            </w:r>
          </w:p>
        </w:tc>
      </w:tr>
      <w:tr>
        <w:tc>
          <w:tcPr>
            <w:tcW w:type="dxa" w:w="20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bCs/>
                <w:color w:val="1A1A2E"/>
                <w:sz w:val="18"/>
                <w:szCs w:val="18"/>
              </w:rPr>
              <w:t xml:space="preserve">Sticky Assignment</w:t>
            </w:r>
          </w:p>
        </w:tc>
        <w:tc>
          <w:tcPr>
            <w:tcW w:type="dxa" w:w="16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100% deterministic</w:t>
            </w:r>
          </w:p>
        </w:tc>
        <w:tc>
          <w:tcPr>
            <w:tcW w:type="dxa" w:w="120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Critical</w:t>
            </w:r>
          </w:p>
        </w:tc>
        <w:tc>
          <w:tcPr>
            <w:tcW w:type="dxa" w:w="4560"/>
            <w:tcBorders>
              <w:top w:val="single" w:color="D0D8E4" w:sz="1"/>
              <w:left w:val="single" w:color="D0D8E4" w:sz="1"/>
              <w:bottom w:val="single" w:color="D0D8E4" w:sz="1"/>
              <w:right w:val="single" w:color="D0D8E4" w:sz="1"/>
            </w:tcBorders>
            <w:shd w:fill="F5F7FA" w:val="clear"/>
            <w:tcMar>
              <w:top w:type="dxa" w:w="80"/>
              <w:left w:type="dxa" w:w="120"/>
              <w:bottom w:type="dxa" w:w="80"/>
              <w:right w:type="dxa" w:w="120"/>
            </w:tcMar>
          </w:tcPr>
          <w:p>
            <w:r>
              <w:rPr>
                <w:rFonts w:ascii="Arial" w:cs="Arial" w:eastAsia="Arial" w:hAnsi="Arial"/>
                <w:b w:val="false"/>
                <w:bCs w:val="false"/>
                <w:color w:val="4A5568"/>
                <w:sz w:val="18"/>
                <w:szCs w:val="18"/>
              </w:rPr>
              <w:t xml:space="preserve">Same visitor must always see same variant across sessions during experiment duration</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Mobile Performance</w:t>
            </w:r>
          </w:p>
        </w:tc>
        <w:tc>
          <w:tcPr>
            <w:tcW w:type="dxa" w:w="16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No degradation vs control</w:t>
            </w:r>
          </w:p>
        </w:tc>
        <w:tc>
          <w:tcPr>
            <w:tcW w:type="dxa" w:w="120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High</w:t>
            </w:r>
          </w:p>
        </w:tc>
        <w:tc>
          <w:tcPr>
            <w:tcW w:type="dxa" w:w="4560"/>
            <w:tcBorders>
              <w:top w:val="single" w:color="D0D8E4" w:sz="1"/>
              <w:left w:val="single" w:color="D0D8E4" w:sz="1"/>
              <w:bottom w:val="single" w:color="D0D8E4" w:sz="1"/>
              <w:right w:val="single" w:color="D0D8E4"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Guardrail metric enforces this; experiment variants tested on 375px viewport</w:t>
            </w:r>
          </w:p>
        </w:tc>
      </w:tr>
    </w:tbl>
    <w:p>
      <w:r>
        <w:br w:type="page"/>
      </w:r>
    </w:p>
    <w:p>
      <w:pPr>
        <w:pStyle w:val="Heading1"/>
        <w:pBdr>
          <w:bottom w:val="single" w:color="1E3A5F" w:sz="4" w:space="6"/>
        </w:pBdr>
        <w:spacing w:after="200" w:before="400"/>
      </w:pPr>
      <w:r>
        <w:rPr>
          <w:rFonts w:ascii="Arial" w:cs="Arial" w:eastAsia="Arial" w:hAnsi="Arial"/>
          <w:b/>
          <w:bCs/>
          <w:color w:val="1E3A5F"/>
          <w:sz w:val="36"/>
          <w:szCs w:val="36"/>
        </w:rPr>
        <w:t xml:space="preserve">9. Data Model (Simplified)</w:t>
      </w:r>
    </w:p>
    <w:p>
      <w:pPr>
        <w:spacing w:after="100" w:before="80"/>
      </w:pPr>
      <w:r>
        <w:rPr>
          <w:rFonts w:ascii="Arial" w:cs="Arial" w:eastAsia="Arial" w:hAnsi="Arial"/>
          <w:color w:val="1A1A2E"/>
          <w:sz w:val="22"/>
          <w:szCs w:val="22"/>
        </w:rPr>
        <w:t xml:space="preserve">The following tables represent the minimum data model required to support the experimentation system. Schema is simplified for PRD purposes — implementation team will extend as needed.</w:t>
      </w:r>
    </w:p>
    <w:p>
      <w:pPr>
        <w:spacing w:after="50" w:before="0"/>
      </w:pPr>
      <w:r>
        <w:t xml:space="preserve"/>
      </w:r>
    </w:p>
    <w:p>
      <w:pPr>
        <w:pStyle w:val="Heading2"/>
        <w:spacing w:after="140" w:before="320"/>
      </w:pPr>
      <w:r>
        <w:rPr>
          <w:rFonts w:ascii="Arial" w:cs="Arial" w:eastAsia="Arial" w:hAnsi="Arial"/>
          <w:b/>
          <w:bCs/>
          <w:color w:val="1E3A5F"/>
          <w:sz w:val="28"/>
          <w:szCs w:val="28"/>
        </w:rPr>
        <w:t xml:space="preserve">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696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Type &amp; Notes</w:t>
            </w:r>
          </w:p>
        </w:tc>
      </w:tr>
      <w:tr>
        <w:tc>
          <w:tcPr>
            <w:tcW w:type="dxa" w:w="24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experiment_id</w:t>
            </w:r>
          </w:p>
        </w:tc>
        <w:tc>
          <w:tcPr>
            <w:tcW w:type="dxa" w:w="69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UUID, primary key</w:t>
            </w:r>
          </w:p>
        </w:tc>
      </w:tr>
      <w:tr>
        <w:tc>
          <w:tcPr>
            <w:tcW w:type="dxa" w:w="24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page_id</w:t>
            </w:r>
          </w:p>
        </w:tc>
        <w:tc>
          <w:tcPr>
            <w:tcW w:type="dxa" w:w="69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FK to landing_pages table (Awareness / Differentiation / Conversion / Loyalty)</w:t>
            </w:r>
          </w:p>
        </w:tc>
      </w:tr>
      <w:tr>
        <w:tc>
          <w:tcPr>
            <w:tcW w:type="dxa" w:w="24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name</w:t>
            </w:r>
          </w:p>
        </w:tc>
        <w:tc>
          <w:tcPr>
            <w:tcW w:type="dxa" w:w="69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Merchant-defined string</w:t>
            </w:r>
          </w:p>
        </w:tc>
      </w:tr>
      <w:tr>
        <w:tc>
          <w:tcPr>
            <w:tcW w:type="dxa" w:w="24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hypothesis</w:t>
            </w:r>
          </w:p>
        </w:tc>
        <w:tc>
          <w:tcPr>
            <w:tcW w:type="dxa" w:w="69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Free text, required</w:t>
            </w:r>
          </w:p>
        </w:tc>
      </w:tr>
      <w:tr>
        <w:tc>
          <w:tcPr>
            <w:tcW w:type="dxa" w:w="24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test_type</w:t>
            </w:r>
          </w:p>
        </w:tc>
        <w:tc>
          <w:tcPr>
            <w:tcW w:type="dxa" w:w="69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ENUM: ab, abn, mvt</w:t>
            </w:r>
          </w:p>
        </w:tc>
      </w:tr>
      <w:tr>
        <w:tc>
          <w:tcPr>
            <w:tcW w:type="dxa" w:w="24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statistical_model</w:t>
            </w:r>
          </w:p>
        </w:tc>
        <w:tc>
          <w:tcPr>
            <w:tcW w:type="dxa" w:w="69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ENUM: frequentist, bayesian</w:t>
            </w:r>
          </w:p>
        </w:tc>
      </w:tr>
      <w:tr>
        <w:tc>
          <w:tcPr>
            <w:tcW w:type="dxa" w:w="24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traffic_split</w:t>
            </w:r>
          </w:p>
        </w:tc>
        <w:tc>
          <w:tcPr>
            <w:tcW w:type="dxa" w:w="69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JSON array: [{variant_id, allocation_pct}]</w:t>
            </w:r>
          </w:p>
        </w:tc>
      </w:tr>
      <w:tr>
        <w:tc>
          <w:tcPr>
            <w:tcW w:type="dxa" w:w="24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status</w:t>
            </w:r>
          </w:p>
        </w:tc>
        <w:tc>
          <w:tcPr>
            <w:tcW w:type="dxa" w:w="69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ENUM: draft, running, paused, completed</w:t>
            </w:r>
          </w:p>
        </w:tc>
      </w:tr>
      <w:tr>
        <w:tc>
          <w:tcPr>
            <w:tcW w:type="dxa" w:w="24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primary_metric</w:t>
            </w:r>
          </w:p>
        </w:tc>
        <w:tc>
          <w:tcPr>
            <w:tcW w:type="dxa" w:w="69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String (metric identifier)</w:t>
            </w:r>
          </w:p>
        </w:tc>
      </w:tr>
      <w:tr>
        <w:tc>
          <w:tcPr>
            <w:tcW w:type="dxa" w:w="24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created_at</w:t>
            </w:r>
          </w:p>
        </w:tc>
        <w:tc>
          <w:tcPr>
            <w:tcW w:type="dxa" w:w="69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Timestamp</w:t>
            </w:r>
          </w:p>
        </w:tc>
      </w:tr>
      <w:tr>
        <w:tc>
          <w:tcPr>
            <w:tcW w:type="dxa" w:w="24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started_at</w:t>
            </w:r>
          </w:p>
        </w:tc>
        <w:tc>
          <w:tcPr>
            <w:tcW w:type="dxa" w:w="69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Timestamp, nullable</w:t>
            </w:r>
          </w:p>
        </w:tc>
      </w:tr>
      <w:tr>
        <w:tc>
          <w:tcPr>
            <w:tcW w:type="dxa" w:w="24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completed_at</w:t>
            </w:r>
          </w:p>
        </w:tc>
        <w:tc>
          <w:tcPr>
            <w:tcW w:type="dxa" w:w="69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Timestamp, nullable</w:t>
            </w:r>
          </w:p>
        </w:tc>
      </w:tr>
    </w:tbl>
    <w:p>
      <w:pPr>
        <w:spacing w:after="50" w:before="0"/>
      </w:pPr>
      <w:r>
        <w:t xml:space="preserve"/>
      </w:r>
    </w:p>
    <w:p>
      <w:pPr>
        <w:pStyle w:val="Heading2"/>
        <w:spacing w:after="140" w:before="320"/>
      </w:pPr>
      <w:r>
        <w:rPr>
          <w:rFonts w:ascii="Arial" w:cs="Arial" w:eastAsia="Arial" w:hAnsi="Arial"/>
          <w:b/>
          <w:bCs/>
          <w:color w:val="1E3A5F"/>
          <w:sz w:val="28"/>
          <w:szCs w:val="28"/>
        </w:rPr>
        <w:t xml:space="preserve">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696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Type &amp; Notes</w:t>
            </w:r>
          </w:p>
        </w:tc>
      </w:tr>
      <w:tr>
        <w:tc>
          <w:tcPr>
            <w:tcW w:type="dxa" w:w="24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variant_id</w:t>
            </w:r>
          </w:p>
        </w:tc>
        <w:tc>
          <w:tcPr>
            <w:tcW w:type="dxa" w:w="69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UUID, primary key</w:t>
            </w:r>
          </w:p>
        </w:tc>
      </w:tr>
      <w:tr>
        <w:tc>
          <w:tcPr>
            <w:tcW w:type="dxa" w:w="24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experiment_id</w:t>
            </w:r>
          </w:p>
        </w:tc>
        <w:tc>
          <w:tcPr>
            <w:tcW w:type="dxa" w:w="69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FK to experiments</w:t>
            </w:r>
          </w:p>
        </w:tc>
      </w:tr>
      <w:tr>
        <w:tc>
          <w:tcPr>
            <w:tcW w:type="dxa" w:w="24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label</w:t>
            </w:r>
          </w:p>
        </w:tc>
        <w:tc>
          <w:tcPr>
            <w:tcW w:type="dxa" w:w="69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String: 'Control', 'Variant B', 'Variant C'...</w:t>
            </w:r>
          </w:p>
        </w:tc>
      </w:tr>
      <w:tr>
        <w:tc>
          <w:tcPr>
            <w:tcW w:type="dxa" w:w="24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element_type</w:t>
            </w:r>
          </w:p>
        </w:tc>
        <w:tc>
          <w:tcPr>
            <w:tcW w:type="dxa" w:w="69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String: e.g., 'headline', 'cta_copy', 'hero_image'</w:t>
            </w:r>
          </w:p>
        </w:tc>
      </w:tr>
      <w:tr>
        <w:tc>
          <w:tcPr>
            <w:tcW w:type="dxa" w:w="24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content</w:t>
            </w:r>
          </w:p>
        </w:tc>
        <w:tc>
          <w:tcPr>
            <w:tcW w:type="dxa" w:w="69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JSON: element-specific content (copy, image URL, etc.)</w:t>
            </w:r>
          </w:p>
        </w:tc>
      </w:tr>
      <w:tr>
        <w:tc>
          <w:tcPr>
            <w:tcW w:type="dxa" w:w="24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is_control</w:t>
            </w:r>
          </w:p>
        </w:tc>
        <w:tc>
          <w:tcPr>
            <w:tcW w:type="dxa" w:w="69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Boolean</w:t>
            </w:r>
          </w:p>
        </w:tc>
      </w:tr>
    </w:tbl>
    <w:p>
      <w:pPr>
        <w:spacing w:after="50" w:before="0"/>
      </w:pPr>
      <w:r>
        <w:t xml:space="preserve"/>
      </w:r>
    </w:p>
    <w:p>
      <w:pPr>
        <w:pStyle w:val="Heading2"/>
        <w:spacing w:after="140" w:before="320"/>
      </w:pPr>
      <w:r>
        <w:rPr>
          <w:rFonts w:ascii="Arial" w:cs="Arial" w:eastAsia="Arial" w:hAnsi="Arial"/>
          <w:b/>
          <w:bCs/>
          <w:color w:val="1E3A5F"/>
          <w:sz w:val="28"/>
          <w:szCs w:val="28"/>
        </w:rPr>
        <w:t xml:space="preserve">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696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Type &amp; Notes</w:t>
            </w:r>
          </w:p>
        </w:tc>
      </w:tr>
      <w:tr>
        <w:tc>
          <w:tcPr>
            <w:tcW w:type="dxa" w:w="24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assignment_id</w:t>
            </w:r>
          </w:p>
        </w:tc>
        <w:tc>
          <w:tcPr>
            <w:tcW w:type="dxa" w:w="69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UUID</w:t>
            </w:r>
          </w:p>
        </w:tc>
      </w:tr>
      <w:tr>
        <w:tc>
          <w:tcPr>
            <w:tcW w:type="dxa" w:w="24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experiment_id</w:t>
            </w:r>
          </w:p>
        </w:tc>
        <w:tc>
          <w:tcPr>
            <w:tcW w:type="dxa" w:w="69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FK to experiments</w:t>
            </w:r>
          </w:p>
        </w:tc>
      </w:tr>
      <w:tr>
        <w:tc>
          <w:tcPr>
            <w:tcW w:type="dxa" w:w="24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variant_id</w:t>
            </w:r>
          </w:p>
        </w:tc>
        <w:tc>
          <w:tcPr>
            <w:tcW w:type="dxa" w:w="69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FK to variants</w:t>
            </w:r>
          </w:p>
        </w:tc>
      </w:tr>
      <w:tr>
        <w:tc>
          <w:tcPr>
            <w:tcW w:type="dxa" w:w="24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session_id</w:t>
            </w:r>
          </w:p>
        </w:tc>
        <w:tc>
          <w:tcPr>
            <w:tcW w:type="dxa" w:w="69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String (hashed, not PII)</w:t>
            </w:r>
          </w:p>
        </w:tc>
      </w:tr>
      <w:tr>
        <w:tc>
          <w:tcPr>
            <w:tcW w:type="dxa" w:w="24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utm_source</w:t>
            </w:r>
          </w:p>
        </w:tc>
        <w:tc>
          <w:tcPr>
            <w:tcW w:type="dxa" w:w="69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String, nullable</w:t>
            </w:r>
          </w:p>
        </w:tc>
      </w:tr>
      <w:tr>
        <w:tc>
          <w:tcPr>
            <w:tcW w:type="dxa" w:w="24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utm_medium</w:t>
            </w:r>
          </w:p>
        </w:tc>
        <w:tc>
          <w:tcPr>
            <w:tcW w:type="dxa" w:w="69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String, nullable</w:t>
            </w:r>
          </w:p>
        </w:tc>
      </w:tr>
      <w:tr>
        <w:tc>
          <w:tcPr>
            <w:tcW w:type="dxa" w:w="24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utm_campaign</w:t>
            </w:r>
          </w:p>
        </w:tc>
        <w:tc>
          <w:tcPr>
            <w:tcW w:type="dxa" w:w="69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String, nullable</w:t>
            </w:r>
          </w:p>
        </w:tc>
      </w:tr>
      <w:tr>
        <w:tc>
          <w:tcPr>
            <w:tcW w:type="dxa" w:w="24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assigned_at</w:t>
            </w:r>
          </w:p>
        </w:tc>
        <w:tc>
          <w:tcPr>
            <w:tcW w:type="dxa" w:w="69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Timestamp</w:t>
            </w:r>
          </w:p>
        </w:tc>
      </w:tr>
    </w:tbl>
    <w:p>
      <w:pPr>
        <w:spacing w:after="50" w:before="0"/>
      </w:pPr>
      <w:r>
        <w:t xml:space="preserve"/>
      </w:r>
    </w:p>
    <w:p>
      <w:pPr>
        <w:pStyle w:val="Heading2"/>
        <w:spacing w:after="140" w:before="320"/>
      </w:pPr>
      <w:r>
        <w:rPr>
          <w:rFonts w:ascii="Arial" w:cs="Arial" w:eastAsia="Arial" w:hAnsi="Arial"/>
          <w:b/>
          <w:bCs/>
          <w:color w:val="1E3A5F"/>
          <w:sz w:val="28"/>
          <w:szCs w:val="28"/>
        </w:rPr>
        <w:t xml:space="preserve">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696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Type &amp; Notes</w:t>
            </w:r>
          </w:p>
        </w:tc>
      </w:tr>
      <w:tr>
        <w:tc>
          <w:tcPr>
            <w:tcW w:type="dxa" w:w="24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event_id</w:t>
            </w:r>
          </w:p>
        </w:tc>
        <w:tc>
          <w:tcPr>
            <w:tcW w:type="dxa" w:w="69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UUID</w:t>
            </w:r>
          </w:p>
        </w:tc>
      </w:tr>
      <w:tr>
        <w:tc>
          <w:tcPr>
            <w:tcW w:type="dxa" w:w="24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assignment_id</w:t>
            </w:r>
          </w:p>
        </w:tc>
        <w:tc>
          <w:tcPr>
            <w:tcW w:type="dxa" w:w="69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FK to assignments</w:t>
            </w:r>
          </w:p>
        </w:tc>
      </w:tr>
      <w:tr>
        <w:tc>
          <w:tcPr>
            <w:tcW w:type="dxa" w:w="24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event_type</w:t>
            </w:r>
          </w:p>
        </w:tc>
        <w:tc>
          <w:tcPr>
            <w:tcW w:type="dxa" w:w="69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ENUM: exposure, scroll, click, form_submit, purchase</w:t>
            </w:r>
          </w:p>
        </w:tc>
      </w:tr>
      <w:tr>
        <w:tc>
          <w:tcPr>
            <w:tcW w:type="dxa" w:w="24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event_value</w:t>
            </w:r>
          </w:p>
        </w:tc>
        <w:tc>
          <w:tcPr>
            <w:tcW w:type="dxa" w:w="69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Numeric, nullable (e.g., purchase amount)</w:t>
            </w:r>
          </w:p>
        </w:tc>
      </w:tr>
      <w:tr>
        <w:tc>
          <w:tcPr>
            <w:tcW w:type="dxa" w:w="24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metadata</w:t>
            </w:r>
          </w:p>
        </w:tc>
        <w:tc>
          <w:tcPr>
            <w:tcW w:type="dxa" w:w="69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JSON (element clicked, scroll depth %, etc.)</w:t>
            </w:r>
          </w:p>
        </w:tc>
      </w:tr>
      <w:tr>
        <w:tc>
          <w:tcPr>
            <w:tcW w:type="dxa" w:w="24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occurred_at</w:t>
            </w:r>
          </w:p>
        </w:tc>
        <w:tc>
          <w:tcPr>
            <w:tcW w:type="dxa" w:w="69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Timestamp</w:t>
            </w:r>
          </w:p>
        </w:tc>
      </w:tr>
    </w:tbl>
    <w:p>
      <w:r>
        <w:br w:type="page"/>
      </w:r>
    </w:p>
    <w:p>
      <w:pPr>
        <w:pStyle w:val="Heading1"/>
        <w:pBdr>
          <w:bottom w:val="single" w:color="1E3A5F" w:sz="4" w:space="6"/>
        </w:pBdr>
        <w:spacing w:after="200" w:before="400"/>
      </w:pPr>
      <w:r>
        <w:rPr>
          <w:rFonts w:ascii="Arial" w:cs="Arial" w:eastAsia="Arial" w:hAnsi="Arial"/>
          <w:b/>
          <w:bCs/>
          <w:color w:val="1E3A5F"/>
          <w:sz w:val="36"/>
          <w:szCs w:val="36"/>
        </w:rPr>
        <w:t xml:space="preserve">10. Out of Scope for v1.0</w:t>
      </w:r>
    </w:p>
    <w:p>
      <w:pPr>
        <w:pStyle w:val="ListParagraph"/>
        <w:numPr>
          <w:ilvl w:val="0"/>
          <w:numId w:val="2"/>
        </w:numPr>
        <w:spacing w:after="60" w:before="60"/>
      </w:pPr>
      <w:r>
        <w:rPr>
          <w:rFonts w:ascii="Arial" w:cs="Arial" w:eastAsia="Arial" w:hAnsi="Arial"/>
          <w:color w:val="1A1A2E"/>
          <w:sz w:val="22"/>
          <w:szCs w:val="22"/>
        </w:rPr>
        <w:t xml:space="preserve">Server-side SDK or feature-flag-driven experimentation (client-side only for v1.0)</w:t>
      </w:r>
    </w:p>
    <w:p>
      <w:pPr>
        <w:pStyle w:val="ListParagraph"/>
        <w:numPr>
          <w:ilvl w:val="0"/>
          <w:numId w:val="2"/>
        </w:numPr>
        <w:spacing w:after="60" w:before="60"/>
      </w:pPr>
      <w:r>
        <w:rPr>
          <w:rFonts w:ascii="Arial" w:cs="Arial" w:eastAsia="Arial" w:hAnsi="Arial"/>
          <w:color w:val="1A1A2E"/>
          <w:sz w:val="22"/>
          <w:szCs w:val="22"/>
        </w:rPr>
        <w:t xml:space="preserve">Multi-page experiments (single landing page per experiment)</w:t>
      </w:r>
    </w:p>
    <w:p>
      <w:pPr>
        <w:pStyle w:val="ListParagraph"/>
        <w:numPr>
          <w:ilvl w:val="0"/>
          <w:numId w:val="2"/>
        </w:numPr>
        <w:spacing w:after="60" w:before="60"/>
      </w:pPr>
      <w:r>
        <w:rPr>
          <w:rFonts w:ascii="Arial" w:cs="Arial" w:eastAsia="Arial" w:hAnsi="Arial"/>
          <w:color w:val="1A1A2E"/>
          <w:sz w:val="22"/>
          <w:szCs w:val="22"/>
        </w:rPr>
        <w:t xml:space="preserve">Personalisation or audience segmentation beyond UTM filters</w:t>
      </w:r>
    </w:p>
    <w:p>
      <w:pPr>
        <w:pStyle w:val="ListParagraph"/>
        <w:numPr>
          <w:ilvl w:val="0"/>
          <w:numId w:val="2"/>
        </w:numPr>
        <w:spacing w:after="60" w:before="60"/>
      </w:pPr>
      <w:r>
        <w:rPr>
          <w:rFonts w:ascii="Arial" w:cs="Arial" w:eastAsia="Arial" w:hAnsi="Arial"/>
          <w:color w:val="1A1A2E"/>
          <w:sz w:val="22"/>
          <w:szCs w:val="22"/>
        </w:rPr>
        <w:t xml:space="preserve">Heatmaps, session recordings, or click visualisations</w:t>
      </w:r>
    </w:p>
    <w:p>
      <w:pPr>
        <w:pStyle w:val="ListParagraph"/>
        <w:numPr>
          <w:ilvl w:val="0"/>
          <w:numId w:val="2"/>
        </w:numPr>
        <w:spacing w:after="60" w:before="60"/>
      </w:pPr>
      <w:r>
        <w:rPr>
          <w:rFonts w:ascii="Arial" w:cs="Arial" w:eastAsia="Arial" w:hAnsi="Arial"/>
          <w:color w:val="1A1A2E"/>
          <w:sz w:val="22"/>
          <w:szCs w:val="22"/>
        </w:rPr>
        <w:t xml:space="preserve">Email notifications for experiment status changes</w:t>
      </w:r>
    </w:p>
    <w:p>
      <w:pPr>
        <w:pStyle w:val="ListParagraph"/>
        <w:numPr>
          <w:ilvl w:val="0"/>
          <w:numId w:val="2"/>
        </w:numPr>
        <w:spacing w:after="60" w:before="60"/>
      </w:pPr>
      <w:r>
        <w:rPr>
          <w:rFonts w:ascii="Arial" w:cs="Arial" w:eastAsia="Arial" w:hAnsi="Arial"/>
          <w:color w:val="1A1A2E"/>
          <w:sz w:val="22"/>
          <w:szCs w:val="22"/>
        </w:rPr>
        <w:t xml:space="preserve">Team collaboration or experiment approvals workflow</w:t>
      </w:r>
    </w:p>
    <w:p>
      <w:pPr>
        <w:pStyle w:val="ListParagraph"/>
        <w:numPr>
          <w:ilvl w:val="0"/>
          <w:numId w:val="2"/>
        </w:numPr>
        <w:spacing w:after="60" w:before="60"/>
      </w:pPr>
      <w:r>
        <w:rPr>
          <w:rFonts w:ascii="Arial" w:cs="Arial" w:eastAsia="Arial" w:hAnsi="Arial"/>
          <w:color w:val="1A1A2E"/>
          <w:sz w:val="22"/>
          <w:szCs w:val="22"/>
        </w:rPr>
        <w:t xml:space="preserve">White-label experimentation reporting for agency clients</w:t>
      </w:r>
    </w:p>
    <w:p>
      <w:pPr>
        <w:pStyle w:val="ListParagraph"/>
        <w:numPr>
          <w:ilvl w:val="0"/>
          <w:numId w:val="2"/>
        </w:numPr>
        <w:spacing w:after="60" w:before="60"/>
      </w:pPr>
      <w:r>
        <w:rPr>
          <w:rFonts w:ascii="Arial" w:cs="Arial" w:eastAsia="Arial" w:hAnsi="Arial"/>
          <w:color w:val="1A1A2E"/>
          <w:sz w:val="22"/>
          <w:szCs w:val="22"/>
        </w:rPr>
        <w:t xml:space="preserve">Real-time streaming metrics (15-minute batch refresh is sufficient for v1.0)</w:t>
      </w:r>
    </w:p>
    <w:p>
      <w:pPr>
        <w:pStyle w:val="ListParagraph"/>
        <w:numPr>
          <w:ilvl w:val="0"/>
          <w:numId w:val="2"/>
        </w:numPr>
        <w:spacing w:after="60" w:before="60"/>
      </w:pPr>
      <w:r>
        <w:rPr>
          <w:rFonts w:ascii="Arial" w:cs="Arial" w:eastAsia="Arial" w:hAnsi="Arial"/>
          <w:color w:val="1A1A2E"/>
          <w:sz w:val="22"/>
          <w:szCs w:val="22"/>
        </w:rPr>
        <w:t xml:space="preserve">First-click or linear attribution models (last-click only for v1.0)</w:t>
      </w:r>
    </w:p>
    <w:p>
      <w:pPr>
        <w:pStyle w:val="ListParagraph"/>
        <w:numPr>
          <w:ilvl w:val="0"/>
          <w:numId w:val="2"/>
        </w:numPr>
        <w:spacing w:after="60" w:before="60"/>
      </w:pPr>
      <w:r>
        <w:rPr>
          <w:rFonts w:ascii="Arial" w:cs="Arial" w:eastAsia="Arial" w:hAnsi="Arial"/>
          <w:color w:val="1A1A2E"/>
          <w:sz w:val="22"/>
          <w:szCs w:val="22"/>
        </w:rPr>
        <w:t xml:space="preserve">Experiment scheduling (start/end date in advance)</w:t>
      </w:r>
    </w:p>
    <w:p>
      <w:pPr>
        <w:spacing w:after="100" w:before="0"/>
      </w:pPr>
      <w:r>
        <w:t xml:space="preserve"/>
      </w:r>
    </w:p>
    <w:p>
      <w:pPr>
        <w:pStyle w:val="Heading1"/>
        <w:pBdr>
          <w:bottom w:val="single" w:color="1E3A5F" w:sz="4" w:space="6"/>
        </w:pBdr>
        <w:spacing w:after="200" w:before="400"/>
      </w:pPr>
      <w:r>
        <w:rPr>
          <w:rFonts w:ascii="Arial" w:cs="Arial" w:eastAsia="Arial" w:hAnsi="Arial"/>
          <w:b/>
          <w:bCs/>
          <w:color w:val="1E3A5F"/>
          <w:sz w:val="36"/>
          <w:szCs w:val="36"/>
        </w:rPr>
        <w:t xml:space="preserve">11.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ID</w:t>
            </w:r>
          </w:p>
        </w:tc>
        <w:tc>
          <w:tcPr>
            <w:tcW w:type="dxa" w:w="816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Question</w:t>
            </w:r>
          </w:p>
        </w:tc>
      </w:tr>
      <w:tr>
        <w:tc>
          <w:tcPr>
            <w:tcW w:type="dxa" w:w="12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OQ-01</w:t>
            </w:r>
          </w:p>
        </w:tc>
        <w:tc>
          <w:tcPr>
            <w:tcW w:type="dxa" w:w="81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What is the data source for 'current weekly traffic estimate' shown on the Page Selection screen? Does this require a GA4 or Shopify Analytics connection, or is it inferred from internal page view logs?</w:t>
            </w:r>
          </w:p>
        </w:tc>
      </w:tr>
      <w:tr>
        <w:tc>
          <w:tcPr>
            <w:tcW w:type="dxa" w:w="12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OQ-02</w:t>
            </w:r>
          </w:p>
        </w:tc>
        <w:tc>
          <w:tcPr>
            <w:tcW w:type="dxa" w:w="81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For merchants without any prior conversion data on a page, the baseline conversion rate defaults to 2.5%. Is this the right default for Shopify merchants across all funnel stages, or should it vary by stage?</w:t>
            </w:r>
          </w:p>
        </w:tc>
      </w:tr>
      <w:tr>
        <w:tc>
          <w:tcPr>
            <w:tcW w:type="dxa" w:w="12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OQ-03</w:t>
            </w:r>
          </w:p>
        </w:tc>
        <w:tc>
          <w:tcPr>
            <w:tcW w:type="dxa" w:w="81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What happens to an experiment if the merchant unpublishes the landing page mid-test? System should auto-pause — confirm this is the desired behaviour.</w:t>
            </w:r>
          </w:p>
        </w:tc>
      </w:tr>
      <w:tr>
        <w:tc>
          <w:tcPr>
            <w:tcW w:type="dxa" w:w="120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b/>
                <w:bCs/>
                <w:color w:val="1A1A2E"/>
                <w:sz w:val="20"/>
                <w:szCs w:val="20"/>
              </w:rPr>
              <w:t xml:space="preserve">OQ-04</w:t>
            </w:r>
          </w:p>
        </w:tc>
        <w:tc>
          <w:tcPr>
            <w:tcW w:type="dxa" w:w="8160"/>
            <w:tcBorders>
              <w:top w:val="single" w:color="D0D8E4" w:sz="1"/>
              <w:left w:val="single" w:color="D0D8E4" w:sz="1"/>
              <w:bottom w:val="single" w:color="D0D8E4" w:sz="1"/>
              <w:right w:val="single" w:color="D0D8E4" w:sz="1"/>
            </w:tcBorders>
            <w:shd w:fill="F5F7FA" w:val="clear"/>
            <w:tcMar>
              <w:top w:type="dxa" w:w="80"/>
              <w:left w:type="dxa" w:w="160"/>
              <w:bottom w:type="dxa" w:w="80"/>
              <w:right w:type="dxa" w:w="160"/>
            </w:tcMar>
          </w:tcPr>
          <w:p>
            <w:r>
              <w:rPr>
                <w:rFonts w:ascii="Arial" w:cs="Arial" w:eastAsia="Arial" w:hAnsi="Arial"/>
                <w:color w:val="4A5568"/>
                <w:sz w:val="20"/>
                <w:szCs w:val="20"/>
              </w:rPr>
              <w:t xml:space="preserve">Are experiment results visible to merchants on the free plan, or only to paid subscribers? Confirm entitlement model before build.</w:t>
            </w:r>
          </w:p>
        </w:tc>
      </w:tr>
      <w:tr>
        <w:tc>
          <w:tcPr>
            <w:tcW w:type="dxa" w:w="12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OQ-05</w:t>
            </w:r>
          </w:p>
        </w:tc>
        <w:tc>
          <w:tcPr>
            <w:tcW w:type="dxa" w:w="81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UTM parameter persistence is set to 7 days. Is this aligned with the merchant's expected purchase cycle, or should it be configurable per experiment?</w:t>
            </w:r>
          </w:p>
        </w:tc>
      </w:tr>
    </w:tbl>
    <w:p>
      <w:pPr>
        <w:spacing w:after="100" w:before="0"/>
      </w:pPr>
      <w:r>
        <w:t xml:space="preserve"/>
      </w:r>
    </w:p>
    <w:p>
      <w:pPr>
        <w:pStyle w:val="Heading1"/>
        <w:pBdr>
          <w:bottom w:val="single" w:color="1E3A5F" w:sz="4" w:space="6"/>
        </w:pBdr>
        <w:spacing w:after="200" w:before="400"/>
      </w:pPr>
      <w:r>
        <w:rPr>
          <w:rFonts w:ascii="Arial" w:cs="Arial" w:eastAsia="Arial" w:hAnsi="Arial"/>
          <w:b/>
          <w:bCs/>
          <w:color w:val="1E3A5F"/>
          <w:sz w:val="36"/>
          <w:szCs w:val="36"/>
        </w:rPr>
        <w:t xml:space="preserve">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6960"/>
            <w:tcBorders>
              <w:top w:val="single" w:color="D0D8E4" w:sz="1"/>
              <w:left w:val="single" w:color="D0D8E4" w:sz="1"/>
              <w:bottom w:val="single" w:color="D0D8E4" w:sz="1"/>
              <w:right w:val="single" w:color="D0D8E4"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Changes</w:t>
            </w:r>
          </w:p>
        </w:tc>
      </w:tr>
      <w:tr>
        <w:tc>
          <w:tcPr>
            <w:tcW w:type="dxa" w:w="240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v1.0 — April 2026</w:t>
            </w:r>
          </w:p>
        </w:tc>
        <w:tc>
          <w:tcPr>
            <w:tcW w:type="dxa" w:w="69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60"/>
            </w:tcMar>
          </w:tcPr>
          <w:p>
            <w:r>
              <w:rPr>
                <w:rFonts w:ascii="Arial" w:cs="Arial" w:eastAsia="Arial" w:hAnsi="Arial"/>
                <w:color w:val="4A5568"/>
                <w:sz w:val="20"/>
                <w:szCs w:val="20"/>
              </w:rPr>
              <w:t xml:space="preserve">Initial version. Activates US-13 through US-16 from PRD v3.1. Adds paid media attribution requirements, statistical model detail, funnel-stage test type matrix, and full data model.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6ED" w:sz="2" w:space="4"/>
      </w:pBdr>
    </w:pPr>
    <w:r>
      <w:rPr>
        <w:rFonts w:ascii="Arial" w:cs="Arial" w:eastAsia="Arial" w:hAnsi="Arial"/>
        <w:color w:val="4A5568"/>
        <w:sz w:val="16"/>
        <w:szCs w:val="16"/>
      </w:rPr>
      <w:t xml:space="preserve">Revmatics  |  Confidential</w:t>
    </w:r>
    <w:r>
      <w:rPr>
        <w:rFonts w:ascii="Arial" w:cs="Arial" w:eastAsia="Arial" w:hAnsi="Arial"/>
        <w:color w:val="4A5568"/>
        <w:sz w:val="16"/>
        <w:szCs w:val="16"/>
      </w:rPr>
      <w:t xml:space="preserve">        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6"/>
      </w:pBdr>
    </w:pPr>
    <w:r>
      <w:rPr>
        <w:rFonts w:ascii="Arial" w:cs="Arial" w:eastAsia="Arial" w:hAnsi="Arial"/>
        <w:color w:val="4A5568"/>
        <w:sz w:val="18"/>
        <w:szCs w:val="18"/>
      </w:rPr>
      <w:t xml:space="preserve">Revmatics  |  A/B &amp; Multivariate Testing PRD  |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2026-04-21T12:41:39.146Z</dcterms:created>
  <dcterms:modified xsi:type="dcterms:W3CDTF">2026-04-21T12:41:39.147Z</dcterms:modified>
</cp:coreProperties>
</file>

<file path=docProps/custom.xml><?xml version="1.0" encoding="utf-8"?>
<Properties xmlns="http://schemas.openxmlformats.org/officeDocument/2006/custom-properties" xmlns:vt="http://schemas.openxmlformats.org/officeDocument/2006/docPropsVTypes"/>
</file>