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1A1A1A" w:val="clear"/>
          </w:tcPr>
          <w:p>
            <w:pPr>
              <w:spacing w:before="4258"/>
            </w:pPr>
          </w:p>
          <w:p>
            <w:pPr>
              <w:pBdr>
                <w:bottom w:val="single" w:color="C9A84C" w:sz="6" w:space="8"/>
              </w:pBdr>
              <w:spacing w:after="500"/>
              <w:ind w:left="1200" w:right="800"/>
            </w:pPr>
            <w:r>
              <w:rPr>
                <w:rFonts w:ascii="Calibri"/>
                <w:color w:val="C9A84C"/>
                <w:spacing w:val="40"/>
                <w:sz w:val="18"/>
                <w:szCs w:val="18"/>
              </w:rPr>
              <w:t xml:space="preserve">Q  U  A  N  T  I  T  A  T  I  V  E     F  O  R  E  X     T  R  A  D  I  N  G     R  E  S  E  A  R  C  H</w:t>
            </w:r>
          </w:p>
          <w:p>
            <w:pPr>
              <w:spacing w:after="100" w:line="552" w:lineRule="atLeast"/>
              <w:ind w:left="1200"/>
            </w:pPr>
            <w:r>
              <w:rPr>
                <w:rFonts w:ascii="Times New Roman"/>
                <w:b/>
                <w:bCs/>
                <w:sz w:val="48"/>
                <w:szCs w:val="48"/>
              </w:rPr>
              <w:t xml:space="preserve">Pesquisa de</w:t>
            </w:r>
          </w:p>
          <w:p>
            <w:pPr>
              <w:spacing w:after="100" w:line="552" w:lineRule="atLeast"/>
              <w:ind w:left="1200"/>
            </w:pPr>
            <w:r>
              <w:rPr>
                <w:rFonts w:ascii="Times New Roman"/>
                <w:b/>
                <w:bCs/>
                <w:sz w:val="48"/>
                <w:szCs w:val="48"/>
              </w:rPr>
              <w:t xml:space="preserve">Estrategias para</w:t>
            </w:r>
          </w:p>
          <w:p>
            <w:pPr>
              <w:spacing w:after="100" w:line="552" w:lineRule="atLeast"/>
              <w:ind w:left="1200"/>
            </w:pPr>
            <w:r>
              <w:rPr>
                <w:rFonts w:ascii="Times New Roman"/>
                <w:b/>
                <w:bCs/>
                <w:sz w:val="48"/>
                <w:szCs w:val="48"/>
              </w:rPr>
              <w:t xml:space="preserve">Bot Algoritmico de</w:t>
            </w:r>
          </w:p>
          <w:p>
            <w:pPr>
              <w:spacing w:after="300" w:line="552" w:lineRule="atLeast"/>
              <w:ind w:left="1200"/>
            </w:pPr>
            <w:r>
              <w:rPr>
                <w:rFonts w:ascii="Times New Roman"/>
                <w:b/>
                <w:bCs/>
                <w:sz w:val="48"/>
                <w:szCs w:val="48"/>
              </w:rPr>
              <w:t xml:space="preserve">Forex</w:t>
            </w:r>
          </w:p>
          <w:p>
            <w:pPr>
              <w:spacing w:after="800"/>
              <w:ind w:left="1200"/>
            </w:pPr>
            <w:r>
              <w:rPr>
                <w:rFonts w:ascii="Calibri"/>
                <w:sz w:val="24"/>
                <w:szCs w:val="24"/>
              </w:rPr>
              <w:t xml:space="preserve">Base de Conhecimento para Sistemas Automatizados de Trading</w:t>
            </w:r>
          </w:p>
          <w:p>
            <w:pPr>
              <w:pBdr>
                <w:left w:val="single" w:color="C9A84C" w:sz="8" w:space="12"/>
              </w:pBdr>
              <w:spacing w:after="80"/>
              <w:ind w:left="1400"/>
            </w:pPr>
            <w:r>
              <w:rPr>
                <w:rFonts w:ascii="Calibri"/>
                <w:sz w:val="22"/>
                <w:szCs w:val="22"/>
              </w:rPr>
              <w:t xml:space="preserve">Documento de Pesquisa | Python + MetaTrader 5</w:t>
            </w:r>
          </w:p>
          <w:p>
            <w:pPr>
              <w:pBdr>
                <w:left w:val="single" w:color="C9A84C" w:sz="8" w:space="12"/>
              </w:pBdr>
              <w:spacing w:after="80"/>
              <w:ind w:left="1400"/>
            </w:pPr>
            <w:r>
              <w:rPr>
                <w:rFonts w:ascii="Calibri"/>
                <w:sz w:val="22"/>
                <w:szCs w:val="22"/>
              </w:rPr>
              <w:t xml:space="preserve">Foco: Estrategias Quantitativas, Backtesting e Gestao de Risco</w:t>
            </w:r>
          </w:p>
          <w:p>
            <w:pPr>
              <w:pBdr>
                <w:left w:val="single" w:color="C9A84C" w:sz="8" w:space="12"/>
              </w:pBdr>
              <w:spacing w:after="80"/>
              <w:ind w:left="1400"/>
            </w:pPr>
            <w:r>
              <w:rPr>
                <w:rFonts w:ascii="Calibri"/>
                <w:sz w:val="22"/>
                <w:szCs w:val="22"/>
              </w:rPr>
              <w:t xml:space="preserve">Classificacao: Uso Interno | Referencia Tecnica</w:t>
            </w:r>
          </w:p>
          <w:p>
            <w:pPr>
              <w:spacing w:before="4258"/>
            </w:pPr>
          </w:p>
          <w:p>
            <w:pPr>
              <w:pBdr>
                <w:top w:val="single" w:color="C9A84C" w:sz="2" w:space="8"/>
              </w:pBdr>
              <w:spacing w:before="200"/>
              <w:ind w:left="1200" w:right="800"/>
            </w:pPr>
            <w:r>
              <w:rPr>
                <w:rFonts w:ascii="Calibri"/>
                <w:sz w:val="16"/>
                <w:szCs w:val="16"/>
              </w:rPr>
              <w:t xml:space="preserve">Pesquisa Quantitativa Forex</w:t>
            </w:r>
            <w:r>
              <w:t xml:space="preserve">                                                    </w:t>
            </w:r>
            <w:r>
              <w:rPr>
                <w:rFonts w:ascii="Calibri"/>
                <w:sz w:val="16"/>
                <w:szCs w:val="16"/>
              </w:rPr>
              <w:t xml:space="preserve">2025</w:t>
            </w:r>
          </w:p>
        </w:tc>
      </w:tr>
    </w:tbl>
    <w:p>
      <w:pPr>
        <w:sectPr>
          <w:pgSz w:w="11906" w:h="16838" w:orient="portrait"/>
          <w:pgMar w:top="0" w:right="0" w:bottom="0" w:left="0" w:header="708" w:footer="708" w:gutter="0"/>
          <w:pgNumType/>
          <w:docGrid w:linePitch="360"/>
        </w:sectPr>
      </w:pPr>
    </w:p>
    <w:p>
      <w:pPr>
        <w:spacing w:after="360" w:before="480"/>
        <w:jc w:val="center"/>
      </w:pPr>
      <w:r>
        <w:rPr>
          <w:rFonts w:ascii="Times New Roman" w:eastAsia="SimHei"/>
          <w:b/>
          <w:bCs/>
          <w:color w:val="1A1A1A"/>
          <w:sz w:val="32"/>
          <w:szCs w:val="32"/>
        </w:rPr>
        <w:t xml:space="preserve">Sumario</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Sumario Executivo</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PARTE 1 - Fundamentos</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2. Indicadores Tecnicos: Analise Matematica</w:t>
            </w:r>
            <w:r>
              <w:tab/>
            </w:r>
            <w:r>
              <w:fldChar w:fldCharType="begin"/>
            </w:r>
            <w:r>
              <w:instrText xml:space="preserve"> PAGEREF _Toc100002 \h </w:instrText>
            </w:r>
            <w:r>
              <w:fldChar w:fldCharType="separate"/>
            </w:r>
            <w:r>
              <w:t>2</w:t>
            </w:r>
            <w:r>
              <w:fldChar w:fldCharType="end"/>
            </w:r>
          </w:hyperlink>
        </w:p>
        <w:p>
          <w:pPr>
            <w:pStyle w:val="12"/>
            <w:ind w:left="720"/>
            <w:tabs>
              <w:tab w:val="right" w:leader="dot" w:pos="9026"/>
            </w:tabs>
            <w:spacing w:before="120" w:after="60"/>
          </w:pPr>
          <w:hyperlink w:anchor="_Toc100003" w:history="1">
            <w:r>
              <w:rPr>
                <w:rStyle w:val="Hyperlink"/>
              </w:rPr>
              <w:t>2.1 Indicadores de Tendencia</w:t>
            </w:r>
            <w:r>
              <w:tab/>
            </w:r>
            <w:r>
              <w:fldChar w:fldCharType="begin"/>
            </w:r>
            <w:r>
              <w:instrText xml:space="preserve"> PAGEREF _Toc100003 \h </w:instrText>
            </w:r>
            <w:r>
              <w:fldChar w:fldCharType="separate"/>
            </w:r>
            <w:r>
              <w:t>2</w:t>
            </w:r>
            <w:r>
              <w:fldChar w:fldCharType="end"/>
            </w:r>
          </w:hyperlink>
        </w:p>
        <w:p>
          <w:pPr>
            <w:pStyle w:val="12"/>
            <w:ind w:left="720"/>
            <w:tabs>
              <w:tab w:val="right" w:leader="dot" w:pos="9026"/>
            </w:tabs>
            <w:spacing w:before="120" w:after="60"/>
          </w:pPr>
          <w:hyperlink w:anchor="_Toc100004" w:history="1">
            <w:r>
              <w:rPr>
                <w:rStyle w:val="Hyperlink"/>
              </w:rPr>
              <w:t>2.2 Indicadores de Momentum</w:t>
            </w:r>
            <w:r>
              <w:tab/>
            </w:r>
            <w:r>
              <w:fldChar w:fldCharType="begin"/>
            </w:r>
            <w:r>
              <w:instrText xml:space="preserve"> PAGEREF _Toc100004 \h </w:instrText>
            </w:r>
            <w:r>
              <w:fldChar w:fldCharType="separate"/>
            </w:r>
            <w:r>
              <w:t>3</w:t>
            </w:r>
            <w:r>
              <w:fldChar w:fldCharType="end"/>
            </w:r>
          </w:hyperlink>
        </w:p>
        <w:p>
          <w:pPr>
            <w:pStyle w:val="12"/>
            <w:ind w:left="720"/>
            <w:tabs>
              <w:tab w:val="right" w:leader="dot" w:pos="9026"/>
            </w:tabs>
            <w:spacing w:before="120" w:after="60"/>
          </w:pPr>
          <w:hyperlink w:anchor="_Toc100005" w:history="1">
            <w:r>
              <w:rPr>
                <w:rStyle w:val="Hyperlink"/>
              </w:rPr>
              <w:t>2.3 Indicadores de Volatilidade</w:t>
            </w:r>
            <w:r>
              <w:tab/>
            </w:r>
            <w:r>
              <w:fldChar w:fldCharType="begin"/>
            </w:r>
            <w:r>
              <w:instrText xml:space="preserve"> PAGEREF _Toc100005 \h </w:instrText>
            </w:r>
            <w:r>
              <w:fldChar w:fldCharType="separate"/>
            </w:r>
            <w:r>
              <w:t>4</w:t>
            </w:r>
            <w:r>
              <w:fldChar w:fldCharType="end"/>
            </w:r>
          </w:hyperlink>
        </w:p>
        <w:p>
          <w:pPr>
            <w:pStyle w:val="12"/>
            <w:ind w:left="720"/>
            <w:tabs>
              <w:tab w:val="right" w:leader="dot" w:pos="9026"/>
            </w:tabs>
            <w:spacing w:before="120" w:after="60"/>
          </w:pPr>
          <w:hyperlink w:anchor="_Toc100006" w:history="1">
            <w:r>
              <w:rPr>
                <w:rStyle w:val="Hyperlink"/>
              </w:rPr>
              <w:t>2.4 Volume no Forex</w:t>
            </w:r>
            <w:r>
              <w:tab/>
            </w:r>
            <w:r>
              <w:fldChar w:fldCharType="begin"/>
            </w:r>
            <w:r>
              <w:instrText xml:space="preserve"> PAGEREF _Toc100006 \h </w:instrText>
            </w:r>
            <w:r>
              <w:fldChar w:fldCharType="separate"/>
            </w:r>
            <w:r>
              <w:t>5</w:t>
            </w:r>
            <w:r>
              <w:fldChar w:fldCharType="end"/>
            </w:r>
          </w:hyperlink>
        </w:p>
        <w:p>
          <w:pPr>
            <w:pStyle w:val="12"/>
            <w:ind w:left="720"/>
            <w:tabs>
              <w:tab w:val="right" w:leader="dot" w:pos="9026"/>
            </w:tabs>
            <w:spacing w:before="120" w:after="60"/>
          </w:pPr>
          <w:hyperlink w:anchor="_Toc100007" w:history="1">
            <w:r>
              <w:rPr>
                <w:rStyle w:val="Hyperlink"/>
              </w:rPr>
              <w:t>2.5 Tabela de Correlacao entre Indicadores</w:t>
            </w:r>
            <w:r>
              <w:tab/>
            </w:r>
            <w:r>
              <w:fldChar w:fldCharType="begin"/>
            </w:r>
            <w:r>
              <w:instrText xml:space="preserve"> PAGEREF _Toc100007 \h </w:instrText>
            </w:r>
            <w:r>
              <w:fldChar w:fldCharType="separate"/>
            </w:r>
            <w:r>
              <w:t>5</w:t>
            </w:r>
            <w:r>
              <w:fldChar w:fldCharType="end"/>
            </w:r>
          </w:hyperlink>
        </w:p>
        <w:p>
          <w:pPr>
            <w:pStyle w:val="11"/>
            <w:ind w:left="360"/>
            <w:tabs>
              <w:tab w:val="right" w:leader="dot" w:pos="9026"/>
            </w:tabs>
            <w:spacing w:before="120" w:after="60"/>
          </w:pPr>
          <w:hyperlink w:anchor="_Toc100008" w:history="1">
            <w:r>
              <w:rPr>
                <w:rStyle w:val="Hyperlink"/>
              </w:rPr>
              <w:t>3. Price Action Quantitativo: Formalizacao Matematica</w:t>
            </w:r>
            <w:r>
              <w:tab/>
            </w:r>
            <w:r>
              <w:fldChar w:fldCharType="begin"/>
            </w:r>
            <w:r>
              <w:instrText xml:space="preserve"> PAGEREF _Toc100008 \h </w:instrText>
            </w:r>
            <w:r>
              <w:fldChar w:fldCharType="separate"/>
            </w:r>
            <w:r>
              <w:t>6</w:t>
            </w:r>
            <w:r>
              <w:fldChar w:fldCharType="end"/>
            </w:r>
          </w:hyperlink>
        </w:p>
        <w:p>
          <w:pPr>
            <w:pStyle w:val="12"/>
            <w:ind w:left="720"/>
            <w:tabs>
              <w:tab w:val="right" w:leader="dot" w:pos="9026"/>
            </w:tabs>
            <w:spacing w:before="120" w:after="60"/>
          </w:pPr>
          <w:hyperlink w:anchor="_Toc100009" w:history="1">
            <w:r>
              <w:rPr>
                <w:rStyle w:val="Hyperlink"/>
              </w:rPr>
              <w:t>3.1 Swing Highs e Swing Lows</w:t>
            </w:r>
            <w:r>
              <w:tab/>
            </w:r>
            <w:r>
              <w:fldChar w:fldCharType="begin"/>
            </w:r>
            <w:r>
              <w:instrText xml:space="preserve"> PAGEREF _Toc100009 \h </w:instrText>
            </w:r>
            <w:r>
              <w:fldChar w:fldCharType="separate"/>
            </w:r>
            <w:r>
              <w:t>6</w:t>
            </w:r>
            <w:r>
              <w:fldChar w:fldCharType="end"/>
            </w:r>
          </w:hyperlink>
        </w:p>
        <w:p>
          <w:pPr>
            <w:pStyle w:val="12"/>
            <w:ind w:left="720"/>
            <w:tabs>
              <w:tab w:val="right" w:leader="dot" w:pos="9026"/>
            </w:tabs>
            <w:spacing w:before="120" w:after="60"/>
          </w:pPr>
          <w:hyperlink w:anchor="_Toc100010" w:history="1">
            <w:r>
              <w:rPr>
                <w:rStyle w:val="Hyperlink"/>
              </w:rPr>
              <w:t>3.2 Higher Highs, Higher Lows, Lower Highs, Lower Lows</w:t>
            </w:r>
            <w:r>
              <w:tab/>
            </w:r>
            <w:r>
              <w:fldChar w:fldCharType="begin"/>
            </w:r>
            <w:r>
              <w:instrText xml:space="preserve"> PAGEREF _Toc100010 \h </w:instrText>
            </w:r>
            <w:r>
              <w:fldChar w:fldCharType="separate"/>
            </w:r>
            <w:r>
              <w:t>6</w:t>
            </w:r>
            <w:r>
              <w:fldChar w:fldCharType="end"/>
            </w:r>
          </w:hyperlink>
        </w:p>
        <w:p>
          <w:pPr>
            <w:pStyle w:val="12"/>
            <w:ind w:left="720"/>
            <w:tabs>
              <w:tab w:val="right" w:leader="dot" w:pos="9026"/>
            </w:tabs>
            <w:spacing w:before="120" w:after="60"/>
          </w:pPr>
          <w:hyperlink w:anchor="_Toc100011" w:history="1">
            <w:r>
              <w:rPr>
                <w:rStyle w:val="Hyperlink"/>
              </w:rPr>
              <w:t>3.3 Break of Structure</w:t>
            </w:r>
            <w:r>
              <w:tab/>
            </w:r>
            <w:r>
              <w:fldChar w:fldCharType="begin"/>
            </w:r>
            <w:r>
              <w:instrText xml:space="preserve"> PAGEREF _Toc100011 \h </w:instrText>
            </w:r>
            <w:r>
              <w:fldChar w:fldCharType="separate"/>
            </w:r>
            <w:r>
              <w:t>6</w:t>
            </w:r>
            <w:r>
              <w:fldChar w:fldCharType="end"/>
            </w:r>
          </w:hyperlink>
        </w:p>
        <w:p>
          <w:pPr>
            <w:pStyle w:val="12"/>
            <w:ind w:left="720"/>
            <w:tabs>
              <w:tab w:val="right" w:leader="dot" w:pos="9026"/>
            </w:tabs>
            <w:spacing w:before="120" w:after="60"/>
          </w:pPr>
          <w:hyperlink w:anchor="_Toc100012" w:history="1">
            <w:r>
              <w:rPr>
                <w:rStyle w:val="Hyperlink"/>
              </w:rPr>
              <w:t>3.4 Range e Consolidacao</w:t>
            </w:r>
            <w:r>
              <w:tab/>
            </w:r>
            <w:r>
              <w:fldChar w:fldCharType="begin"/>
            </w:r>
            <w:r>
              <w:instrText xml:space="preserve"> PAGEREF _Toc100012 \h </w:instrText>
            </w:r>
            <w:r>
              <w:fldChar w:fldCharType="separate"/>
            </w:r>
            <w:r>
              <w:t>7</w:t>
            </w:r>
            <w:r>
              <w:fldChar w:fldCharType="end"/>
            </w:r>
          </w:hyperlink>
        </w:p>
        <w:p>
          <w:pPr>
            <w:pStyle w:val="12"/>
            <w:ind w:left="720"/>
            <w:tabs>
              <w:tab w:val="right" w:leader="dot" w:pos="9026"/>
            </w:tabs>
            <w:spacing w:before="120" w:after="60"/>
          </w:pPr>
          <w:hyperlink w:anchor="_Toc100013" w:history="1">
            <w:r>
              <w:rPr>
                <w:rStyle w:val="Hyperlink"/>
              </w:rPr>
              <w:t>3.5 Breakout e False Breakout</w:t>
            </w:r>
            <w:r>
              <w:tab/>
            </w:r>
            <w:r>
              <w:fldChar w:fldCharType="begin"/>
            </w:r>
            <w:r>
              <w:instrText xml:space="preserve"> PAGEREF _Toc100013 \h </w:instrText>
            </w:r>
            <w:r>
              <w:fldChar w:fldCharType="separate"/>
            </w:r>
            <w:r>
              <w:t>7</w:t>
            </w:r>
            <w:r>
              <w:fldChar w:fldCharType="end"/>
            </w:r>
          </w:hyperlink>
        </w:p>
        <w:p>
          <w:pPr>
            <w:pStyle w:val="12"/>
            <w:ind w:left="720"/>
            <w:tabs>
              <w:tab w:val="right" w:leader="dot" w:pos="9026"/>
            </w:tabs>
            <w:spacing w:before="120" w:after="60"/>
          </w:pPr>
          <w:hyperlink w:anchor="_Toc100014" w:history="1">
            <w:r>
              <w:rPr>
                <w:rStyle w:val="Hyperlink"/>
              </w:rPr>
              <w:t>3.6 Suporte e Resistencia Quantitativo</w:t>
            </w:r>
            <w:r>
              <w:tab/>
            </w:r>
            <w:r>
              <w:fldChar w:fldCharType="begin"/>
            </w:r>
            <w:r>
              <w:instrText xml:space="preserve"> PAGEREF _Toc100014 \h </w:instrText>
            </w:r>
            <w:r>
              <w:fldChar w:fldCharType="separate"/>
            </w:r>
            <w:r>
              <w:t>7</w:t>
            </w:r>
            <w:r>
              <w:fldChar w:fldCharType="end"/>
            </w:r>
          </w:hyperlink>
        </w:p>
        <w:p>
          <w:pPr>
            <w:pStyle w:val="12"/>
            <w:ind w:left="720"/>
            <w:tabs>
              <w:tab w:val="right" w:leader="dot" w:pos="9026"/>
            </w:tabs>
            <w:spacing w:before="120" w:after="60"/>
          </w:pPr>
          <w:hyperlink w:anchor="_Toc100015" w:history="1">
            <w:r>
              <w:rPr>
                <w:rStyle w:val="Hyperlink"/>
              </w:rPr>
              <w:t>3.7 Candle Analysis Quantitativo</w:t>
            </w:r>
            <w:r>
              <w:tab/>
            </w:r>
            <w:r>
              <w:fldChar w:fldCharType="begin"/>
            </w:r>
            <w:r>
              <w:instrText xml:space="preserve"> PAGEREF _Toc100015 \h </w:instrText>
            </w:r>
            <w:r>
              <w:fldChar w:fldCharType="separate"/>
            </w:r>
            <w:r>
              <w:t>7</w:t>
            </w:r>
            <w:r>
              <w:fldChar w:fldCharType="end"/>
            </w:r>
          </w:hyperlink>
        </w:p>
        <w:p>
          <w:pPr>
            <w:pStyle w:val="11"/>
            <w:ind w:left="360"/>
            <w:tabs>
              <w:tab w:val="right" w:leader="dot" w:pos="9026"/>
            </w:tabs>
            <w:spacing w:before="120" w:after="60"/>
          </w:pPr>
          <w:hyperlink w:anchor="_Toc100016" w:history="1">
            <w:r>
              <w:rPr>
                <w:rStyle w:val="Hyperlink"/>
              </w:rPr>
              <w:t>4. Regimes de Mercado: Deteccao e Aplicacao</w:t>
            </w:r>
            <w:r>
              <w:tab/>
            </w:r>
            <w:r>
              <w:fldChar w:fldCharType="begin"/>
            </w:r>
            <w:r>
              <w:instrText xml:space="preserve"> PAGEREF _Toc100016 \h </w:instrText>
            </w:r>
            <w:r>
              <w:fldChar w:fldCharType="separate"/>
            </w:r>
            <w:r>
              <w:t>8</w:t>
            </w:r>
            <w:r>
              <w:fldChar w:fldCharType="end"/>
            </w:r>
          </w:hyperlink>
        </w:p>
        <w:p>
          <w:pPr>
            <w:pStyle w:val="12"/>
            <w:ind w:left="720"/>
            <w:tabs>
              <w:tab w:val="right" w:leader="dot" w:pos="9026"/>
            </w:tabs>
            <w:spacing w:before="120" w:after="60"/>
          </w:pPr>
          <w:hyperlink w:anchor="_Toc100017" w:history="1">
            <w:r>
              <w:rPr>
                <w:rStyle w:val="Hyperlink"/>
              </w:rPr>
              <w:t>4.1 Metodos de Deteccao de Regime</w:t>
            </w:r>
            <w:r>
              <w:tab/>
            </w:r>
            <w:r>
              <w:fldChar w:fldCharType="begin"/>
            </w:r>
            <w:r>
              <w:instrText xml:space="preserve"> PAGEREF _Toc100017 \h </w:instrText>
            </w:r>
            <w:r>
              <w:fldChar w:fldCharType="separate"/>
            </w:r>
            <w:r>
              <w:t>8</w:t>
            </w:r>
            <w:r>
              <w:fldChar w:fldCharType="end"/>
            </w:r>
          </w:hyperlink>
        </w:p>
        <w:p>
          <w:pPr>
            <w:pStyle w:val="12"/>
            <w:ind w:left="720"/>
            <w:tabs>
              <w:tab w:val="right" w:leader="dot" w:pos="9026"/>
            </w:tabs>
            <w:spacing w:before="120" w:after="60"/>
          </w:pPr>
          <w:hyperlink w:anchor="_Toc100018" w:history="1">
            <w:r>
              <w:rPr>
                <w:rStyle w:val="Hyperlink"/>
              </w:rPr>
              <w:t>4.2 Aplicacao de Regimes a Estrategias</w:t>
            </w:r>
            <w:r>
              <w:tab/>
            </w:r>
            <w:r>
              <w:fldChar w:fldCharType="begin"/>
            </w:r>
            <w:r>
              <w:instrText xml:space="preserve"> PAGEREF _Toc100018 \h </w:instrText>
            </w:r>
            <w:r>
              <w:fldChar w:fldCharType="separate"/>
            </w:r>
            <w:r>
              <w:t>9</w:t>
            </w:r>
            <w:r>
              <w:fldChar w:fldCharType="end"/>
            </w:r>
          </w:hyperlink>
        </w:p>
        <w:p>
          <w:pPr>
            <w:pStyle w:val="11"/>
            <w:ind w:left="360"/>
            <w:tabs>
              <w:tab w:val="right" w:leader="dot" w:pos="9026"/>
            </w:tabs>
            <w:spacing w:before="120" w:after="60"/>
          </w:pPr>
          <w:hyperlink w:anchor="_Toc100019" w:history="1">
            <w:r>
              <w:rPr>
                <w:rStyle w:val="Hyperlink"/>
              </w:rPr>
              <w:t>5. Gestao de Risco</w:t>
            </w:r>
            <w:r>
              <w:tab/>
            </w:r>
            <w:r>
              <w:fldChar w:fldCharType="begin"/>
            </w:r>
            <w:r>
              <w:instrText xml:space="preserve"> PAGEREF _Toc100019 \h </w:instrText>
            </w:r>
            <w:r>
              <w:fldChar w:fldCharType="separate"/>
            </w:r>
            <w:r>
              <w:t>9</w:t>
            </w:r>
            <w:r>
              <w:fldChar w:fldCharType="end"/>
            </w:r>
          </w:hyperlink>
        </w:p>
        <w:p>
          <w:pPr>
            <w:pStyle w:val="12"/>
            <w:ind w:left="720"/>
            <w:tabs>
              <w:tab w:val="right" w:leader="dot" w:pos="9026"/>
            </w:tabs>
            <w:spacing w:before="120" w:after="60"/>
          </w:pPr>
          <w:hyperlink w:anchor="_Toc100020" w:history="1">
            <w:r>
              <w:rPr>
                <w:rStyle w:val="Hyperlink"/>
              </w:rPr>
              <w:t>5.1 Position Sizing</w:t>
            </w:r>
            <w:r>
              <w:tab/>
            </w:r>
            <w:r>
              <w:fldChar w:fldCharType="begin"/>
            </w:r>
            <w:r>
              <w:instrText xml:space="preserve"> PAGEREF _Toc100020 \h </w:instrText>
            </w:r>
            <w:r>
              <w:fldChar w:fldCharType="separate"/>
            </w:r>
            <w:r>
              <w:t>10</w:t>
            </w:r>
            <w:r>
              <w:fldChar w:fldCharType="end"/>
            </w:r>
          </w:hyperlink>
        </w:p>
        <w:p>
          <w:pPr>
            <w:pStyle w:val="12"/>
            <w:ind w:left="720"/>
            <w:tabs>
              <w:tab w:val="right" w:leader="dot" w:pos="9026"/>
            </w:tabs>
            <w:spacing w:before="120" w:after="60"/>
          </w:pPr>
          <w:hyperlink w:anchor="_Toc100021" w:history="1">
            <w:r>
              <w:rPr>
                <w:rStyle w:val="Hyperlink"/>
              </w:rPr>
              <w:t>5.2 Risco por Trade e Controle de Drawdown</w:t>
            </w:r>
            <w:r>
              <w:tab/>
            </w:r>
            <w:r>
              <w:fldChar w:fldCharType="begin"/>
            </w:r>
            <w:r>
              <w:instrText xml:space="preserve"> PAGEREF _Toc100021 \h </w:instrText>
            </w:r>
            <w:r>
              <w:fldChar w:fldCharType="separate"/>
            </w:r>
            <w:r>
              <w:t>10</w:t>
            </w:r>
            <w:r>
              <w:fldChar w:fldCharType="end"/>
            </w:r>
          </w:hyperlink>
        </w:p>
        <w:p>
          <w:pPr>
            <w:pStyle w:val="12"/>
            <w:ind w:left="720"/>
            <w:tabs>
              <w:tab w:val="right" w:leader="dot" w:pos="9026"/>
            </w:tabs>
            <w:spacing w:before="120" w:after="60"/>
          </w:pPr>
          <w:hyperlink w:anchor="_Toc100022" w:history="1">
            <w:r>
              <w:rPr>
                <w:rStyle w:val="Hyperlink"/>
              </w:rPr>
              <w:t>5.3 Exposicao Correlacionada</w:t>
            </w:r>
            <w:r>
              <w:tab/>
            </w:r>
            <w:r>
              <w:fldChar w:fldCharType="begin"/>
            </w:r>
            <w:r>
              <w:instrText xml:space="preserve"> PAGEREF _Toc100022 \h </w:instrText>
            </w:r>
            <w:r>
              <w:fldChar w:fldCharType="separate"/>
            </w:r>
            <w:r>
              <w:t>11</w:t>
            </w:r>
            <w:r>
              <w:fldChar w:fldCharType="end"/>
            </w:r>
          </w:hyperlink>
        </w:p>
        <w:p>
          <w:pPr>
            <w:pStyle w:val="12"/>
            <w:ind w:left="720"/>
            <w:tabs>
              <w:tab w:val="right" w:leader="dot" w:pos="9026"/>
            </w:tabs>
            <w:spacing w:before="120" w:after="60"/>
          </w:pPr>
          <w:hyperlink w:anchor="_Toc100023" w:history="1">
            <w:r>
              <w:rPr>
                <w:rStyle w:val="Hyperlink"/>
              </w:rPr>
              <w:t>5.4 Stop Loss, Trailing Stop e Break Even</w:t>
            </w:r>
            <w:r>
              <w:tab/>
            </w:r>
            <w:r>
              <w:fldChar w:fldCharType="begin"/>
            </w:r>
            <w:r>
              <w:instrText xml:space="preserve"> PAGEREF _Toc100023 \h </w:instrText>
            </w:r>
            <w:r>
              <w:fldChar w:fldCharType="separate"/>
            </w:r>
            <w:r>
              <w:t>11</w:t>
            </w:r>
            <w:r>
              <w:fldChar w:fldCharType="end"/>
            </w:r>
          </w:hyperlink>
        </w:p>
        <w:p>
          <w:pPr>
            <w:pStyle w:val="12"/>
            <w:ind w:left="720"/>
            <w:tabs>
              <w:tab w:val="right" w:leader="dot" w:pos="9026"/>
            </w:tabs>
            <w:spacing w:before="120" w:after="60"/>
          </w:pPr>
          <w:hyperlink w:anchor="_Toc100024" w:history="1">
            <w:r>
              <w:rPr>
                <w:rStyle w:val="Hyperlink"/>
              </w:rPr>
              <w:t>5.5 R-Multiple e Risk/Reward</w:t>
            </w:r>
            <w:r>
              <w:tab/>
            </w:r>
            <w:r>
              <w:fldChar w:fldCharType="begin"/>
            </w:r>
            <w:r>
              <w:instrText xml:space="preserve"> PAGEREF _Toc100024 \h </w:instrText>
            </w:r>
            <w:r>
              <w:fldChar w:fldCharType="separate"/>
            </w:r>
            <w:r>
              <w:t>12</w:t>
            </w:r>
            <w:r>
              <w:fldChar w:fldCharType="end"/>
            </w:r>
          </w:hyperlink>
        </w:p>
        <w:p>
          <w:pPr>
            <w:pStyle w:val="12"/>
            <w:ind w:left="720"/>
            <w:tabs>
              <w:tab w:val="right" w:leader="dot" w:pos="9026"/>
            </w:tabs>
            <w:spacing w:before="120" w:after="60"/>
          </w:pPr>
          <w:hyperlink w:anchor="_Toc100025" w:history="1">
            <w:r>
              <w:rPr>
                <w:rStyle w:val="Hyperlink"/>
              </w:rPr>
              <w:t>5.6 Riscos de Abordagens Perigosas</w:t>
            </w:r>
            <w:r>
              <w:tab/>
            </w:r>
            <w:r>
              <w:fldChar w:fldCharType="begin"/>
            </w:r>
            <w:r>
              <w:instrText xml:space="preserve"> PAGEREF _Toc100025 \h </w:instrText>
            </w:r>
            <w:r>
              <w:fldChar w:fldCharType="separate"/>
            </w:r>
            <w:r>
              <w:t>12</w:t>
            </w:r>
            <w:r>
              <w:fldChar w:fldCharType="end"/>
            </w:r>
          </w:hyperlink>
        </w:p>
        <w:p>
          <w:pPr>
            <w:pStyle w:val="11"/>
            <w:ind w:left="360"/>
            <w:tabs>
              <w:tab w:val="right" w:leader="dot" w:pos="9026"/>
            </w:tabs>
            <w:spacing w:before="120" w:after="60"/>
          </w:pPr>
          <w:hyperlink w:anchor="_Toc100026" w:history="1">
            <w:r>
              <w:rPr>
                <w:rStyle w:val="Hyperlink"/>
              </w:rPr>
              <w:t>6. Metricas de Avaliacao de Estrategias</w:t>
            </w:r>
            <w:r>
              <w:tab/>
            </w:r>
            <w:r>
              <w:fldChar w:fldCharType="begin"/>
            </w:r>
            <w:r>
              <w:instrText xml:space="preserve"> PAGEREF _Toc100026 \h </w:instrText>
            </w:r>
            <w:r>
              <w:fldChar w:fldCharType="separate"/>
            </w:r>
            <w:r>
              <w:t>13</w:t>
            </w:r>
            <w:r>
              <w:fldChar w:fldCharType="end"/>
            </w:r>
          </w:hyperlink>
        </w:p>
        <w:p>
          <w:pPr>
            <w:pStyle w:val="11"/>
            <w:ind w:left="360"/>
            <w:tabs>
              <w:tab w:val="right" w:leader="dot" w:pos="9026"/>
            </w:tabs>
            <w:spacing w:before="120" w:after="60"/>
          </w:pPr>
          <w:hyperlink w:anchor="_Toc100027" w:history="1">
            <w:r>
              <w:rPr>
                <w:rStyle w:val="Hyperlink"/>
              </w:rPr>
              <w:t>7. Backtesting: Boas Praticas</w:t>
            </w:r>
            <w:r>
              <w:tab/>
            </w:r>
            <w:r>
              <w:fldChar w:fldCharType="begin"/>
            </w:r>
            <w:r>
              <w:instrText xml:space="preserve"> PAGEREF _Toc100027 \h </w:instrText>
            </w:r>
            <w:r>
              <w:fldChar w:fldCharType="separate"/>
            </w:r>
            <w:r>
              <w:t>13</w:t>
            </w:r>
            <w:r>
              <w:fldChar w:fldCharType="end"/>
            </w:r>
          </w:hyperlink>
        </w:p>
        <w:p>
          <w:pPr>
            <w:pStyle w:val="12"/>
            <w:ind w:left="720"/>
            <w:tabs>
              <w:tab w:val="right" w:leader="dot" w:pos="9026"/>
            </w:tabs>
            <w:spacing w:before="120" w:after="60"/>
          </w:pPr>
          <w:hyperlink w:anchor="_Toc100028" w:history="1">
            <w:r>
              <w:rPr>
                <w:rStyle w:val="Hyperlink"/>
              </w:rPr>
              <w:t>7.1 Metodologias de Validacao</w:t>
            </w:r>
            <w:r>
              <w:tab/>
            </w:r>
            <w:r>
              <w:fldChar w:fldCharType="begin"/>
            </w:r>
            <w:r>
              <w:instrText xml:space="preserve"> PAGEREF _Toc100028 \h </w:instrText>
            </w:r>
            <w:r>
              <w:fldChar w:fldCharType="separate"/>
            </w:r>
            <w:r>
              <w:t>13</w:t>
            </w:r>
            <w:r>
              <w:fldChar w:fldCharType="end"/>
            </w:r>
          </w:hyperlink>
        </w:p>
        <w:p>
          <w:pPr>
            <w:pStyle w:val="12"/>
            <w:ind w:left="720"/>
            <w:tabs>
              <w:tab w:val="right" w:leader="dot" w:pos="9026"/>
            </w:tabs>
            <w:spacing w:before="120" w:after="60"/>
          </w:pPr>
          <w:hyperlink w:anchor="_Toc100029" w:history="1">
            <w:r>
              <w:rPr>
                <w:rStyle w:val="Hyperlink"/>
              </w:rPr>
              <w:t>7.2 Armadilhas e Vieses</w:t>
            </w:r>
            <w:r>
              <w:tab/>
            </w:r>
            <w:r>
              <w:fldChar w:fldCharType="begin"/>
            </w:r>
            <w:r>
              <w:instrText xml:space="preserve"> PAGEREF _Toc100029 \h </w:instrText>
            </w:r>
            <w:r>
              <w:fldChar w:fldCharType="separate"/>
            </w:r>
            <w:r>
              <w:t>14</w:t>
            </w:r>
            <w:r>
              <w:fldChar w:fldCharType="end"/>
            </w:r>
          </w:hyperlink>
        </w:p>
        <w:p>
          <w:pPr>
            <w:pStyle w:val="9"/>
            <w:tabs>
              <w:tab w:val="right" w:leader="dot" w:pos="9026"/>
            </w:tabs>
            <w:spacing w:before="120" w:after="60"/>
          </w:pPr>
          <w:hyperlink w:anchor="_Toc100030" w:history="1">
            <w:r>
              <w:rPr>
                <w:rStyle w:val="Hyperlink"/>
              </w:rPr>
              <w:t>PARTE 2 - Estrategias Quantitativas</w:t>
            </w:r>
            <w:r>
              <w:tab/>
            </w:r>
            <w:r>
              <w:fldChar w:fldCharType="begin"/>
            </w:r>
            <w:r>
              <w:instrText xml:space="preserve"> PAGEREF _Toc100030 \h </w:instrText>
            </w:r>
            <w:r>
              <w:fldChar w:fldCharType="separate"/>
            </w:r>
            <w:r>
              <w:t>15</w:t>
            </w:r>
            <w:r>
              <w:fldChar w:fldCharType="end"/>
            </w:r>
          </w:hyperlink>
        </w:p>
        <w:p>
          <w:pPr>
            <w:pStyle w:val="11"/>
            <w:ind w:left="360"/>
            <w:tabs>
              <w:tab w:val="right" w:leader="dot" w:pos="9026"/>
            </w:tabs>
            <w:spacing w:before="120" w:after="60"/>
          </w:pPr>
          <w:hyperlink w:anchor="_Toc100031" w:history="1">
            <w:r>
              <w:rPr>
                <w:rStyle w:val="Hyperlink"/>
              </w:rPr>
              <w:t>1. Familias de Estrategias Quantitativas</w:t>
            </w:r>
            <w:r>
              <w:tab/>
            </w:r>
            <w:r>
              <w:fldChar w:fldCharType="begin"/>
            </w:r>
            <w:r>
              <w:instrText xml:space="preserve"> PAGEREF _Toc100031 \h </w:instrText>
            </w:r>
            <w:r>
              <w:fldChar w:fldCharType="separate"/>
            </w:r>
            <w:r>
              <w:t>15</w:t>
            </w:r>
            <w:r>
              <w:fldChar w:fldCharType="end"/>
            </w:r>
          </w:hyperlink>
        </w:p>
        <w:p>
          <w:pPr>
            <w:pStyle w:val="12"/>
            <w:ind w:left="720"/>
            <w:tabs>
              <w:tab w:val="right" w:leader="dot" w:pos="9026"/>
            </w:tabs>
            <w:spacing w:before="120" w:after="60"/>
          </w:pPr>
          <w:hyperlink w:anchor="_Toc100032" w:history="1">
            <w:r>
              <w:rPr>
                <w:rStyle w:val="Hyperlink"/>
              </w:rPr>
              <w:t>1.1 Trend Following</w:t>
            </w:r>
            <w:r>
              <w:tab/>
            </w:r>
            <w:r>
              <w:fldChar w:fldCharType="begin"/>
            </w:r>
            <w:r>
              <w:instrText xml:space="preserve"> PAGEREF _Toc100032 \h </w:instrText>
            </w:r>
            <w:r>
              <w:fldChar w:fldCharType="separate"/>
            </w:r>
            <w:r>
              <w:t>15</w:t>
            </w:r>
            <w:r>
              <w:fldChar w:fldCharType="end"/>
            </w:r>
          </w:hyperlink>
        </w:p>
        <w:p>
          <w:pPr>
            <w:pStyle w:val="12"/>
            <w:ind w:left="720"/>
            <w:tabs>
              <w:tab w:val="right" w:leader="dot" w:pos="9026"/>
            </w:tabs>
            <w:spacing w:before="120" w:after="60"/>
          </w:pPr>
          <w:hyperlink w:anchor="_Toc100033" w:history="1">
            <w:r>
              <w:rPr>
                <w:rStyle w:val="Hyperlink"/>
              </w:rPr>
              <w:t>1.2 Momentum</w:t>
            </w:r>
            <w:r>
              <w:tab/>
            </w:r>
            <w:r>
              <w:fldChar w:fldCharType="begin"/>
            </w:r>
            <w:r>
              <w:instrText xml:space="preserve"> PAGEREF _Toc100033 \h </w:instrText>
            </w:r>
            <w:r>
              <w:fldChar w:fldCharType="separate"/>
            </w:r>
            <w:r>
              <w:t>16</w:t>
            </w:r>
            <w:r>
              <w:fldChar w:fldCharType="end"/>
            </w:r>
          </w:hyperlink>
        </w:p>
        <w:p>
          <w:pPr>
            <w:pStyle w:val="12"/>
            <w:ind w:left="720"/>
            <w:tabs>
              <w:tab w:val="right" w:leader="dot" w:pos="9026"/>
            </w:tabs>
            <w:spacing w:before="120" w:after="60"/>
          </w:pPr>
          <w:hyperlink w:anchor="_Toc100034" w:history="1">
            <w:r>
              <w:rPr>
                <w:rStyle w:val="Hyperlink"/>
              </w:rPr>
              <w:t>1.3 Mean Reversion</w:t>
            </w:r>
            <w:r>
              <w:tab/>
            </w:r>
            <w:r>
              <w:fldChar w:fldCharType="begin"/>
            </w:r>
            <w:r>
              <w:instrText xml:space="preserve"> PAGEREF _Toc100034 \h </w:instrText>
            </w:r>
            <w:r>
              <w:fldChar w:fldCharType="separate"/>
            </w:r>
            <w:r>
              <w:t>16</w:t>
            </w:r>
            <w:r>
              <w:fldChar w:fldCharType="end"/>
            </w:r>
          </w:hyperlink>
        </w:p>
        <w:p>
          <w:pPr>
            <w:pStyle w:val="12"/>
            <w:ind w:left="720"/>
            <w:tabs>
              <w:tab w:val="right" w:leader="dot" w:pos="9026"/>
            </w:tabs>
            <w:spacing w:before="120" w:after="60"/>
          </w:pPr>
          <w:hyperlink w:anchor="_Toc100035" w:history="1">
            <w:r>
              <w:rPr>
                <w:rStyle w:val="Hyperlink"/>
              </w:rPr>
              <w:t>1.4 Breakout</w:t>
            </w:r>
            <w:r>
              <w:tab/>
            </w:r>
            <w:r>
              <w:fldChar w:fldCharType="begin"/>
            </w:r>
            <w:r>
              <w:instrText xml:space="preserve"> PAGEREF _Toc100035 \h </w:instrText>
            </w:r>
            <w:r>
              <w:fldChar w:fldCharType="separate"/>
            </w:r>
            <w:r>
              <w:t>17</w:t>
            </w:r>
            <w:r>
              <w:fldChar w:fldCharType="end"/>
            </w:r>
          </w:hyperlink>
        </w:p>
        <w:p>
          <w:pPr>
            <w:pStyle w:val="12"/>
            <w:ind w:left="720"/>
            <w:tabs>
              <w:tab w:val="right" w:leader="dot" w:pos="9026"/>
            </w:tabs>
            <w:spacing w:before="120" w:after="60"/>
          </w:pPr>
          <w:hyperlink w:anchor="_Toc100036" w:history="1">
            <w:r>
              <w:rPr>
                <w:rStyle w:val="Hyperlink"/>
              </w:rPr>
              <w:t>1.5 Carry Trade</w:t>
            </w:r>
            <w:r>
              <w:tab/>
            </w:r>
            <w:r>
              <w:fldChar w:fldCharType="begin"/>
            </w:r>
            <w:r>
              <w:instrText xml:space="preserve"> PAGEREF _Toc100036 \h </w:instrText>
            </w:r>
            <w:r>
              <w:fldChar w:fldCharType="separate"/>
            </w:r>
            <w:r>
              <w:t>17</w:t>
            </w:r>
            <w:r>
              <w:fldChar w:fldCharType="end"/>
            </w:r>
          </w:hyperlink>
        </w:p>
        <w:p>
          <w:pPr>
            <w:pStyle w:val="12"/>
            <w:ind w:left="720"/>
            <w:tabs>
              <w:tab w:val="right" w:leader="dot" w:pos="9026"/>
            </w:tabs>
            <w:spacing w:before="120" w:after="60"/>
          </w:pPr>
          <w:hyperlink w:anchor="_Toc100037" w:history="1">
            <w:r>
              <w:rPr>
                <w:rStyle w:val="Hyperlink"/>
              </w:rPr>
              <w:t>1.6 Session Breakout (London / Asian Range / Opening Range)</w:t>
            </w:r>
            <w:r>
              <w:tab/>
            </w:r>
            <w:r>
              <w:fldChar w:fldCharType="begin"/>
            </w:r>
            <w:r>
              <w:instrText xml:space="preserve"> PAGEREF _Toc100037 \h </w:instrText>
            </w:r>
            <w:r>
              <w:fldChar w:fldCharType="separate"/>
            </w:r>
            <w:r>
              <w:t>18</w:t>
            </w:r>
            <w:r>
              <w:fldChar w:fldCharType="end"/>
            </w:r>
          </w:hyperlink>
        </w:p>
        <w:p>
          <w:pPr>
            <w:pStyle w:val="12"/>
            <w:ind w:left="720"/>
            <w:tabs>
              <w:tab w:val="right" w:leader="dot" w:pos="9026"/>
            </w:tabs>
            <w:spacing w:before="120" w:after="60"/>
          </w:pPr>
          <w:hyperlink w:anchor="_Toc100038" w:history="1">
            <w:r>
              <w:rPr>
                <w:rStyle w:val="Hyperlink"/>
              </w:rPr>
              <w:t>1.7 Volatility Expansion / Contraction</w:t>
            </w:r>
            <w:r>
              <w:tab/>
            </w:r>
            <w:r>
              <w:fldChar w:fldCharType="begin"/>
            </w:r>
            <w:r>
              <w:instrText xml:space="preserve"> PAGEREF _Toc100038 \h </w:instrText>
            </w:r>
            <w:r>
              <w:fldChar w:fldCharType="separate"/>
            </w:r>
            <w:r>
              <w:t>18</w:t>
            </w:r>
            <w:r>
              <w:fldChar w:fldCharType="end"/>
            </w:r>
          </w:hyperlink>
        </w:p>
        <w:p>
          <w:pPr>
            <w:pStyle w:val="12"/>
            <w:ind w:left="720"/>
            <w:tabs>
              <w:tab w:val="right" w:leader="dot" w:pos="9026"/>
            </w:tabs>
            <w:spacing w:before="120" w:after="60"/>
          </w:pPr>
          <w:hyperlink w:anchor="_Toc100039" w:history="1">
            <w:r>
              <w:rPr>
                <w:rStyle w:val="Hyperlink"/>
              </w:rPr>
              <w:t>1.8 Statistical Arbitrage</w:t>
            </w:r>
            <w:r>
              <w:tab/>
            </w:r>
            <w:r>
              <w:fldChar w:fldCharType="begin"/>
            </w:r>
            <w:r>
              <w:instrText xml:space="preserve"> PAGEREF _Toc100039 \h </w:instrText>
            </w:r>
            <w:r>
              <w:fldChar w:fldCharType="separate"/>
            </w:r>
            <w:r>
              <w:t>19</w:t>
            </w:r>
            <w:r>
              <w:fldChar w:fldCharType="end"/>
            </w:r>
          </w:hyperlink>
        </w:p>
        <w:p>
          <w:pPr>
            <w:pStyle w:val="12"/>
            <w:ind w:left="720"/>
            <w:tabs>
              <w:tab w:val="right" w:leader="dot" w:pos="9026"/>
            </w:tabs>
            <w:spacing w:before="120" w:after="60"/>
          </w:pPr>
          <w:hyperlink w:anchor="_Toc100040" w:history="1">
            <w:r>
              <w:rPr>
                <w:rStyle w:val="Hyperlink"/>
              </w:rPr>
              <w:t>1.9 Multi-Timeframe Strategy</w:t>
            </w:r>
            <w:r>
              <w:tab/>
            </w:r>
            <w:r>
              <w:fldChar w:fldCharType="begin"/>
            </w:r>
            <w:r>
              <w:instrText xml:space="preserve"> PAGEREF _Toc100040 \h </w:instrText>
            </w:r>
            <w:r>
              <w:fldChar w:fldCharType="separate"/>
            </w:r>
            <w:r>
              <w:t>19</w:t>
            </w:r>
            <w:r>
              <w:fldChar w:fldCharType="end"/>
            </w:r>
          </w:hyperlink>
        </w:p>
        <w:p>
          <w:pPr>
            <w:pStyle w:val="12"/>
            <w:ind w:left="720"/>
            <w:tabs>
              <w:tab w:val="right" w:leader="dot" w:pos="9026"/>
            </w:tabs>
            <w:spacing w:before="120" w:after="60"/>
          </w:pPr>
          <w:hyperlink w:anchor="_Toc100041" w:history="1">
            <w:r>
              <w:rPr>
                <w:rStyle w:val="Hyperlink"/>
              </w:rPr>
              <w:t>1.10 Tabela Comparativa de Estrategias</w:t>
            </w:r>
            <w:r>
              <w:tab/>
            </w:r>
            <w:r>
              <w:fldChar w:fldCharType="begin"/>
            </w:r>
            <w:r>
              <w:instrText xml:space="preserve"> PAGEREF _Toc100041 \h </w:instrText>
            </w:r>
            <w:r>
              <w:fldChar w:fldCharType="separate"/>
            </w:r>
            <w:r>
              <w:t>20</w:t>
            </w:r>
            <w:r>
              <w:fldChar w:fldCharType="end"/>
            </w:r>
          </w:hyperlink>
        </w:p>
        <w:p>
          <w:pPr>
            <w:pStyle w:val="9"/>
            <w:tabs>
              <w:tab w:val="right" w:leader="dot" w:pos="9026"/>
            </w:tabs>
            <w:spacing w:before="120" w:after="60"/>
          </w:pPr>
          <w:hyperlink w:anchor="_Toc100042" w:history="1">
            <w:r>
              <w:rPr>
                <w:rStyle w:val="Hyperlink"/>
              </w:rPr>
              <w:t>PARTE 3 - Evidencias e Ambiente de Mercado</w:t>
            </w:r>
            <w:r>
              <w:tab/>
            </w:r>
            <w:r>
              <w:fldChar w:fldCharType="begin"/>
            </w:r>
            <w:r>
              <w:instrText xml:space="preserve"> PAGEREF _Toc100042 \h </w:instrText>
            </w:r>
            <w:r>
              <w:fldChar w:fldCharType="separate"/>
            </w:r>
            <w:r>
              <w:t>20</w:t>
            </w:r>
            <w:r>
              <w:fldChar w:fldCharType="end"/>
            </w:r>
          </w:hyperlink>
        </w:p>
        <w:p>
          <w:pPr>
            <w:pStyle w:val="11"/>
            <w:ind w:left="360"/>
            <w:tabs>
              <w:tab w:val="right" w:leader="dot" w:pos="9026"/>
            </w:tabs>
            <w:spacing w:before="120" w:after="60"/>
          </w:pPr>
          <w:hyperlink w:anchor="_Toc100043" w:history="1">
            <w:r>
              <w:rPr>
                <w:rStyle w:val="Hyperlink"/>
              </w:rPr>
              <w:t>8. Sessoes de Negociacao no Forex</w:t>
            </w:r>
            <w:r>
              <w:tab/>
            </w:r>
            <w:r>
              <w:fldChar w:fldCharType="begin"/>
            </w:r>
            <w:r>
              <w:instrText xml:space="preserve"> PAGEREF _Toc100043 \h </w:instrText>
            </w:r>
            <w:r>
              <w:fldChar w:fldCharType="separate"/>
            </w:r>
            <w:r>
              <w:t>20</w:t>
            </w:r>
            <w:r>
              <w:fldChar w:fldCharType="end"/>
            </w:r>
          </w:hyperlink>
        </w:p>
        <w:p>
          <w:pPr>
            <w:pStyle w:val="12"/>
            <w:ind w:left="720"/>
            <w:tabs>
              <w:tab w:val="right" w:leader="dot" w:pos="9026"/>
            </w:tabs>
            <w:spacing w:before="120" w:after="60"/>
          </w:pPr>
          <w:hyperlink w:anchor="_Toc100044" w:history="1">
            <w:r>
              <w:rPr>
                <w:rStyle w:val="Hyperlink"/>
              </w:rPr>
              <w:t>8.1 Caracteristicas das Sessoes</w:t>
            </w:r>
            <w:r>
              <w:tab/>
            </w:r>
            <w:r>
              <w:fldChar w:fldCharType="begin"/>
            </w:r>
            <w:r>
              <w:instrText xml:space="preserve"> PAGEREF _Toc100044 \h </w:instrText>
            </w:r>
            <w:r>
              <w:fldChar w:fldCharType="separate"/>
            </w:r>
            <w:r>
              <w:t>20</w:t>
            </w:r>
            <w:r>
              <w:fldChar w:fldCharType="end"/>
            </w:r>
          </w:hyperlink>
        </w:p>
        <w:p>
          <w:pPr>
            <w:pStyle w:val="12"/>
            <w:ind w:left="720"/>
            <w:tabs>
              <w:tab w:val="right" w:leader="dot" w:pos="9026"/>
            </w:tabs>
            <w:spacing w:before="120" w:after="60"/>
          </w:pPr>
          <w:hyperlink w:anchor="_Toc100045" w:history="1">
            <w:r>
              <w:rPr>
                <w:rStyle w:val="Hyperlink"/>
              </w:rPr>
              <w:t>8.2 Sobreposicao London-New York</w:t>
            </w:r>
            <w:r>
              <w:tab/>
            </w:r>
            <w:r>
              <w:fldChar w:fldCharType="begin"/>
            </w:r>
            <w:r>
              <w:instrText xml:space="preserve"> PAGEREF _Toc100045 \h </w:instrText>
            </w:r>
            <w:r>
              <w:fldChar w:fldCharType="separate"/>
            </w:r>
            <w:r>
              <w:t>21</w:t>
            </w:r>
            <w:r>
              <w:fldChar w:fldCharType="end"/>
            </w:r>
          </w:hyperlink>
        </w:p>
        <w:p>
          <w:pPr>
            <w:pStyle w:val="12"/>
            <w:ind w:left="720"/>
            <w:tabs>
              <w:tab w:val="right" w:leader="dot" w:pos="9026"/>
            </w:tabs>
            <w:spacing w:before="120" w:after="60"/>
          </w:pPr>
          <w:hyperlink w:anchor="_Toc100046" w:history="1">
            <w:r>
              <w:rPr>
                <w:rStyle w:val="Hyperlink"/>
              </w:rPr>
              <w:t>8.3 Asian Range e London Open</w:t>
            </w:r>
            <w:r>
              <w:tab/>
            </w:r>
            <w:r>
              <w:fldChar w:fldCharType="begin"/>
            </w:r>
            <w:r>
              <w:instrText xml:space="preserve"> PAGEREF _Toc100046 \h </w:instrText>
            </w:r>
            <w:r>
              <w:fldChar w:fldCharType="separate"/>
            </w:r>
            <w:r>
              <w:t>21</w:t>
            </w:r>
            <w:r>
              <w:fldChar w:fldCharType="end"/>
            </w:r>
          </w:hyperlink>
        </w:p>
        <w:p>
          <w:pPr>
            <w:pStyle w:val="12"/>
            <w:ind w:left="720"/>
            <w:tabs>
              <w:tab w:val="right" w:leader="dot" w:pos="9026"/>
            </w:tabs>
            <w:spacing w:before="120" w:after="60"/>
          </w:pPr>
          <w:hyperlink w:anchor="_Toc100047" w:history="1">
            <w:r>
              <w:rPr>
                <w:rStyle w:val="Hyperlink"/>
              </w:rPr>
              <w:t>8.4 Horarios de Spread e Rollover</w:t>
            </w:r>
            <w:r>
              <w:tab/>
            </w:r>
            <w:r>
              <w:fldChar w:fldCharType="begin"/>
            </w:r>
            <w:r>
              <w:instrText xml:space="preserve"> PAGEREF _Toc100047 \h </w:instrText>
            </w:r>
            <w:r>
              <w:fldChar w:fldCharType="separate"/>
            </w:r>
            <w:r>
              <w:t>21</w:t>
            </w:r>
            <w:r>
              <w:fldChar w:fldCharType="end"/>
            </w:r>
          </w:hyperlink>
        </w:p>
        <w:p>
          <w:pPr>
            <w:pStyle w:val="11"/>
            <w:ind w:left="360"/>
            <w:tabs>
              <w:tab w:val="right" w:leader="dot" w:pos="9026"/>
            </w:tabs>
            <w:spacing w:before="120" w:after="60"/>
          </w:pPr>
          <w:hyperlink w:anchor="_Toc100048" w:history="1">
            <w:r>
              <w:rPr>
                <w:rStyle w:val="Hyperlink"/>
              </w:rPr>
              <w:t>9. Pares Forex: Analise Individual</w:t>
            </w:r>
            <w:r>
              <w:tab/>
            </w:r>
            <w:r>
              <w:fldChar w:fldCharType="begin"/>
            </w:r>
            <w:r>
              <w:instrText xml:space="preserve"> PAGEREF _Toc100048 \h </w:instrText>
            </w:r>
            <w:r>
              <w:fldChar w:fldCharType="separate"/>
            </w:r>
            <w:r>
              <w:t>22</w:t>
            </w:r>
            <w:r>
              <w:fldChar w:fldCharType="end"/>
            </w:r>
          </w:hyperlink>
        </w:p>
        <w:p>
          <w:pPr>
            <w:pStyle w:val="11"/>
            <w:ind w:left="360"/>
            <w:tabs>
              <w:tab w:val="right" w:leader="dot" w:pos="9026"/>
            </w:tabs>
            <w:spacing w:before="120" w:after="60"/>
          </w:pPr>
          <w:hyperlink w:anchor="_Toc100049" w:history="1">
            <w:r>
              <w:rPr>
                <w:rStyle w:val="Hyperlink"/>
              </w:rPr>
              <w:t>10. Custos Reais de Operacao</w:t>
            </w:r>
            <w:r>
              <w:tab/>
            </w:r>
            <w:r>
              <w:fldChar w:fldCharType="begin"/>
            </w:r>
            <w:r>
              <w:instrText xml:space="preserve"> PAGEREF _Toc100049 \h </w:instrText>
            </w:r>
            <w:r>
              <w:fldChar w:fldCharType="separate"/>
            </w:r>
            <w:r>
              <w:t>22</w:t>
            </w:r>
            <w:r>
              <w:fldChar w:fldCharType="end"/>
            </w:r>
          </w:hyperlink>
        </w:p>
        <w:p>
          <w:pPr>
            <w:pStyle w:val="11"/>
            <w:ind w:left="360"/>
            <w:tabs>
              <w:tab w:val="right" w:leader="dot" w:pos="9026"/>
            </w:tabs>
            <w:spacing w:before="120" w:after="60"/>
          </w:pPr>
          <w:hyperlink w:anchor="_Toc100050" w:history="1">
            <w:r>
              <w:rPr>
                <w:rStyle w:val="Hyperlink"/>
              </w:rPr>
              <w:t>11. Eventos Macroeconomicos</w:t>
            </w:r>
            <w:r>
              <w:tab/>
            </w:r>
            <w:r>
              <w:fldChar w:fldCharType="begin"/>
            </w:r>
            <w:r>
              <w:instrText xml:space="preserve"> PAGEREF _Toc100050 \h </w:instrText>
            </w:r>
            <w:r>
              <w:fldChar w:fldCharType="separate"/>
            </w:r>
            <w:r>
              <w:t>23</w:t>
            </w:r>
            <w:r>
              <w:fldChar w:fldCharType="end"/>
            </w:r>
          </w:hyperlink>
        </w:p>
        <w:p>
          <w:pPr>
            <w:pStyle w:val="12"/>
            <w:ind w:left="720"/>
            <w:tabs>
              <w:tab w:val="right" w:leader="dot" w:pos="9026"/>
            </w:tabs>
            <w:spacing w:before="120" w:after="60"/>
          </w:pPr>
          <w:hyperlink w:anchor="_Toc100051" w:history="1">
            <w:r>
              <w:rPr>
                <w:rStyle w:val="Hyperlink"/>
              </w:rPr>
              <w:t>11.1 Calendario Economico como Filtro</w:t>
            </w:r>
            <w:r>
              <w:tab/>
            </w:r>
            <w:r>
              <w:fldChar w:fldCharType="begin"/>
            </w:r>
            <w:r>
              <w:instrText xml:space="preserve"> PAGEREF _Toc100051 \h </w:instrText>
            </w:r>
            <w:r>
              <w:fldChar w:fldCharType="separate"/>
            </w:r>
            <w:r>
              <w:t>24</w:t>
            </w:r>
            <w:r>
              <w:fldChar w:fldCharType="end"/>
            </w:r>
          </w:hyperlink>
        </w:p>
        <w:p>
          <w:pPr>
            <w:pStyle w:val="12"/>
            <w:ind w:left="720"/>
            <w:tabs>
              <w:tab w:val="right" w:leader="dot" w:pos="9026"/>
            </w:tabs>
            <w:spacing w:before="120" w:after="60"/>
          </w:pPr>
          <w:hyperlink w:anchor="_Toc100052" w:history="1">
            <w:r>
              <w:rPr>
                <w:rStyle w:val="Hyperlink"/>
              </w:rPr>
              <w:t>11.2 Eventos de Alto Impacto</w:t>
            </w:r>
            <w:r>
              <w:tab/>
            </w:r>
            <w:r>
              <w:fldChar w:fldCharType="begin"/>
            </w:r>
            <w:r>
              <w:instrText xml:space="preserve"> PAGEREF _Toc100052 \h </w:instrText>
            </w:r>
            <w:r>
              <w:fldChar w:fldCharType="separate"/>
            </w:r>
            <w:r>
              <w:t>24</w:t>
            </w:r>
            <w:r>
              <w:fldChar w:fldCharType="end"/>
            </w:r>
          </w:hyperlink>
        </w:p>
        <w:p>
          <w:pPr>
            <w:pStyle w:val="11"/>
            <w:ind w:left="360"/>
            <w:tabs>
              <w:tab w:val="right" w:leader="dot" w:pos="9026"/>
            </w:tabs>
            <w:spacing w:before="120" w:after="60"/>
          </w:pPr>
          <w:hyperlink w:anchor="_Toc100053" w:history="1">
            <w:r>
              <w:rPr>
                <w:rStyle w:val="Hyperlink"/>
              </w:rPr>
              <w:t>12. Correlacao entre Pares e Ativos</w:t>
            </w:r>
            <w:r>
              <w:tab/>
            </w:r>
            <w:r>
              <w:fldChar w:fldCharType="begin"/>
            </w:r>
            <w:r>
              <w:instrText xml:space="preserve"> PAGEREF _Toc100053 \h </w:instrText>
            </w:r>
            <w:r>
              <w:fldChar w:fldCharType="separate"/>
            </w:r>
            <w:r>
              <w:t>25</w:t>
            </w:r>
            <w:r>
              <w:fldChar w:fldCharType="end"/>
            </w:r>
          </w:hyperlink>
        </w:p>
        <w:p>
          <w:pPr>
            <w:pStyle w:val="12"/>
            <w:ind w:left="720"/>
            <w:tabs>
              <w:tab w:val="right" w:leader="dot" w:pos="9026"/>
            </w:tabs>
            <w:spacing w:before="120" w:after="60"/>
          </w:pPr>
          <w:hyperlink w:anchor="_Toc100054" w:history="1">
            <w:r>
              <w:rPr>
                <w:rStyle w:val="Hyperlink"/>
              </w:rPr>
              <w:t>12.1 Matriz de Correlacao Tipica (Majors)</w:t>
            </w:r>
            <w:r>
              <w:tab/>
            </w:r>
            <w:r>
              <w:fldChar w:fldCharType="begin"/>
            </w:r>
            <w:r>
              <w:instrText xml:space="preserve"> PAGEREF _Toc100054 \h </w:instrText>
            </w:r>
            <w:r>
              <w:fldChar w:fldCharType="separate"/>
            </w:r>
            <w:r>
              <w:t>25</w:t>
            </w:r>
            <w:r>
              <w:fldChar w:fldCharType="end"/>
            </w:r>
          </w:hyperlink>
        </w:p>
        <w:p>
          <w:pPr>
            <w:pStyle w:val="12"/>
            <w:ind w:left="720"/>
            <w:tabs>
              <w:tab w:val="right" w:leader="dot" w:pos="9026"/>
            </w:tabs>
            <w:spacing w:before="120" w:after="60"/>
          </w:pPr>
          <w:hyperlink w:anchor="_Toc100055" w:history="1">
            <w:r>
              <w:rPr>
                <w:rStyle w:val="Hyperlink"/>
              </w:rPr>
              <w:t>12.2 Correlacoes com Ativos Fora do Forex</w:t>
            </w:r>
            <w:r>
              <w:tab/>
            </w:r>
            <w:r>
              <w:fldChar w:fldCharType="begin"/>
            </w:r>
            <w:r>
              <w:instrText xml:space="preserve"> PAGEREF _Toc100055 \h </w:instrText>
            </w:r>
            <w:r>
              <w:fldChar w:fldCharType="separate"/>
            </w:r>
            <w:r>
              <w:t>25</w:t>
            </w:r>
            <w:r>
              <w:fldChar w:fldCharType="end"/>
            </w:r>
          </w:hyperlink>
        </w:p>
        <w:p>
          <w:pPr>
            <w:pStyle w:val="12"/>
            <w:ind w:left="720"/>
            <w:tabs>
              <w:tab w:val="right" w:leader="dot" w:pos="9026"/>
            </w:tabs>
            <w:spacing w:before="120" w:after="60"/>
          </w:pPr>
          <w:hyperlink w:anchor="_Toc100056" w:history="1">
            <w:r>
              <w:rPr>
                <w:rStyle w:val="Hyperlink"/>
              </w:rPr>
              <w:t>12.3 Controle de Exposicao Correlacionada</w:t>
            </w:r>
            <w:r>
              <w:tab/>
            </w:r>
            <w:r>
              <w:fldChar w:fldCharType="begin"/>
            </w:r>
            <w:r>
              <w:instrText xml:space="preserve"> PAGEREF _Toc100056 \h </w:instrText>
            </w:r>
            <w:r>
              <w:fldChar w:fldCharType="separate"/>
            </w:r>
            <w:r>
              <w:t>26</w:t>
            </w:r>
            <w:r>
              <w:fldChar w:fldCharType="end"/>
            </w:r>
          </w:hyperlink>
        </w:p>
        <w:p>
          <w:pPr>
            <w:pStyle w:val="11"/>
            <w:ind w:left="360"/>
            <w:tabs>
              <w:tab w:val="right" w:leader="dot" w:pos="9026"/>
            </w:tabs>
            <w:spacing w:before="120" w:after="60"/>
          </w:pPr>
          <w:hyperlink w:anchor="_Toc100057" w:history="1">
            <w:r>
              <w:rPr>
                <w:rStyle w:val="Hyperlink"/>
              </w:rPr>
              <w:t>13. Machine Learning: Perspectiva Critica</w:t>
            </w:r>
            <w:r>
              <w:tab/>
            </w:r>
            <w:r>
              <w:fldChar w:fldCharType="begin"/>
            </w:r>
            <w:r>
              <w:instrText xml:space="preserve"> PAGEREF _Toc100057 \h </w:instrText>
            </w:r>
            <w:r>
              <w:fldChar w:fldCharType="separate"/>
            </w:r>
            <w:r>
              <w:t>26</w:t>
            </w:r>
            <w:r>
              <w:fldChar w:fldCharType="end"/>
            </w:r>
          </w:hyperlink>
        </w:p>
        <w:p>
          <w:pPr>
            <w:pStyle w:val="12"/>
            <w:ind w:left="720"/>
            <w:tabs>
              <w:tab w:val="right" w:leader="dot" w:pos="9026"/>
            </w:tabs>
            <w:spacing w:before="120" w:after="60"/>
          </w:pPr>
          <w:hyperlink w:anchor="_Toc100058" w:history="1">
            <w:r>
              <w:rPr>
                <w:rStyle w:val="Hyperlink"/>
              </w:rPr>
              <w:t>13.1 Quando ML Realmente Agrega Valor</w:t>
            </w:r>
            <w:r>
              <w:tab/>
            </w:r>
            <w:r>
              <w:fldChar w:fldCharType="begin"/>
            </w:r>
            <w:r>
              <w:instrText xml:space="preserve"> PAGEREF _Toc100058 \h </w:instrText>
            </w:r>
            <w:r>
              <w:fldChar w:fldCharType="separate"/>
            </w:r>
            <w:r>
              <w:t>26</w:t>
            </w:r>
            <w:r>
              <w:fldChar w:fldCharType="end"/>
            </w:r>
          </w:hyperlink>
        </w:p>
        <w:p>
          <w:pPr>
            <w:pStyle w:val="12"/>
            <w:ind w:left="720"/>
            <w:tabs>
              <w:tab w:val="right" w:leader="dot" w:pos="9026"/>
            </w:tabs>
            <w:spacing w:before="120" w:after="60"/>
          </w:pPr>
          <w:hyperlink w:anchor="_Toc100059" w:history="1">
            <w:r>
              <w:rPr>
                <w:rStyle w:val="Hyperlink"/>
              </w:rPr>
              <w:t>13.2 Riscos Especificos de ML em Trading</w:t>
            </w:r>
            <w:r>
              <w:tab/>
            </w:r>
            <w:r>
              <w:fldChar w:fldCharType="begin"/>
            </w:r>
            <w:r>
              <w:instrText xml:space="preserve"> PAGEREF _Toc100059 \h </w:instrText>
            </w:r>
            <w:r>
              <w:fldChar w:fldCharType="separate"/>
            </w:r>
            <w:r>
              <w:t>27</w:t>
            </w:r>
            <w:r>
              <w:fldChar w:fldCharType="end"/>
            </w:r>
          </w:hyperlink>
        </w:p>
        <w:p>
          <w:pPr>
            <w:pStyle w:val="12"/>
            <w:ind w:left="720"/>
            <w:tabs>
              <w:tab w:val="right" w:leader="dot" w:pos="9026"/>
            </w:tabs>
            <w:spacing w:before="120" w:after="60"/>
          </w:pPr>
          <w:hyperlink w:anchor="_Toc100060" w:history="1">
            <w:r>
              <w:rPr>
                <w:rStyle w:val="Hyperlink"/>
              </w:rPr>
              <w:t>13.3 Modelos Potencialmente Uteis</w:t>
            </w:r>
            <w:r>
              <w:tab/>
            </w:r>
            <w:r>
              <w:fldChar w:fldCharType="begin"/>
            </w:r>
            <w:r>
              <w:instrText xml:space="preserve"> PAGEREF _Toc100060 \h </w:instrText>
            </w:r>
            <w:r>
              <w:fldChar w:fldCharType="separate"/>
            </w:r>
            <w:r>
              <w:t>27</w:t>
            </w:r>
            <w:r>
              <w:fldChar w:fldCharType="end"/>
            </w:r>
          </w:hyperlink>
        </w:p>
        <w:p>
          <w:pPr>
            <w:pStyle w:val="9"/>
            <w:tabs>
              <w:tab w:val="right" w:leader="dot" w:pos="9026"/>
            </w:tabs>
            <w:spacing w:before="120" w:after="60"/>
          </w:pPr>
          <w:hyperlink w:anchor="_Toc100061" w:history="1">
            <w:r>
              <w:rPr>
                <w:rStyle w:val="Hyperlink"/>
              </w:rPr>
              <w:t>PARTE 4 - Ideias para Backtest e Engenharia de Features</w:t>
            </w:r>
            <w:r>
              <w:tab/>
            </w:r>
            <w:r>
              <w:fldChar w:fldCharType="begin"/>
            </w:r>
            <w:r>
              <w:instrText xml:space="preserve"> PAGEREF _Toc100061 \h </w:instrText>
            </w:r>
            <w:r>
              <w:fldChar w:fldCharType="separate"/>
            </w:r>
            <w:r>
              <w:t>28</w:t>
            </w:r>
            <w:r>
              <w:fldChar w:fldCharType="end"/>
            </w:r>
          </w:hyperlink>
        </w:p>
        <w:p>
          <w:pPr>
            <w:pStyle w:val="11"/>
            <w:ind w:left="360"/>
            <w:tabs>
              <w:tab w:val="right" w:leader="dot" w:pos="9026"/>
            </w:tabs>
            <w:spacing w:before="120" w:after="60"/>
          </w:pPr>
          <w:hyperlink w:anchor="_Toc100062" w:history="1">
            <w:r>
              <w:rPr>
                <w:rStyle w:val="Hyperlink"/>
              </w:rPr>
              <w:t>14. Engenharia de Features</w:t>
            </w:r>
            <w:r>
              <w:tab/>
            </w:r>
            <w:r>
              <w:fldChar w:fldCharType="begin"/>
            </w:r>
            <w:r>
              <w:instrText xml:space="preserve"> PAGEREF _Toc100062 \h </w:instrText>
            </w:r>
            <w:r>
              <w:fldChar w:fldCharType="separate"/>
            </w:r>
            <w:r>
              <w:t>28</w:t>
            </w:r>
            <w:r>
              <w:fldChar w:fldCharType="end"/>
            </w:r>
          </w:hyperlink>
        </w:p>
        <w:p>
          <w:pPr>
            <w:pStyle w:val="12"/>
            <w:ind w:left="720"/>
            <w:tabs>
              <w:tab w:val="right" w:leader="dot" w:pos="9026"/>
            </w:tabs>
            <w:spacing w:before="120" w:after="60"/>
          </w:pPr>
          <w:hyperlink w:anchor="_Toc100063" w:history="1">
            <w:r>
              <w:rPr>
                <w:rStyle w:val="Hyperlink"/>
              </w:rPr>
              <w:t>14.1 Features Baseadas em Retorno</w:t>
            </w:r>
            <w:r>
              <w:tab/>
            </w:r>
            <w:r>
              <w:fldChar w:fldCharType="begin"/>
            </w:r>
            <w:r>
              <w:instrText xml:space="preserve"> PAGEREF _Toc100063 \h </w:instrText>
            </w:r>
            <w:r>
              <w:fldChar w:fldCharType="separate"/>
            </w:r>
            <w:r>
              <w:t>28</w:t>
            </w:r>
            <w:r>
              <w:fldChar w:fldCharType="end"/>
            </w:r>
          </w:hyperlink>
        </w:p>
        <w:p>
          <w:pPr>
            <w:pStyle w:val="12"/>
            <w:ind w:left="720"/>
            <w:tabs>
              <w:tab w:val="right" w:leader="dot" w:pos="9026"/>
            </w:tabs>
            <w:spacing w:before="120" w:after="60"/>
          </w:pPr>
          <w:hyperlink w:anchor="_Toc100064" w:history="1">
            <w:r>
              <w:rPr>
                <w:rStyle w:val="Hyperlink"/>
              </w:rPr>
              <w:t>14.2 Features Baseadas em Volatilidade</w:t>
            </w:r>
            <w:r>
              <w:tab/>
            </w:r>
            <w:r>
              <w:fldChar w:fldCharType="begin"/>
            </w:r>
            <w:r>
              <w:instrText xml:space="preserve"> PAGEREF _Toc100064 \h </w:instrText>
            </w:r>
            <w:r>
              <w:fldChar w:fldCharType="separate"/>
            </w:r>
            <w:r>
              <w:t>28</w:t>
            </w:r>
            <w:r>
              <w:fldChar w:fldCharType="end"/>
            </w:r>
          </w:hyperlink>
        </w:p>
        <w:p>
          <w:pPr>
            <w:pStyle w:val="12"/>
            <w:ind w:left="720"/>
            <w:tabs>
              <w:tab w:val="right" w:leader="dot" w:pos="9026"/>
            </w:tabs>
            <w:spacing w:before="120" w:after="60"/>
          </w:pPr>
          <w:hyperlink w:anchor="_Toc100065" w:history="1">
            <w:r>
              <w:rPr>
                <w:rStyle w:val="Hyperlink"/>
              </w:rPr>
              <w:t>14.3 Features Baseadas em Candle</w:t>
            </w:r>
            <w:r>
              <w:tab/>
            </w:r>
            <w:r>
              <w:fldChar w:fldCharType="begin"/>
            </w:r>
            <w:r>
              <w:instrText xml:space="preserve"> PAGEREF _Toc100065 \h </w:instrText>
            </w:r>
            <w:r>
              <w:fldChar w:fldCharType="separate"/>
            </w:r>
            <w:r>
              <w:t>29</w:t>
            </w:r>
            <w:r>
              <w:fldChar w:fldCharType="end"/>
            </w:r>
          </w:hyperlink>
        </w:p>
        <w:p>
          <w:pPr>
            <w:pStyle w:val="12"/>
            <w:ind w:left="720"/>
            <w:tabs>
              <w:tab w:val="right" w:leader="dot" w:pos="9026"/>
            </w:tabs>
            <w:spacing w:before="120" w:after="60"/>
          </w:pPr>
          <w:hyperlink w:anchor="_Toc100066" w:history="1">
            <w:r>
              <w:rPr>
                <w:rStyle w:val="Hyperlink"/>
              </w:rPr>
              <w:t>14.4 Features Temporais</w:t>
            </w:r>
            <w:r>
              <w:tab/>
            </w:r>
            <w:r>
              <w:fldChar w:fldCharType="begin"/>
            </w:r>
            <w:r>
              <w:instrText xml:space="preserve"> PAGEREF _Toc100066 \h </w:instrText>
            </w:r>
            <w:r>
              <w:fldChar w:fldCharType="separate"/>
            </w:r>
            <w:r>
              <w:t>29</w:t>
            </w:r>
            <w:r>
              <w:fldChar w:fldCharType="end"/>
            </w:r>
          </w:hyperlink>
        </w:p>
        <w:p>
          <w:pPr>
            <w:pStyle w:val="12"/>
            <w:ind w:left="720"/>
            <w:tabs>
              <w:tab w:val="right" w:leader="dot" w:pos="9026"/>
            </w:tabs>
            <w:spacing w:before="120" w:after="60"/>
          </w:pPr>
          <w:hyperlink w:anchor="_Toc100067" w:history="1">
            <w:r>
              <w:rPr>
                <w:rStyle w:val="Hyperlink"/>
              </w:rPr>
              <w:t>14.5 Features Baseadas em Estrutura</w:t>
            </w:r>
            <w:r>
              <w:tab/>
            </w:r>
            <w:r>
              <w:fldChar w:fldCharType="begin"/>
            </w:r>
            <w:r>
              <w:instrText xml:space="preserve"> PAGEREF _Toc100067 \h </w:instrText>
            </w:r>
            <w:r>
              <w:fldChar w:fldCharType="separate"/>
            </w:r>
            <w:r>
              <w:t>29</w:t>
            </w:r>
            <w:r>
              <w:fldChar w:fldCharType="end"/>
            </w:r>
          </w:hyperlink>
        </w:p>
        <w:p>
          <w:pPr>
            <w:pStyle w:val="11"/>
            <w:ind w:left="360"/>
            <w:tabs>
              <w:tab w:val="right" w:leader="dot" w:pos="9026"/>
            </w:tabs>
            <w:spacing w:before="120" w:after="60"/>
          </w:pPr>
          <w:hyperlink w:anchor="_Toc100068" w:history="1">
            <w:r>
              <w:rPr>
                <w:rStyle w:val="Hyperlink"/>
              </w:rPr>
              <w:t>15. Evidencias e Fontes de Pesquisa</w:t>
            </w:r>
            <w:r>
              <w:tab/>
            </w:r>
            <w:r>
              <w:fldChar w:fldCharType="begin"/>
            </w:r>
            <w:r>
              <w:instrText xml:space="preserve"> PAGEREF _Toc100068 \h </w:instrText>
            </w:r>
            <w:r>
              <w:fldChar w:fldCharType="separate"/>
            </w:r>
            <w:r>
              <w:t>30</w:t>
            </w:r>
            <w:r>
              <w:fldChar w:fldCharType="end"/>
            </w:r>
          </w:hyperlink>
        </w:p>
        <w:p>
          <w:pPr>
            <w:pStyle w:val="12"/>
            <w:ind w:left="720"/>
            <w:tabs>
              <w:tab w:val="right" w:leader="dot" w:pos="9026"/>
            </w:tabs>
            <w:spacing w:before="120" w:after="60"/>
          </w:pPr>
          <w:hyperlink w:anchor="_Toc100069" w:history="1">
            <w:r>
              <w:rPr>
                <w:rStyle w:val="Hyperlink"/>
              </w:rPr>
              <w:t>15.1 Papers Academicos Fundamentais</w:t>
            </w:r>
            <w:r>
              <w:tab/>
            </w:r>
            <w:r>
              <w:fldChar w:fldCharType="begin"/>
            </w:r>
            <w:r>
              <w:instrText xml:space="preserve"> PAGEREF _Toc100069 \h </w:instrText>
            </w:r>
            <w:r>
              <w:fldChar w:fldCharType="separate"/>
            </w:r>
            <w:r>
              <w:t>30</w:t>
            </w:r>
            <w:r>
              <w:fldChar w:fldCharType="end"/>
            </w:r>
          </w:hyperlink>
        </w:p>
        <w:p>
          <w:pPr>
            <w:pStyle w:val="12"/>
            <w:ind w:left="720"/>
            <w:tabs>
              <w:tab w:val="right" w:leader="dot" w:pos="9026"/>
            </w:tabs>
            <w:spacing w:before="120" w:after="60"/>
          </w:pPr>
          <w:hyperlink w:anchor="_Toc100070" w:history="1">
            <w:r>
              <w:rPr>
                <w:rStyle w:val="Hyperlink"/>
              </w:rPr>
              <w:t>15.2 Livros Recomendados</w:t>
            </w:r>
            <w:r>
              <w:tab/>
            </w:r>
            <w:r>
              <w:fldChar w:fldCharType="begin"/>
            </w:r>
            <w:r>
              <w:instrText xml:space="preserve"> PAGEREF _Toc100070 \h </w:instrText>
            </w:r>
            <w:r>
              <w:fldChar w:fldCharType="separate"/>
            </w:r>
            <w:r>
              <w:t>31</w:t>
            </w:r>
            <w:r>
              <w:fldChar w:fldCharType="end"/>
            </w:r>
          </w:hyperlink>
        </w:p>
        <w:p>
          <w:pPr>
            <w:pStyle w:val="12"/>
            <w:ind w:left="720"/>
            <w:tabs>
              <w:tab w:val="right" w:leader="dot" w:pos="9026"/>
            </w:tabs>
            <w:spacing w:before="120" w:after="60"/>
          </w:pPr>
          <w:hyperlink w:anchor="_Toc100071" w:history="1">
            <w:r>
              <w:rPr>
                <w:rStyle w:val="Hyperlink"/>
              </w:rPr>
              <w:t>15.3 Fontes de Dados e Ferramentas</w:t>
            </w:r>
            <w:r>
              <w:tab/>
            </w:r>
            <w:r>
              <w:fldChar w:fldCharType="begin"/>
            </w:r>
            <w:r>
              <w:instrText xml:space="preserve"> PAGEREF _Toc100071 \h </w:instrText>
            </w:r>
            <w:r>
              <w:fldChar w:fldCharType="separate"/>
            </w:r>
            <w:r>
              <w:t>32</w:t>
            </w:r>
            <w:r>
              <w:fldChar w:fldCharType="end"/>
            </w:r>
          </w:hyperlink>
        </w:p>
        <w:p>
          <w:pPr>
            <w:pStyle w:val="11"/>
            <w:ind w:left="360"/>
            <w:tabs>
              <w:tab w:val="right" w:leader="dot" w:pos="9026"/>
            </w:tabs>
            <w:spacing w:before="120" w:after="60"/>
          </w:pPr>
          <w:hyperlink w:anchor="_Toc100072" w:history="1">
            <w:r>
              <w:rPr>
                <w:rStyle w:val="Hyperlink"/>
              </w:rPr>
              <w:t>16. Classificacao das Estrategias</w:t>
            </w:r>
            <w:r>
              <w:tab/>
            </w:r>
            <w:r>
              <w:fldChar w:fldCharType="begin"/>
            </w:r>
            <w:r>
              <w:instrText xml:space="preserve"> PAGEREF _Toc100072 \h </w:instrText>
            </w:r>
            <w:r>
              <w:fldChar w:fldCharType="separate"/>
            </w:r>
            <w:r>
              <w:t>32</w:t>
            </w:r>
            <w:r>
              <w:fldChar w:fldCharType="end"/>
            </w:r>
          </w:hyperlink>
        </w:p>
        <w:p>
          <w:pPr>
            <w:pStyle w:val="9"/>
            <w:tabs>
              <w:tab w:val="right" w:leader="dot" w:pos="9026"/>
            </w:tabs>
            <w:spacing w:before="120" w:after="60"/>
          </w:pPr>
          <w:hyperlink w:anchor="_Toc100073" w:history="1">
            <w:r>
              <w:rPr>
                <w:rStyle w:val="Hyperlink"/>
              </w:rPr>
              <w:t>PARTE 5 - Estrategias Prioritarias</w:t>
            </w:r>
            <w:r>
              <w:tab/>
            </w:r>
            <w:r>
              <w:fldChar w:fldCharType="begin"/>
            </w:r>
            <w:r>
              <w:instrText xml:space="preserve"> PAGEREF _Toc100073 \h </w:instrText>
            </w:r>
            <w:r>
              <w:fldChar w:fldCharType="separate"/>
            </w:r>
            <w:r>
              <w:t>33</w:t>
            </w:r>
            <w:r>
              <w:fldChar w:fldCharType="end"/>
            </w:r>
          </w:hyperlink>
        </w:p>
        <w:p>
          <w:pPr>
            <w:pStyle w:val="11"/>
            <w:ind w:left="360"/>
            <w:tabs>
              <w:tab w:val="right" w:leader="dot" w:pos="9026"/>
            </w:tabs>
            <w:spacing w:before="120" w:after="60"/>
          </w:pPr>
          <w:hyperlink w:anchor="_Toc100074" w:history="1">
            <w:r>
              <w:rPr>
                <w:rStyle w:val="Hyperlink"/>
              </w:rPr>
              <w:t>17. Banco de Ideias e Priorizacao</w:t>
            </w:r>
            <w:r>
              <w:tab/>
            </w:r>
            <w:r>
              <w:fldChar w:fldCharType="begin"/>
            </w:r>
            <w:r>
              <w:instrText xml:space="preserve"> PAGEREF _Toc100074 \h </w:instrText>
            </w:r>
            <w:r>
              <w:fldChar w:fldCharType="separate"/>
            </w:r>
            <w:r>
              <w:t>33</w:t>
            </w:r>
            <w:r>
              <w:fldChar w:fldCharType="end"/>
            </w:r>
          </w:hyperlink>
        </w:p>
        <w:p>
          <w:pPr>
            <w:pStyle w:val="9"/>
            <w:tabs>
              <w:tab w:val="right" w:leader="dot" w:pos="9026"/>
            </w:tabs>
            <w:spacing w:before="120" w:after="60"/>
          </w:pPr>
          <w:hyperlink w:anchor="_Toc100075" w:history="1">
            <w:r>
              <w:rPr>
                <w:rStyle w:val="Hyperlink"/>
              </w:rPr>
              <w:t>PARTE 6 - Experimentos e Hipoteses Testaveis</w:t>
            </w:r>
            <w:r>
              <w:tab/>
            </w:r>
            <w:r>
              <w:fldChar w:fldCharType="begin"/>
            </w:r>
            <w:r>
              <w:instrText xml:space="preserve"> PAGEREF _Toc100075 \h </w:instrText>
            </w:r>
            <w:r>
              <w:fldChar w:fldCharType="separate"/>
            </w:r>
            <w:r>
              <w:t>33</w:t>
            </w:r>
            <w:r>
              <w:fldChar w:fldCharType="end"/>
            </w:r>
          </w:hyperlink>
        </w:p>
        <w:p>
          <w:pPr>
            <w:pStyle w:val="11"/>
            <w:ind w:left="360"/>
            <w:tabs>
              <w:tab w:val="right" w:leader="dot" w:pos="9026"/>
            </w:tabs>
            <w:spacing w:before="120" w:after="60"/>
          </w:pPr>
          <w:hyperlink w:anchor="_Toc100076" w:history="1">
            <w:r>
              <w:rPr>
                <w:rStyle w:val="Hyperlink"/>
              </w:rPr>
              <w:t>18. Experimentos para as Estrategias Prioritarias</w:t>
            </w:r>
            <w:r>
              <w:tab/>
            </w:r>
            <w:r>
              <w:fldChar w:fldCharType="begin"/>
            </w:r>
            <w:r>
              <w:instrText xml:space="preserve"> PAGEREF _Toc100076 \h </w:instrText>
            </w:r>
            <w:r>
              <w:fldChar w:fldCharType="separate"/>
            </w:r>
            <w:r>
              <w:t>34</w:t>
            </w:r>
            <w:r>
              <w:fldChar w:fldCharType="end"/>
            </w:r>
          </w:hyperlink>
        </w:p>
        <w:p>
          <w:pPr>
            <w:pStyle w:val="12"/>
            <w:ind w:left="720"/>
            <w:tabs>
              <w:tab w:val="right" w:leader="dot" w:pos="9026"/>
            </w:tabs>
            <w:spacing w:before="120" w:after="60"/>
          </w:pPr>
          <w:hyperlink w:anchor="_Toc100077" w:history="1">
            <w:r>
              <w:rPr>
                <w:rStyle w:val="Hyperlink"/>
              </w:rPr>
              <w:t>18.1 Experimento 1: Trend Following (EMA Crossover)</w:t>
            </w:r>
            <w:r>
              <w:tab/>
            </w:r>
            <w:r>
              <w:fldChar w:fldCharType="begin"/>
            </w:r>
            <w:r>
              <w:instrText xml:space="preserve"> PAGEREF _Toc100077 \h </w:instrText>
            </w:r>
            <w:r>
              <w:fldChar w:fldCharType="separate"/>
            </w:r>
            <w:r>
              <w:t>34</w:t>
            </w:r>
            <w:r>
              <w:fldChar w:fldCharType="end"/>
            </w:r>
          </w:hyperlink>
        </w:p>
        <w:p>
          <w:pPr>
            <w:pStyle w:val="12"/>
            <w:ind w:left="720"/>
            <w:tabs>
              <w:tab w:val="right" w:leader="dot" w:pos="9026"/>
            </w:tabs>
            <w:spacing w:before="120" w:after="60"/>
          </w:pPr>
          <w:hyperlink w:anchor="_Toc100078" w:history="1">
            <w:r>
              <w:rPr>
                <w:rStyle w:val="Hyperlink"/>
              </w:rPr>
              <w:t>18.2 Experimento 2: Time-Series Momentum</w:t>
            </w:r>
            <w:r>
              <w:tab/>
            </w:r>
            <w:r>
              <w:fldChar w:fldCharType="begin"/>
            </w:r>
            <w:r>
              <w:instrText xml:space="preserve"> PAGEREF _Toc100078 \h </w:instrText>
            </w:r>
            <w:r>
              <w:fldChar w:fldCharType="separate"/>
            </w:r>
            <w:r>
              <w:t>34</w:t>
            </w:r>
            <w:r>
              <w:fldChar w:fldCharType="end"/>
            </w:r>
          </w:hyperlink>
        </w:p>
        <w:p>
          <w:pPr>
            <w:pStyle w:val="12"/>
            <w:ind w:left="720"/>
            <w:tabs>
              <w:tab w:val="right" w:leader="dot" w:pos="9026"/>
            </w:tabs>
            <w:spacing w:before="120" w:after="60"/>
          </w:pPr>
          <w:hyperlink w:anchor="_Toc100079" w:history="1">
            <w:r>
              <w:rPr>
                <w:rStyle w:val="Hyperlink"/>
              </w:rPr>
              <w:t>18.3 Experimento 3: Volatility Breakout</w:t>
            </w:r>
            <w:r>
              <w:tab/>
            </w:r>
            <w:r>
              <w:fldChar w:fldCharType="begin"/>
            </w:r>
            <w:r>
              <w:instrText xml:space="preserve"> PAGEREF _Toc100079 \h </w:instrText>
            </w:r>
            <w:r>
              <w:fldChar w:fldCharType="separate"/>
            </w:r>
            <w:r>
              <w:t>35</w:t>
            </w:r>
            <w:r>
              <w:fldChar w:fldCharType="end"/>
            </w:r>
          </w:hyperlink>
        </w:p>
        <w:p>
          <w:pPr>
            <w:pStyle w:val="12"/>
            <w:ind w:left="720"/>
            <w:tabs>
              <w:tab w:val="right" w:leader="dot" w:pos="9026"/>
            </w:tabs>
            <w:spacing w:before="120" w:after="60"/>
          </w:pPr>
          <w:hyperlink w:anchor="_Toc100080" w:history="1">
            <w:r>
              <w:rPr>
                <w:rStyle w:val="Hyperlink"/>
              </w:rPr>
              <w:t>18.4 Experimento 4: Asian Range Breakout</w:t>
            </w:r>
            <w:r>
              <w:tab/>
            </w:r>
            <w:r>
              <w:fldChar w:fldCharType="begin"/>
            </w:r>
            <w:r>
              <w:instrText xml:space="preserve"> PAGEREF _Toc100080 \h </w:instrText>
            </w:r>
            <w:r>
              <w:fldChar w:fldCharType="separate"/>
            </w:r>
            <w:r>
              <w:t>35</w:t>
            </w:r>
            <w:r>
              <w:fldChar w:fldCharType="end"/>
            </w:r>
          </w:hyperlink>
        </w:p>
        <w:p>
          <w:pPr>
            <w:pStyle w:val="12"/>
            <w:ind w:left="720"/>
            <w:tabs>
              <w:tab w:val="right" w:leader="dot" w:pos="9026"/>
            </w:tabs>
            <w:spacing w:before="120" w:after="60"/>
          </w:pPr>
          <w:hyperlink w:anchor="_Toc100081" w:history="1">
            <w:r>
              <w:rPr>
                <w:rStyle w:val="Hyperlink"/>
              </w:rPr>
              <w:t>18.5 Experimento 5: Carry Trade Simples</w:t>
            </w:r>
            <w:r>
              <w:tab/>
            </w:r>
            <w:r>
              <w:fldChar w:fldCharType="begin"/>
            </w:r>
            <w:r>
              <w:instrText xml:space="preserve"> PAGEREF _Toc100081 \h </w:instrText>
            </w:r>
            <w:r>
              <w:fldChar w:fldCharType="separate"/>
            </w:r>
            <w:r>
              <w:t>36</w:t>
            </w:r>
            <w:r>
              <w:fldChar w:fldCharType="end"/>
            </w:r>
          </w:hyperlink>
        </w:p>
        <w:p>
          <w:pPr>
            <w:pStyle w:val="12"/>
            <w:ind w:left="720"/>
            <w:tabs>
              <w:tab w:val="right" w:leader="dot" w:pos="9026"/>
            </w:tabs>
            <w:spacing w:before="120" w:after="60"/>
          </w:pPr>
          <w:hyperlink w:anchor="_Toc100082" w:history="1">
            <w:r>
              <w:rPr>
                <w:rStyle w:val="Hyperlink"/>
              </w:rPr>
              <w:t>18.6 Experimento 6: Mean Reversion (BB + RSI)</w:t>
            </w:r>
            <w:r>
              <w:tab/>
            </w:r>
            <w:r>
              <w:fldChar w:fldCharType="begin"/>
            </w:r>
            <w:r>
              <w:instrText xml:space="preserve"> PAGEREF _Toc100082 \h </w:instrText>
            </w:r>
            <w:r>
              <w:fldChar w:fldCharType="separate"/>
            </w:r>
            <w:r>
              <w:t>36</w:t>
            </w:r>
            <w:r>
              <w:fldChar w:fldCharType="end"/>
            </w:r>
          </w:hyperlink>
        </w:p>
        <w:p>
          <w:pPr>
            <w:pStyle w:val="12"/>
            <w:ind w:left="720"/>
            <w:tabs>
              <w:tab w:val="right" w:leader="dot" w:pos="9026"/>
            </w:tabs>
            <w:spacing w:before="120" w:after="60"/>
          </w:pPr>
          <w:hyperlink w:anchor="_Toc100083" w:history="1">
            <w:r>
              <w:rPr>
                <w:rStyle w:val="Hyperlink"/>
              </w:rPr>
              <w:t>18.7 Experimento 7: Regime-Filtered Trend Following</w:t>
            </w:r>
            <w:r>
              <w:tab/>
            </w:r>
            <w:r>
              <w:fldChar w:fldCharType="begin"/>
            </w:r>
            <w:r>
              <w:instrText xml:space="preserve"> PAGEREF _Toc100083 \h </w:instrText>
            </w:r>
            <w:r>
              <w:fldChar w:fldCharType="separate"/>
            </w:r>
            <w:r>
              <w:t>37</w:t>
            </w:r>
            <w:r>
              <w:fldChar w:fldCharType="end"/>
            </w:r>
          </w:hyperlink>
        </w:p>
        <w:p>
          <w:pPr>
            <w:pStyle w:val="12"/>
            <w:ind w:left="720"/>
            <w:tabs>
              <w:tab w:val="right" w:leader="dot" w:pos="9026"/>
            </w:tabs>
            <w:spacing w:before="120" w:after="60"/>
          </w:pPr>
          <w:hyperlink w:anchor="_Toc100084" w:history="1">
            <w:r>
              <w:rPr>
                <w:rStyle w:val="Hyperlink"/>
              </w:rPr>
              <w:t>18.8 Experimento 8: Multi-Timeframe Momentum</w:t>
            </w:r>
            <w:r>
              <w:tab/>
            </w:r>
            <w:r>
              <w:fldChar w:fldCharType="begin"/>
            </w:r>
            <w:r>
              <w:instrText xml:space="preserve"> PAGEREF _Toc100084 \h </w:instrText>
            </w:r>
            <w:r>
              <w:fldChar w:fldCharType="separate"/>
            </w:r>
            <w:r>
              <w:t>37</w:t>
            </w:r>
            <w:r>
              <w:fldChar w:fldCharType="end"/>
            </w:r>
          </w:hyperlink>
        </w:p>
        <w:p>
          <w:pPr>
            <w:pStyle w:val="11"/>
            <w:ind w:left="360"/>
            <w:tabs>
              <w:tab w:val="right" w:leader="dot" w:pos="9026"/>
            </w:tabs>
            <w:spacing w:before="120" w:after="60"/>
          </w:pPr>
          <w:hyperlink w:anchor="_Toc100085" w:history="1">
            <w:r>
              <w:rPr>
                <w:rStyle w:val="Hyperlink"/>
              </w:rPr>
              <w:t>19. Roadmap de Implementacao</w:t>
            </w:r>
            <w:r>
              <w:tab/>
            </w:r>
            <w:r>
              <w:fldChar w:fldCharType="begin"/>
            </w:r>
            <w:r>
              <w:instrText xml:space="preserve"> PAGEREF _Toc100085 \h </w:instrText>
            </w:r>
            <w:r>
              <w:fldChar w:fldCharType="separate"/>
            </w:r>
            <w:r>
              <w:t>38</w:t>
            </w:r>
            <w:r>
              <w:fldChar w:fldCharType="end"/>
            </w:r>
          </w:hyperlink>
        </w:p>
        <w:p>
          <w:r>
            <w:fldChar w:fldCharType="end"/>
          </w:r>
        </w:p>
      </w:sdtContent>
    </w:sdt>
    <w:p>
      <w:pPr>
        <w:spacing w:before="200"/>
      </w:pPr>
      <w:r>
        <w:rPr>
          <w:rFonts w:ascii="Calibri"/>
          <w:i/>
          <w:iCs/>
          <w:color w:val="888888"/>
          <w:sz w:val="18"/>
          <w:szCs w:val="18"/>
        </w:rPr>
        <w:t xml:space="preserve">Nota: Este Sumario e gerado via codigos de campo. Para garantir precisao dos numeros de pagina apos edicao, clique com o botao direito no sumario e selecione "Atualizar Campo".</w:t>
      </w:r>
    </w:p>
    <w:p>
      <w:r>
        <w:br w:type="page"/>
      </w:r>
    </w:p>
    <w:p>
      <w:pPr>
        <w:sectPr>
          <w:headerReference w:type="default" r:id="rId7"/>
          <w:footerReference w:type="default" r:id="rId8"/>
          <w:type w:val="nextPage"/>
          <w:pgSz w:w="11906" w:h="16838" w:orient="portrait"/>
          <w:pgMar w:top="1440" w:right="1417" w:bottom="1440" w:left="1701" w:header="708" w:footer="708" w:gutter="0"/>
          <w:pgNumType w:start="1" w:fmt="7"/>
          <w:docGrid w:linePitch="360"/>
        </w:sectPr>
      </w:pPr>
    </w:p>
    <w:p>
      <w:pPr>
        <w:pStyle w:val="Heading1"/>
        <w:spacing w:after="200" w:before="480" w:line="312"/>
      </w:pPr>
      <w:bookmarkStart w:id="100000" w:name="_Toc100000"/>
      <w:r>
        <w:rPr>
          <w:rFonts w:ascii="Times New Roman"/>
          <w:b/>
          <w:bCs/>
          <w:color w:val="1A1A1A"/>
          <w:sz w:val="32"/>
          <w:szCs w:val="32"/>
        </w:rPr>
        <w:t xml:space="preserve">Sumario Executivo</w:t>
      </w:r>
      <w:bookmarkEnd w:id="100000"/>
    </w:p>
    <w:p>
      <w:pPr>
        <w:spacing w:after="120" w:line="312"/>
        <w:jc w:val="both"/>
      </w:pPr>
      <w:r>
        <w:rPr>
          <w:rFonts w:ascii="Times New Roman"/>
          <w:color w:val="1C1C1C"/>
          <w:sz w:val="22"/>
          <w:szCs w:val="22"/>
        </w:rPr>
        <w:t xml:space="preserve">Este documento apresenta uma pesquisa abrangente sobre estrategias quantitativas para operacoes algoritmicas no mercado Forex. O objetivo e construir uma base de conhecimento solida, fundamentada em evidencias academicas e empiricas, que servira como referencia para o desenvolvimento, teste e validacao de estrategias automatizadas de trading utilizando Python e MetaTrader 5.</w:t>
      </w:r>
    </w:p>
    <w:p>
      <w:pPr>
        <w:spacing w:after="120" w:line="312"/>
        <w:jc w:val="both"/>
      </w:pPr>
      <w:r>
        <w:rPr>
          <w:rFonts w:ascii="Times New Roman"/>
          <w:color w:val="1C1C1C"/>
          <w:sz w:val="22"/>
          <w:szCs w:val="22"/>
        </w:rPr>
        <w:t xml:space="preserve">A pesquisa cobre 18 dimensoes complementares: desde estrategias quantitativas classicas como Trend Following, Mean Reversion e Breakout, passando por indicadores tecnicos, deteccao de regimes de mercado, sessoes de negociacao, gestao de risco, metricas de avaliacao e boas praticas de backtesting, ate abordagens avancadas como Machine Learning e engenharia de features. Cada secao foi elaborada com foco em transformar conceitos em regras objetivas e programaveis, evitando subjetividade.</w:t>
      </w:r>
    </w:p>
    <w:p>
      <w:pPr>
        <w:spacing w:after="120" w:line="312"/>
        <w:jc w:val="both"/>
      </w:pPr>
      <w:r>
        <w:rPr>
          <w:rFonts w:ascii="Times New Roman"/>
          <w:color w:val="1C1C1C"/>
          <w:sz w:val="22"/>
          <w:szCs w:val="22"/>
        </w:rPr>
        <w:t xml:space="preserve">Ao final, identificamos 8 estrategias prioritarias que apresentam o melhor balance entre simplicidade, logica estatistica plausivel, robustez potencial e viabilidade de implementacao. Para cada estrategia prioritaria, foram formuladas hipoteses testaveis com experimentos concretos que deverao ser submetidos a backtesting rigoroso antes de qualquer implementacao em conta demo.</w:t>
      </w:r>
    </w:p>
    <w:p>
      <w:pPr>
        <w:spacing w:after="120" w:line="312"/>
        <w:jc w:val="both"/>
      </w:pPr>
      <w:r>
        <w:rPr>
          <w:rFonts w:ascii="Times New Roman"/>
          <w:color w:val="1C1C1C"/>
          <w:sz w:val="22"/>
          <w:szCs w:val="22"/>
        </w:rPr>
        <w:t xml:space="preserve">Principais conclusoes da pesquisa: (1) estrategias simples tendem a ser mais robustas que estrategias complexas; (2) a deteccao de regime de mercado e um filtro fundamental que pode significativamente melhorar o desempenho de qualquer estrategia; (3) custos transacionais (spread, slippage, comissao) sao frequentemente subestimados e podem invalidar estrategias aparentemente lucrativas; (4) o overfitting e o principal risco em backtesting e deve ser combatido com validacao out-of-sample e walk-forward analysis; (5) o carry trade e o momentum de series temporais apresentam as evidencias academicas mais solidas para o Forex.</w:t>
      </w:r>
    </w:p>
    <w:p>
      <w:pPr>
        <w:spacing w:after="120" w:line="312"/>
        <w:jc w:val="both"/>
      </w:pPr>
      <w:r>
        <w:rPr>
          <w:rFonts w:ascii="Times New Roman"/>
          <w:b/>
          <w:bCs/>
          <w:color w:val="1C1C1C"/>
          <w:sz w:val="22"/>
          <w:szCs w:val="22"/>
        </w:rPr>
        <w:t xml:space="preserve">Nota importante: </w:t>
      </w:r>
      <w:r>
        <w:rPr>
          <w:rFonts w:ascii="Times New Roman"/>
          <w:color w:val="1C1C1C"/>
          <w:sz w:val="22"/>
          <w:szCs w:val="22"/>
        </w:rPr>
        <w:t xml:space="preserve">Nenhum resultado historico apresentado neste documento deve ser interpretado como garantia de resultado futuro. Toda estrategia requer validacao rigorosa antes de implementacao com capital real.</w:t>
      </w:r>
    </w:p>
    <w:p>
      <w:pPr>
        <w:spacing w:after="60"/>
      </w:pPr>
    </w:p>
    <w:p>
      <w:pPr>
        <w:pStyle w:val="Heading1"/>
        <w:spacing w:after="200" w:before="480" w:line="312"/>
      </w:pPr>
      <w:bookmarkStart w:id="100001" w:name="_Toc100001"/>
      <w:r>
        <w:rPr>
          <w:rFonts w:ascii="Times New Roman"/>
          <w:b/>
          <w:bCs/>
          <w:color w:val="1A1A1A"/>
          <w:sz w:val="32"/>
          <w:szCs w:val="32"/>
        </w:rPr>
        <w:t xml:space="preserve">PARTE 1 - Fundamentos</w:t>
      </w:r>
      <w:bookmarkEnd w:id="100001"/>
    </w:p>
    <w:p>
      <w:pPr>
        <w:pStyle w:val="Heading2"/>
        <w:spacing w:after="160" w:before="360" w:line="312"/>
      </w:pPr>
      <w:bookmarkStart w:id="100002" w:name="_Toc100002"/>
      <w:r>
        <w:rPr>
          <w:rFonts w:ascii="Times New Roman"/>
          <w:b/>
          <w:bCs/>
          <w:color w:val="1A1A1A"/>
          <w:sz w:val="28"/>
          <w:szCs w:val="28"/>
        </w:rPr>
        <w:t xml:space="preserve">2. Indicadores Tecnicos: Analise Matematica</w:t>
      </w:r>
      <w:bookmarkEnd w:id="100002"/>
    </w:p>
    <w:p>
      <w:pPr>
        <w:pStyle w:val="Heading3"/>
        <w:spacing w:after="120" w:before="240" w:line="312"/>
      </w:pPr>
      <w:bookmarkStart w:id="100003" w:name="_Toc100003"/>
      <w:r>
        <w:rPr>
          <w:rFonts w:ascii="Times New Roman"/>
          <w:b/>
          <w:bCs/>
          <w:color w:val="333333"/>
          <w:sz w:val="24"/>
          <w:szCs w:val="24"/>
        </w:rPr>
        <w:t xml:space="preserve">2.1 Indicadores de Tendencia</w:t>
      </w:r>
      <w:bookmarkEnd w:id="100003"/>
    </w:p>
    <w:p>
      <w:pPr>
        <w:spacing w:after="120" w:line="312"/>
        <w:jc w:val="both"/>
      </w:pPr>
      <w:r>
        <w:rPr>
          <w:rFonts w:ascii="Times New Roman"/>
          <w:b/>
          <w:bCs/>
          <w:color w:val="1C1C1C"/>
          <w:sz w:val="22"/>
          <w:szCs w:val="22"/>
        </w:rPr>
        <w:t xml:space="preserve">SMA (Simple Moving Average): </w:t>
      </w:r>
      <w:r>
        <w:rPr>
          <w:rFonts w:ascii="Times New Roman"/>
          <w:color w:val="1C1C1C"/>
          <w:sz w:val="22"/>
          <w:szCs w:val="22"/>
        </w:rPr>
        <w:t xml:space="preserve">Calcula a media aritmetica dos precos de fechamento dos ultimos N periodos. Matematicamente, SMA(N) = (1/N) * soma(P[i], i=0 ate N-1). A SMA atribui peso igual a todos os periodos, o que a torna lenta para reagir a mudancas recentes de preco. Sua utilidade principal reside em suavizar ruido e identificar a direcao geral do mercado. Quanto maior o periodo N, mais suavizada sera a curva e mais lenta sera a resposta a reversoes. A SMA e amplamente utilizada como referencia para definir tendencia: preco acima da SMA de periodo longo sugere tendencia de alta; abaixo, tendencia de baixa. A diferenca entre SMA de curto e longo periodo (por exemplo, SMA 50 menos SMA 200) constitui o popular MACD.</w:t>
      </w:r>
    </w:p>
    <w:p>
      <w:pPr>
        <w:spacing w:after="120" w:line="312"/>
        <w:jc w:val="both"/>
      </w:pPr>
      <w:r>
        <w:rPr>
          <w:rFonts w:ascii="Times New Roman"/>
          <w:b/>
          <w:bCs/>
          <w:color w:val="1C1C1C"/>
          <w:sz w:val="22"/>
          <w:szCs w:val="22"/>
        </w:rPr>
        <w:t xml:space="preserve">EMA (Exponential Moving Average): </w:t>
      </w:r>
      <w:r>
        <w:rPr>
          <w:rFonts w:ascii="Times New Roman"/>
          <w:color w:val="1C1C1C"/>
          <w:sz w:val="22"/>
          <w:szCs w:val="22"/>
        </w:rPr>
        <w:t xml:space="preserve">Atribui peso exponencialmente decrescente aos precos mais recentes. Matematicamente, EMA(t) = alpha * P(t) + (1 - alpha) * EMA(t-1), onde alpha = 2/(N+1). Para N=20, alpha=0.095, significando que o preco atual recebe peso de 9.5%, enquanto os pesos decaem exponencialmente para precos passados. A EMA reage mais rapidamente a mudancas de preco que a SMA de mesmo periodo, tornando-a mais sensivel a movimentos recentes. Esta caracteristica a torna preferida por traders de curto prazo, mas tambem mais suscetivel a sinais falsos em mercados ruidosos. A EMA e o componente central de muitos indicadores derivados.</w:t>
      </w:r>
    </w:p>
    <w:p>
      <w:pPr>
        <w:spacing w:after="120" w:line="312"/>
        <w:jc w:val="both"/>
      </w:pPr>
      <w:r>
        <w:rPr>
          <w:rFonts w:ascii="Times New Roman"/>
          <w:b/>
          <w:bCs/>
          <w:color w:val="1C1C1C"/>
          <w:sz w:val="22"/>
          <w:szCs w:val="22"/>
        </w:rPr>
        <w:t xml:space="preserve">WMA (Weighted Moving Average): </w:t>
      </w:r>
      <w:r>
        <w:rPr>
          <w:rFonts w:ascii="Times New Roman"/>
          <w:color w:val="1C1C1C"/>
          <w:sz w:val="22"/>
          <w:szCs w:val="22"/>
        </w:rPr>
        <w:t xml:space="preserve">Atribui pesos linearmente decrescentes: o preco mais recente recebe peso N, o anterior N-1, ate o mais antigo com peso 1. WMA(t) = soma(w[i]*P[i]) / soma(w[i]), onde w[i] = N-i. A WMA oferece um compromisso entre a SMA (pesos iguais) e a EMA (pesos exponenciais). Em pratica, a diferenca entre WMA e EMA e pequena para periodos curtos, tornando-as quase intercambiaveis na maioria das aplicacoes. Sua principal vantagem e a simplicidade computacional e a previsibilidade do perfil de ponderacao.</w:t>
      </w:r>
    </w:p>
    <w:p>
      <w:pPr>
        <w:spacing w:after="120" w:line="312"/>
        <w:jc w:val="both"/>
      </w:pPr>
      <w:r>
        <w:rPr>
          <w:rFonts w:ascii="Times New Roman"/>
          <w:b/>
          <w:bCs/>
          <w:color w:val="1C1C1C"/>
          <w:sz w:val="22"/>
          <w:szCs w:val="22"/>
        </w:rPr>
        <w:t xml:space="preserve">ADX (Average Directional Index): </w:t>
      </w:r>
      <w:r>
        <w:rPr>
          <w:rFonts w:ascii="Times New Roman"/>
          <w:color w:val="1C1C1C"/>
          <w:sz w:val="22"/>
          <w:szCs w:val="22"/>
        </w:rPr>
        <w:t xml:space="preserve">Mede a intensidade de uma tendencia, independentemente de sua direcao. O ADX e derivado de dois componentes: +DI (Directional Indicator positivo) e -DI (Directional Indicator negativo), que medem a forca dos movimentos de alta e baixa respectivamente. Valores de ADX acima de 25 tipicamente indicam presenca de tendencia forte; entre 20 e 25, tendencia emergente; abaixo de 20, mercado lateral ou sem direcao clara. O ADX nao indica a direcao da tendencia, apenas sua forca. Esta distincao e fundamental: um ADX elevado com +DI &gt; -DI sugere tendencia de alta forte, enquanto ADX elevado com -DI &gt; +DI sugere tendencia de baixa forte. O ADX e frequentemente utilizado como filtro: estrategias de trend following funcionam melhor com ADX &gt; 25, enquanto estrategias de mean reversion podem funcionar melhor com ADX &lt; 20.</w:t>
      </w:r>
    </w:p>
    <w:p>
      <w:pPr>
        <w:spacing w:after="120" w:line="312"/>
        <w:jc w:val="both"/>
      </w:pPr>
      <w:r>
        <w:rPr>
          <w:rFonts w:ascii="Times New Roman"/>
          <w:b/>
          <w:bCs/>
          <w:color w:val="1C1C1C"/>
          <w:sz w:val="22"/>
          <w:szCs w:val="22"/>
        </w:rPr>
        <w:t xml:space="preserve">MACD (Moving Average Convergence Divergence): </w:t>
      </w:r>
      <w:r>
        <w:rPr>
          <w:rFonts w:ascii="Times New Roman"/>
          <w:color w:val="1C1C1C"/>
          <w:sz w:val="22"/>
          <w:szCs w:val="22"/>
        </w:rPr>
        <w:t xml:space="preserve">Calcula a diferenca entre duas EMAs (tipicamente EMA 12 e EMA 26), produindo um oscillator que oscila em torno de zero. A linha de sinal e uma EMA do proprio MACD (tipicamente EMA 9). O histograma MACD representa a diferenca entre o MACD e sua linha de sinal. Matematicamente, MACD = EMA(12) - EMA(26), Sinal = EMA(9, MACD), Histograma = MACD - Sinal. O MACD combina informacao de tendencia (relacao com zero) e momentum (cruzamentos com a linha de sinal). Quando o MACD cruza acima da linha de sinal, gera sinal de compra; quando cruza abaixo, sinal de venda. Divergencias entre o MACD e o preco (preco faz nova maxima mas MACD nao) sao frequentemente interpretadas como sinal de enfraquecimento da tendencia.</w:t>
      </w:r>
    </w:p>
    <w:p>
      <w:pPr>
        <w:spacing w:after="120" w:line="312"/>
        <w:jc w:val="both"/>
      </w:pPr>
      <w:r>
        <w:rPr>
          <w:rFonts w:ascii="Times New Roman"/>
          <w:b/>
          <w:bCs/>
          <w:color w:val="1C1C1C"/>
          <w:sz w:val="22"/>
          <w:szCs w:val="22"/>
        </w:rPr>
        <w:t xml:space="preserve">Supertrend: </w:t>
      </w:r>
      <w:r>
        <w:rPr>
          <w:rFonts w:ascii="Times New Roman"/>
          <w:color w:val="1C1C1C"/>
          <w:sz w:val="22"/>
          <w:szCs w:val="22"/>
        </w:rPr>
        <w:t xml:space="preserve">Indicador de tendencia baseado no ATR (Average True Range). Utiliza uma linha central deslocada pelo ATR multiplicado por um fator (tipicamente 3 ou 2.5). O Supertrend muda de cor (direcao) quando o preco cruza a linha. Matematicamente, Upper Band = (ATR * multiplier) + Median Price; Lower Band = Median Price - (ATR * multiplier). Quando o Supertrend esta acima do preco, indica tendencia de alta; quando abaixo, tendencia de baixa. Sua vantagem principal e a adaptabilidade automatica a volatilidade: em mercados volateis, as bandas se alargam, reduzindo sinais falsos; em mercados calmos, as bandas se estreitam, respondendo mais rapidamente. O Supertrend pode funcionar como um trailing stop dinamico.</w:t>
      </w:r>
    </w:p>
    <w:p>
      <w:pPr>
        <w:spacing w:after="120" w:line="312"/>
        <w:jc w:val="both"/>
      </w:pPr>
      <w:r>
        <w:rPr>
          <w:rFonts w:ascii="Times New Roman"/>
          <w:b/>
          <w:bCs/>
          <w:color w:val="1C1C1C"/>
          <w:sz w:val="22"/>
          <w:szCs w:val="22"/>
        </w:rPr>
        <w:t xml:space="preserve">Ichimoku Kinko Hyo: </w:t>
      </w:r>
      <w:r>
        <w:rPr>
          <w:rFonts w:ascii="Times New Roman"/>
          <w:color w:val="1C1C1C"/>
          <w:sz w:val="22"/>
          <w:szCs w:val="22"/>
        </w:rPr>
        <w:t xml:space="preserve">Sistema completo de analise tecnica que fornece informacao sobre tendencia, suporte/resistencia e momentum simultaneamente. Compoe-se de cinco linhas: Tenkan-sen (media de 9 periodos, rapida), Kijun-sen (media de 26 periodos, lenta), Senkou Span A (media entre Tenkan e Kijun projetada 26 periodos a frente), Senkou Span B (media de 52 periodos projetada 26 periodos a frente), e Chikou Span (preco atual projetado 26 periodos atras). A area entre Senkou Span A e B forma a 'nuvem' (Kumo). Preco acima da nuvem com Kumo verde sugere tendencia de alta; preco abaixo com Kumo vermelho sugere tendencia de baixa. A complexidade do sistema pode levar a sobreposicao de sinais conflitantes, mas cada componente pode ser isolado e utilizado individualmente.</w:t>
      </w:r>
    </w:p>
    <w:p>
      <w:pPr>
        <w:pStyle w:val="Heading3"/>
        <w:spacing w:after="120" w:before="240" w:line="312"/>
      </w:pPr>
      <w:bookmarkStart w:id="100004" w:name="_Toc100004"/>
      <w:r>
        <w:rPr>
          <w:rFonts w:ascii="Times New Roman"/>
          <w:b/>
          <w:bCs/>
          <w:color w:val="333333"/>
          <w:sz w:val="24"/>
          <w:szCs w:val="24"/>
        </w:rPr>
        <w:t xml:space="preserve">2.2 Indicadores de Momentum</w:t>
      </w:r>
      <w:bookmarkEnd w:id="100004"/>
    </w:p>
    <w:p>
      <w:pPr>
        <w:spacing w:after="120" w:line="312"/>
        <w:jc w:val="both"/>
      </w:pPr>
      <w:r>
        <w:rPr>
          <w:rFonts w:ascii="Times New Roman"/>
          <w:b/>
          <w:bCs/>
          <w:color w:val="1C1C1C"/>
          <w:sz w:val="22"/>
          <w:szCs w:val="22"/>
        </w:rPr>
        <w:t xml:space="preserve">RSI (Relative Strength Index): </w:t>
      </w:r>
      <w:r>
        <w:rPr>
          <w:rFonts w:ascii="Times New Roman"/>
          <w:color w:val="1C1C1C"/>
          <w:sz w:val="22"/>
          <w:szCs w:val="22"/>
        </w:rPr>
        <w:t xml:space="preserve">Oscilador que mede a velocidade e mudanca dos movimentos de precos. RSI = 100 - (100 / (1 + RS)), onde RS = media dos ganhos nos ultimos N periodos / media das perdas nos ultimos N periodos. Com N tipicamente igual a 14, o RSI oscila entre 0 e 100. Tradicionalmente, RSI &gt; 70 sugere sobrecompra, RSI &lt; 30 sugere sobrevenda. Porem, em tendencias fortes, o RSI pode permanecer em sobrecompra/sobrevenda por periodos prolongados. O RSI e matematicamente equivalente a um suavizador da proporcao ganho/perda, e sua interpretacao estatistica e a de um oscillator de momento. Divergencias entre RSI e preco constituem um dos sinais tecnicos mais estudados academicamente. Uma divergencia bearish ocorre quando o preco faz nova maxima mas o RSI faz maxima mais baixa; uma divergencia bullish ocorre quando o preco faz nova minima mas o RSI faz minima mais alta.</w:t>
      </w:r>
    </w:p>
    <w:p>
      <w:pPr>
        <w:spacing w:after="120" w:line="312"/>
        <w:jc w:val="both"/>
      </w:pPr>
      <w:r>
        <w:rPr>
          <w:rFonts w:ascii="Times New Roman"/>
          <w:b/>
          <w:bCs/>
          <w:color w:val="1C1C1C"/>
          <w:sz w:val="22"/>
          <w:szCs w:val="22"/>
        </w:rPr>
        <w:t xml:space="preserve">Stochastic Oscillator: </w:t>
      </w:r>
      <w:r>
        <w:rPr>
          <w:rFonts w:ascii="Times New Roman"/>
          <w:color w:val="1C1C1C"/>
          <w:sz w:val="22"/>
          <w:szCs w:val="22"/>
        </w:rPr>
        <w:t xml:space="preserve">Mede a posicao relativa do preco de fechamento em relacao a faixa de alta/baixa dos ultimos N periodos. %K = (Close - Lowest Low) / (Highest High - Lowest Low) * 100. A linha %D e uma SMA de %K (tipicamente 3 periodos). Valores acima de 80 indicam sobrecompra; abaixo de 20, sobrevenda. Cruzamentos de %K e %D geram sinais de compra/venda. O Stochastic e particularmente util em mercados laterais (ranging), onde tende a oscilar entre sobrecompra e sobrevenda. Em mercados com tendencia forte, porem, pode gerar sinais falsos prematuros. O Stochastic e estatisticamente similar ao RSI na informacao que fornece (ambos medem momentum relativo), com correlacao tipicamente acima de 0.8 entre eles.</w:t>
      </w:r>
    </w:p>
    <w:p>
      <w:pPr>
        <w:spacing w:after="120" w:line="312"/>
        <w:jc w:val="both"/>
      </w:pPr>
      <w:r>
        <w:rPr>
          <w:rFonts w:ascii="Times New Roman"/>
          <w:b/>
          <w:bCs/>
          <w:color w:val="1C1C1C"/>
          <w:sz w:val="22"/>
          <w:szCs w:val="22"/>
        </w:rPr>
        <w:t xml:space="preserve">ROC (Rate of Change): </w:t>
      </w:r>
      <w:r>
        <w:rPr>
          <w:rFonts w:ascii="Times New Roman"/>
          <w:color w:val="1C1C1C"/>
          <w:sz w:val="22"/>
          <w:szCs w:val="22"/>
        </w:rPr>
        <w:t xml:space="preserve">Mede a mudanca percentual do preco entre o periodo atual e N periodos atras. ROC = ((P(t) - P(t-N)) / P(t-N)) * 100. O ROC mede diretamente a velocidade de apreciacao/depreciacao do preco. Valores positivos indicam ganhho; negativos, perda. A magnitude indica a velocidade. O ROC e o indicador de momentum mais direto e simples, sem normalizacao artificial. Sua utilidade reside em identificar aceleracao/desaceleracao de movimentos de preco. O ROC pode ser utilizado como feature para modelos estatisticos por sua simplicidade e interpretabilidade.</w:t>
      </w:r>
    </w:p>
    <w:p>
      <w:pPr>
        <w:spacing w:after="120" w:line="312"/>
        <w:jc w:val="both"/>
      </w:pPr>
      <w:r>
        <w:rPr>
          <w:rFonts w:ascii="Times New Roman"/>
          <w:b/>
          <w:bCs/>
          <w:color w:val="1C1C1C"/>
          <w:sz w:val="22"/>
          <w:szCs w:val="22"/>
        </w:rPr>
        <w:t xml:space="preserve">CCI (Commodity Channel Index): </w:t>
      </w:r>
      <w:r>
        <w:rPr>
          <w:rFonts w:ascii="Times New Roman"/>
          <w:color w:val="1C1C1C"/>
          <w:sz w:val="22"/>
          <w:szCs w:val="22"/>
        </w:rPr>
        <w:t xml:space="preserve">Mede o desvio do preco em relacao a sua media estatistica. CCI = (TP - SMA(TP)) / (0.015 * Mean Deviation), onde TP = (High + Low + Close) / 3. O fator 0.015 normaliza aproximadamente 70-80% dos valores para o intervalo [-100, 100]. Valores acima de +100 indicam sobrecompra estatisticamente anormal; abaixo de -100, sobrevenda anormal. O CCI e estatisticamente similar a um z-score do preco, tornado-o um indicador com fundamento estatistico mais solido que indicadores baseados em thresholds arbitrarios.</w:t>
      </w:r>
    </w:p>
    <w:p>
      <w:pPr>
        <w:spacing w:after="120" w:line="312"/>
        <w:jc w:val="both"/>
      </w:pPr>
      <w:r>
        <w:rPr>
          <w:rFonts w:ascii="Times New Roman"/>
          <w:b/>
          <w:bCs/>
          <w:color w:val="1C1C1C"/>
          <w:sz w:val="22"/>
          <w:szCs w:val="22"/>
        </w:rPr>
        <w:t xml:space="preserve">Williams %R: </w:t>
      </w:r>
      <w:r>
        <w:rPr>
          <w:rFonts w:ascii="Times New Roman"/>
          <w:color w:val="1C1C1C"/>
          <w:sz w:val="22"/>
          <w:szCs w:val="22"/>
        </w:rPr>
        <w:t xml:space="preserve">Mede a posicao do preco de fechamento em relacao a faixa dos ultimos N periodos, de forma inversa ao Stochastic. Williams %R = ((Highest High - Close) / (Highest High - Lowest Low)) * -100. Valores variam de -100 a 0, com -20 indicando sobrecompra e -80 indicando sobrevenda. Matematicamente, Williams %R = Stochastic %K - 100, tornando-os quase identicos na informacao fornecida. Utilizar ambos e redundante.</w:t>
      </w:r>
    </w:p>
    <w:p>
      <w:pPr>
        <w:pStyle w:val="Heading3"/>
        <w:spacing w:after="120" w:before="240" w:line="312"/>
      </w:pPr>
      <w:bookmarkStart w:id="100005" w:name="_Toc100005"/>
      <w:r>
        <w:rPr>
          <w:rFonts w:ascii="Times New Roman"/>
          <w:b/>
          <w:bCs/>
          <w:color w:val="333333"/>
          <w:sz w:val="24"/>
          <w:szCs w:val="24"/>
        </w:rPr>
        <w:t xml:space="preserve">2.3 Indicadores de Volatilidade</w:t>
      </w:r>
      <w:bookmarkEnd w:id="100005"/>
    </w:p>
    <w:p>
      <w:pPr>
        <w:spacing w:after="120" w:line="312"/>
        <w:jc w:val="both"/>
      </w:pPr>
      <w:r>
        <w:rPr>
          <w:rFonts w:ascii="Times New Roman"/>
          <w:b/>
          <w:bCs/>
          <w:color w:val="1C1C1C"/>
          <w:sz w:val="22"/>
          <w:szCs w:val="22"/>
        </w:rPr>
        <w:t xml:space="preserve">ATR (Average True Range): </w:t>
      </w:r>
      <w:r>
        <w:rPr>
          <w:rFonts w:ascii="Times New Roman"/>
          <w:color w:val="1C1C1C"/>
          <w:sz w:val="22"/>
          <w:szCs w:val="22"/>
        </w:rPr>
        <w:t xml:space="preserve">Mede a volatilidade media do mercado calculando a media verdadeira faixa de precos. True Range = max(High - Low, abs(High - Close anterior), abs(Low - Close anterior)). ATR = media(True Range, N periodos). O ATR e a medida de volatilidade mais praticamente util para trading: mede a distancia media que o preco percorre por periodo, incluindo gaps. Utilizacoes primarias incluem: dimensionamento de posicao (posicao = risco em dolares / ATR), definicao de stop loss (stop = entrada - multiplo * ATR), definicao de take profit, e deteccao de mudancas de regime (ATR crescente = volatilidade em expansao; ATR decrescente = volatilidade em contracao). O ATR e independente de direcao, medindo apenas magnitude de movimento.</w:t>
      </w:r>
    </w:p>
    <w:p>
      <w:pPr>
        <w:spacing w:after="120" w:line="312"/>
        <w:jc w:val="both"/>
      </w:pPr>
      <w:r>
        <w:rPr>
          <w:rFonts w:ascii="Times New Roman"/>
          <w:b/>
          <w:bCs/>
          <w:color w:val="1C1C1C"/>
          <w:sz w:val="22"/>
          <w:szCs w:val="22"/>
        </w:rPr>
        <w:t xml:space="preserve">Bollinger Bands: </w:t>
      </w:r>
      <w:r>
        <w:rPr>
          <w:rFonts w:ascii="Times New Roman"/>
          <w:color w:val="1C1C1C"/>
          <w:sz w:val="22"/>
          <w:szCs w:val="22"/>
        </w:rPr>
        <w:t xml:space="preserve">Composta por uma SMA central (tipicamente 20 periodos) com bandas superior e inferior calculadas como SMA +/- K * desvio padrao (tipicamente K=2). As bandas expandem quando a volatilidade aumenta e contraem quando diminui. O indicador e estatisticamente fundamentado: para precos normalmente distribuidos, aproximadamente 95% dos precos devem ficar dentro das bandas (2 desvios padrao). Quando o preco toca ou ultrapassa as bandas, nao e necessariamente sinal de reversao, mas sim indicativo de que o preco esta em extremo estatistico. A largura das bandas (Bollinger Band Width = (banda superior - banda inferior) / SMA) e uma medida normalizada de volatilidade util para deteccao de regimes.</w:t>
      </w:r>
    </w:p>
    <w:p>
      <w:pPr>
        <w:spacing w:after="120" w:line="312"/>
        <w:jc w:val="both"/>
      </w:pPr>
      <w:r>
        <w:rPr>
          <w:rFonts w:ascii="Times New Roman"/>
          <w:b/>
          <w:bCs/>
          <w:color w:val="1C1C1C"/>
          <w:sz w:val="22"/>
          <w:szCs w:val="22"/>
        </w:rPr>
        <w:t xml:space="preserve">Keltner Channels: </w:t>
      </w:r>
      <w:r>
        <w:rPr>
          <w:rFonts w:ascii="Times New Roman"/>
          <w:color w:val="1C1C1C"/>
          <w:sz w:val="22"/>
          <w:szCs w:val="22"/>
        </w:rPr>
        <w:t xml:space="preserve">Similar as Bollinger Bands, porem utilizando o ATR em vez do desvio padrao para calcular as bandas. Canal medio = EMA(typicamente 20), Bandas = EMA +/- multiplicador * ATR(tipicamente 1.5 ou 2). A vantagem sobre Bollinger Bands e que o ATR e mais robusto a outliers que o desvio padrao, pois incorpora gaps e limites extremos. Quando o preco fecha fora dos canais de Keltner, indica movimento mais extremo que o normal (considerando volatilidade recente). O 'Squeeze' (Bollinger Bands dentro de Keltner Channels) e um padrao classico que indica compressao de volatilidade, frequentemente seguida de expansao violenta.</w:t>
      </w:r>
    </w:p>
    <w:p>
      <w:pPr>
        <w:spacing w:after="120" w:line="312"/>
        <w:jc w:val="both"/>
      </w:pPr>
      <w:r>
        <w:rPr>
          <w:rFonts w:ascii="Times New Roman"/>
          <w:b/>
          <w:bCs/>
          <w:color w:val="1C1C1C"/>
          <w:sz w:val="22"/>
          <w:szCs w:val="22"/>
        </w:rPr>
        <w:t xml:space="preserve">Volatilidade Historica (Historical Volatility): </w:t>
      </w:r>
      <w:r>
        <w:rPr>
          <w:rFonts w:ascii="Times New Roman"/>
          <w:color w:val="1C1C1C"/>
          <w:sz w:val="22"/>
          <w:szCs w:val="22"/>
        </w:rPr>
        <w:t xml:space="preserve">Calculada como o desvio padrao dos retornos logaritmicos em uma janela de N periodos, frequentemente anualizada multiplicando por sqrt(252) para comparacao com volatilidade implicita de opcoes. HV = std(log_returns) * sqrt(252). E a medida mais padrao de volatilidade em finanzas quantitativas. Sua utilidade inclui: comparar volatilidade atual com historico (se atual &gt; media + 1 desvio, mercado esta 'estressado'), dimensionar posicoes inversamente proporcionalmente a volatilidade, e identificar periodos de compressao/expansao.</w:t>
      </w:r>
    </w:p>
    <w:p>
      <w:pPr>
        <w:spacing w:after="120" w:line="312"/>
        <w:jc w:val="both"/>
      </w:pPr>
      <w:r>
        <w:rPr>
          <w:rFonts w:ascii="Times New Roman"/>
          <w:b/>
          <w:bCs/>
          <w:color w:val="1C1C1C"/>
          <w:sz w:val="22"/>
          <w:szCs w:val="22"/>
        </w:rPr>
        <w:t xml:space="preserve">Desvio Padrao (Standard Deviation): </w:t>
      </w:r>
      <w:r>
        <w:rPr>
          <w:rFonts w:ascii="Times New Roman"/>
          <w:color w:val="1C1C1C"/>
          <w:sz w:val="22"/>
          <w:szCs w:val="22"/>
        </w:rPr>
        <w:t xml:space="preserve">Mede a dispersao dos precos em relacao a media. std = sqrt(E[(X - mu)^2]). O desvio padrao e o componente central de Bollinger Bands e diversas medidas de risco. Quanto maior o desvio padrao, mais dispersos estao os precos em relacao a media, indicando maior incerteza e risco. O desvio padrao rolling (calculado em janela movil) permite visualizar como a dispersao varia ao longo do tempo.</w:t>
      </w:r>
    </w:p>
    <w:p>
      <w:pPr>
        <w:pStyle w:val="Heading3"/>
        <w:spacing w:after="120" w:before="240" w:line="312"/>
      </w:pPr>
      <w:bookmarkStart w:id="100006" w:name="_Toc100006"/>
      <w:r>
        <w:rPr>
          <w:rFonts w:ascii="Times New Roman"/>
          <w:b/>
          <w:bCs/>
          <w:color w:val="333333"/>
          <w:sz w:val="24"/>
          <w:szCs w:val="24"/>
        </w:rPr>
        <w:t xml:space="preserve">2.4 Volume no Forex</w:t>
      </w:r>
      <w:bookmarkEnd w:id="100006"/>
    </w:p>
    <w:p>
      <w:pPr>
        <w:spacing w:after="120" w:line="312"/>
        <w:jc w:val="both"/>
      </w:pPr>
      <w:r>
        <w:rPr>
          <w:rFonts w:ascii="Times New Roman"/>
          <w:b/>
          <w:bCs/>
          <w:color w:val="1C1C1C"/>
          <w:sz w:val="22"/>
          <w:szCs w:val="22"/>
        </w:rPr>
        <w:t xml:space="preserve">Limitacoes do Volume no Forex Spot: </w:t>
      </w:r>
      <w:r>
        <w:rPr>
          <w:rFonts w:ascii="Times New Roman"/>
          <w:color w:val="1C1C1C"/>
          <w:sz w:val="22"/>
          <w:szCs w:val="22"/>
        </w:rPr>
        <w:t xml:space="preserve">O mercado Forex descentralizado nao possui um volume centralizado como ocorre em bolsas de acoes. O 'volume' disponivel em plataformas como MetaTrader 5 refere-se ao tick volume (numero de variacoes de preco registradas pelo broker) e nao ao volume transacionado real. Tick volume tem correlacao moderada com volume real em periodos de alta atividade, mas a correlacao se deteriora em periodos de baixa liquidez.</w:t>
      </w:r>
    </w:p>
    <w:p>
      <w:pPr>
        <w:spacing w:after="120" w:line="312"/>
        <w:jc w:val="both"/>
      </w:pPr>
      <w:r>
        <w:rPr>
          <w:rFonts w:ascii="Times New Roman"/>
          <w:b/>
          <w:bCs/>
          <w:color w:val="1C1C1C"/>
          <w:sz w:val="22"/>
          <w:szCs w:val="22"/>
        </w:rPr>
        <w:t xml:space="preserve">Tick Volume: </w:t>
      </w:r>
      <w:r>
        <w:rPr>
          <w:rFonts w:ascii="Times New Roman"/>
          <w:color w:val="1C1C1C"/>
          <w:sz w:val="22"/>
          <w:szCs w:val="22"/>
        </w:rPr>
        <w:t xml:space="preserve">Contagem de mudancas de preco (ticks) recebidas pelo servidor do broker. Em periodos de alta atividade (sessao London/New York), o tick volume tende a ser mais confiavel como proxy de atividade. Em periodos de baixa liquidez (sessao asiatica, feriados), a relacao entre ticks e volume real se torna menos confiavel. O tick volume pode ser utilizado como filtro qualitativo, mas nao deve ser a base primaria de uma estrategia quantitativa.</w:t>
      </w:r>
    </w:p>
    <w:p>
      <w:pPr>
        <w:spacing w:after="120" w:line="312"/>
        <w:jc w:val="both"/>
      </w:pPr>
      <w:r>
        <w:rPr>
          <w:rFonts w:ascii="Times New Roman"/>
          <w:b/>
          <w:bCs/>
          <w:color w:val="1C1C1C"/>
          <w:sz w:val="22"/>
          <w:szCs w:val="22"/>
        </w:rPr>
        <w:t xml:space="preserve">Volume do Broker: </w:t>
      </w:r>
      <w:r>
        <w:rPr>
          <w:rFonts w:ascii="Times New Roman"/>
          <w:color w:val="1C1C1C"/>
          <w:sz w:val="22"/>
          <w:szCs w:val="22"/>
        </w:rPr>
        <w:t xml:space="preserve">Alguns brokers fornecem dados de volume transacionado por seus clientes, mas este e apenas um subconjunto do mercado total. Podem mostrar desproporcionalidades por regiao ou tipo de cliente. Utilizacao deve ser cautelosa e nunca como unico criterio de decisao.</w:t>
      </w:r>
    </w:p>
    <w:p>
      <w:pPr>
        <w:pStyle w:val="Heading3"/>
        <w:spacing w:after="120" w:before="240" w:line="312"/>
      </w:pPr>
      <w:bookmarkStart w:id="100007" w:name="_Toc100007"/>
      <w:r>
        <w:rPr>
          <w:rFonts w:ascii="Times New Roman"/>
          <w:b/>
          <w:bCs/>
          <w:color w:val="333333"/>
          <w:sz w:val="24"/>
          <w:szCs w:val="24"/>
        </w:rPr>
        <w:t xml:space="preserve">2.5 Tabela de Correlacao entre Indicadores</w:t>
      </w:r>
      <w:bookmarkEnd w:id="100007"/>
    </w:p>
    <w:p>
      <w:pPr>
        <w:keepNext/>
        <w:spacing w:after="80"/>
      </w:pPr>
      <w:r>
        <w:rPr>
          <w:rFonts w:ascii="Times New Roman"/>
          <w:b/>
          <w:bCs/>
          <w:i/>
          <w:iCs/>
          <w:color w:val="555555"/>
          <w:sz w:val="20"/>
          <w:szCs w:val="20"/>
        </w:rPr>
        <w:t xml:space="preserve">Tabela 1: Correlacao e redundancia entre indicadores tecnicos</w:t>
      </w:r>
    </w:p>
    <w:tbl>
      <w:tblPr>
        <w:tblW w:type="pct" w:w="100%"/>
        <w:tblBorders>
          <w:top w:val="single" w:color="C9A84C" w:sz="2"/>
          <w:left w:val="none"/>
          <w:bottom w:val="single" w:color="C9A84C" w:sz="2"/>
          <w:right w:val="none"/>
          <w:insideH w:val="single" w:color="DDD5C0" w:sz="1"/>
          <w:insideV w:val="none"/>
        </w:tblBorders>
      </w:tblPr>
      <w:tblGrid>
        <w:gridCol w:w="100"/>
        <w:gridCol w:w="100"/>
        <w:gridCol w:w="100"/>
        <w:gridCol w:w="100"/>
        <w:gridCol w:w="100"/>
      </w:tblGrid>
      <w:tr>
        <w:trPr>
          <w:cantSplit/>
          <w:tblHeader/>
        </w:trPr>
        <w:tc>
          <w:tcPr>
            <w:tcW w:type="pct" w:w="20%"/>
            <w:shd w:fill="C9A84C" w:val="clear"/>
            <w:tcMar>
              <w:top w:type="dxa" w:w="50"/>
              <w:left w:type="dxa" w:w="100"/>
              <w:bottom w:type="dxa" w:w="50"/>
              <w:right w:type="dxa" w:w="100"/>
            </w:tcMar>
          </w:tcPr>
          <w:p>
            <w:pPr>
              <w:jc w:val="center"/>
            </w:pPr>
            <w:r>
              <w:rPr>
                <w:rFonts w:ascii="Calibri"/>
                <w:b/>
                <w:bCs/>
                <w:color w:val="1A1A1A"/>
                <w:sz w:val="20"/>
                <w:szCs w:val="20"/>
              </w:rPr>
              <w:t xml:space="preserve">Indicador</w:t>
            </w:r>
          </w:p>
        </w:tc>
        <w:tc>
          <w:tcPr>
            <w:tcW w:type="pct" w:w="20%"/>
            <w:shd w:fill="C9A84C" w:val="clear"/>
            <w:tcMar>
              <w:top w:type="dxa" w:w="50"/>
              <w:left w:type="dxa" w:w="100"/>
              <w:bottom w:type="dxa" w:w="50"/>
              <w:right w:type="dxa" w:w="100"/>
            </w:tcMar>
          </w:tcPr>
          <w:p>
            <w:pPr>
              <w:jc w:val="center"/>
            </w:pPr>
            <w:r>
              <w:rPr>
                <w:rFonts w:ascii="Calibri"/>
                <w:b/>
                <w:bCs/>
                <w:color w:val="1A1A1A"/>
                <w:sz w:val="20"/>
                <w:szCs w:val="20"/>
              </w:rPr>
              <w:t xml:space="preserve">Tipo</w:t>
            </w:r>
          </w:p>
        </w:tc>
        <w:tc>
          <w:tcPr>
            <w:tcW w:type="pct" w:w="20%"/>
            <w:shd w:fill="C9A84C" w:val="clear"/>
            <w:tcMar>
              <w:top w:type="dxa" w:w="50"/>
              <w:left w:type="dxa" w:w="100"/>
              <w:bottom w:type="dxa" w:w="50"/>
              <w:right w:type="dxa" w:w="100"/>
            </w:tcMar>
          </w:tcPr>
          <w:p>
            <w:pPr>
              <w:jc w:val="center"/>
            </w:pPr>
            <w:r>
              <w:rPr>
                <w:rFonts w:ascii="Calibri"/>
                <w:b/>
                <w:bCs/>
                <w:color w:val="1A1A1A"/>
                <w:sz w:val="20"/>
                <w:szCs w:val="20"/>
              </w:rPr>
              <w:t xml:space="preserve">Correlacao</w:t>
            </w:r>
          </w:p>
        </w:tc>
        <w:tc>
          <w:tcPr>
            <w:tcW w:type="pct" w:w="20%"/>
            <w:shd w:fill="C9A84C" w:val="clear"/>
            <w:tcMar>
              <w:top w:type="dxa" w:w="50"/>
              <w:left w:type="dxa" w:w="100"/>
              <w:bottom w:type="dxa" w:w="50"/>
              <w:right w:type="dxa" w:w="100"/>
            </w:tcMar>
          </w:tcPr>
          <w:p>
            <w:pPr>
              <w:jc w:val="center"/>
            </w:pPr>
            <w:r>
              <w:rPr>
                <w:rFonts w:ascii="Calibri"/>
                <w:b/>
                <w:bCs/>
                <w:color w:val="1A1A1A"/>
                <w:sz w:val="20"/>
                <w:szCs w:val="20"/>
              </w:rPr>
              <w:t xml:space="preserve">Redundancia</w:t>
            </w:r>
          </w:p>
        </w:tc>
        <w:tc>
          <w:tcPr>
            <w:tcW w:type="pct" w:w="20%"/>
            <w:shd w:fill="C9A84C" w:val="clear"/>
            <w:tcMar>
              <w:top w:type="dxa" w:w="50"/>
              <w:left w:type="dxa" w:w="100"/>
              <w:bottom w:type="dxa" w:w="50"/>
              <w:right w:type="dxa" w:w="100"/>
            </w:tcMar>
          </w:tcPr>
          <w:p>
            <w:pPr>
              <w:jc w:val="center"/>
            </w:pPr>
            <w:r>
              <w:rPr>
                <w:rFonts w:ascii="Calibri"/>
                <w:b/>
                <w:bCs/>
                <w:color w:val="1A1A1A"/>
                <w:sz w:val="20"/>
                <w:szCs w:val="20"/>
              </w:rPr>
              <w:t xml:space="preserve">Informacao Unica</w:t>
            </w:r>
          </w:p>
        </w:tc>
      </w:tr>
      <w:tr>
        <w:trPr>
          <w:cantSplit/>
        </w:trPr>
        <w:tc>
          <w:tcPr>
            <w:tcW w:type="pct" w:w="20%"/>
            <w:shd w:fill="F5F2E8" w:val="clear"/>
            <w:tcMar>
              <w:top w:type="dxa" w:w="40"/>
              <w:left w:type="dxa" w:w="100"/>
              <w:bottom w:type="dxa" w:w="40"/>
              <w:right w:type="dxa" w:w="100"/>
            </w:tcMar>
          </w:tcPr>
          <w:p>
            <w:pPr>
              <w:spacing w:after="40"/>
            </w:pPr>
            <w:r>
              <w:rPr>
                <w:rFonts w:ascii="Calibri"/>
                <w:color w:val="1C1C1C"/>
                <w:sz w:val="20"/>
                <w:szCs w:val="20"/>
              </w:rPr>
              <w:t xml:space="preserve">SMA</w:t>
            </w:r>
          </w:p>
        </w:tc>
        <w:tc>
          <w:tcPr>
            <w:tcW w:type="pct" w:w="20%"/>
            <w:shd w:fill="F5F2E8" w:val="clear"/>
            <w:tcMar>
              <w:top w:type="dxa" w:w="40"/>
              <w:left w:type="dxa" w:w="100"/>
              <w:bottom w:type="dxa" w:w="40"/>
              <w:right w:type="dxa" w:w="100"/>
            </w:tcMar>
          </w:tcPr>
          <w:p>
            <w:pPr>
              <w:spacing w:after="40"/>
            </w:pPr>
            <w:r>
              <w:rPr>
                <w:rFonts w:ascii="Calibri"/>
                <w:color w:val="1C1C1C"/>
                <w:sz w:val="20"/>
                <w:szCs w:val="20"/>
              </w:rPr>
              <w:t xml:space="preserve">Tendencia</w:t>
            </w:r>
          </w:p>
        </w:tc>
        <w:tc>
          <w:tcPr>
            <w:tcW w:type="pct" w:w="20%"/>
            <w:shd w:fill="F5F2E8" w:val="clear"/>
            <w:tcMar>
              <w:top w:type="dxa" w:w="40"/>
              <w:left w:type="dxa" w:w="100"/>
              <w:bottom w:type="dxa" w:w="40"/>
              <w:right w:type="dxa" w:w="100"/>
            </w:tcMar>
          </w:tcPr>
          <w:p>
            <w:pPr>
              <w:spacing w:after="40"/>
            </w:pPr>
            <w:r>
              <w:rPr>
                <w:rFonts w:ascii="Calibri"/>
                <w:color w:val="1C1C1C"/>
                <w:sz w:val="20"/>
                <w:szCs w:val="20"/>
              </w:rPr>
              <w:t xml:space="preserve">-</w:t>
            </w:r>
          </w:p>
        </w:tc>
        <w:tc>
          <w:tcPr>
            <w:tcW w:type="pct" w:w="20%"/>
            <w:shd w:fill="F5F2E8" w:val="clear"/>
            <w:tcMar>
              <w:top w:type="dxa" w:w="40"/>
              <w:left w:type="dxa" w:w="100"/>
              <w:bottom w:type="dxa" w:w="40"/>
              <w:right w:type="dxa" w:w="100"/>
            </w:tcMar>
          </w:tcPr>
          <w:p>
            <w:pPr>
              <w:spacing w:after="40"/>
            </w:pPr>
            <w:r>
              <w:rPr>
                <w:rFonts w:ascii="Calibri"/>
                <w:color w:val="1C1C1C"/>
                <w:sz w:val="20"/>
                <w:szCs w:val="20"/>
              </w:rPr>
              <w:t xml:space="preserve">-</w:t>
            </w:r>
          </w:p>
        </w:tc>
        <w:tc>
          <w:tcPr>
            <w:tcW w:type="pct" w:w="20%"/>
            <w:shd w:fill="F5F2E8" w:val="clear"/>
            <w:tcMar>
              <w:top w:type="dxa" w:w="40"/>
              <w:left w:type="dxa" w:w="100"/>
              <w:bottom w:type="dxa" w:w="40"/>
              <w:right w:type="dxa" w:w="100"/>
            </w:tcMar>
          </w:tcPr>
          <w:p>
            <w:pPr>
              <w:spacing w:after="40"/>
            </w:pPr>
            <w:r>
              <w:rPr>
                <w:rFonts w:ascii="Calibri"/>
                <w:color w:val="1C1C1C"/>
                <w:sz w:val="20"/>
                <w:szCs w:val="20"/>
              </w:rPr>
              <w:t xml:space="preserve">Direcao suavizada</w:t>
            </w:r>
          </w:p>
        </w:tc>
      </w:tr>
      <w:tr>
        <w:trPr>
          <w:cantSplit/>
        </w:trPr>
        <w:tc>
          <w:tcPr>
            <w:tcW w:type="pct" w:w="20%"/>
            <w:shd w:fill="FFFFFF" w:val="clear"/>
            <w:tcMar>
              <w:top w:type="dxa" w:w="40"/>
              <w:left w:type="dxa" w:w="100"/>
              <w:bottom w:type="dxa" w:w="40"/>
              <w:right w:type="dxa" w:w="100"/>
            </w:tcMar>
          </w:tcPr>
          <w:p>
            <w:pPr>
              <w:spacing w:after="40"/>
            </w:pPr>
            <w:r>
              <w:rPr>
                <w:rFonts w:ascii="Calibri"/>
                <w:color w:val="1C1C1C"/>
                <w:sz w:val="20"/>
                <w:szCs w:val="20"/>
              </w:rPr>
              <w:t xml:space="preserve">EMA</w:t>
            </w:r>
          </w:p>
        </w:tc>
        <w:tc>
          <w:tcPr>
            <w:tcW w:type="pct" w:w="20%"/>
            <w:shd w:fill="FFFFFF" w:val="clear"/>
            <w:tcMar>
              <w:top w:type="dxa" w:w="40"/>
              <w:left w:type="dxa" w:w="100"/>
              <w:bottom w:type="dxa" w:w="40"/>
              <w:right w:type="dxa" w:w="100"/>
            </w:tcMar>
          </w:tcPr>
          <w:p>
            <w:pPr>
              <w:spacing w:after="40"/>
            </w:pPr>
            <w:r>
              <w:rPr>
                <w:rFonts w:ascii="Calibri"/>
                <w:color w:val="1C1C1C"/>
                <w:sz w:val="20"/>
                <w:szCs w:val="20"/>
              </w:rPr>
              <w:t xml:space="preserve">Tendencia</w:t>
            </w:r>
          </w:p>
        </w:tc>
        <w:tc>
          <w:tcPr>
            <w:tcW w:type="pct" w:w="20%"/>
            <w:shd w:fill="FFFFFF" w:val="clear"/>
            <w:tcMar>
              <w:top w:type="dxa" w:w="40"/>
              <w:left w:type="dxa" w:w="100"/>
              <w:bottom w:type="dxa" w:w="40"/>
              <w:right w:type="dxa" w:w="100"/>
            </w:tcMar>
          </w:tcPr>
          <w:p>
            <w:pPr>
              <w:spacing w:after="40"/>
            </w:pPr>
            <w:r>
              <w:rPr>
                <w:rFonts w:ascii="Calibri"/>
                <w:color w:val="1C1C1C"/>
                <w:sz w:val="20"/>
                <w:szCs w:val="20"/>
              </w:rPr>
              <w:t xml:space="preserve">Alta c/ SMA</w:t>
            </w:r>
          </w:p>
        </w:tc>
        <w:tc>
          <w:tcPr>
            <w:tcW w:type="pct" w:w="20%"/>
            <w:shd w:fill="FFFFFF" w:val="clear"/>
            <w:tcMar>
              <w:top w:type="dxa" w:w="40"/>
              <w:left w:type="dxa" w:w="100"/>
              <w:bottom w:type="dxa" w:w="40"/>
              <w:right w:type="dxa" w:w="100"/>
            </w:tcMar>
          </w:tcPr>
          <w:p>
            <w:pPr>
              <w:spacing w:after="40"/>
            </w:pPr>
            <w:r>
              <w:rPr>
                <w:rFonts w:ascii="Calibri"/>
                <w:color w:val="1C1C1C"/>
                <w:sz w:val="20"/>
                <w:szCs w:val="20"/>
              </w:rPr>
              <w:t xml:space="preserve">Moderada</w:t>
            </w:r>
          </w:p>
        </w:tc>
        <w:tc>
          <w:tcPr>
            <w:tcW w:type="pct" w:w="20%"/>
            <w:shd w:fill="FFFFFF" w:val="clear"/>
            <w:tcMar>
              <w:top w:type="dxa" w:w="40"/>
              <w:left w:type="dxa" w:w="100"/>
              <w:bottom w:type="dxa" w:w="40"/>
              <w:right w:type="dxa" w:w="100"/>
            </w:tcMar>
          </w:tcPr>
          <w:p>
            <w:pPr>
              <w:spacing w:after="40"/>
            </w:pPr>
            <w:r>
              <w:rPr>
                <w:rFonts w:ascii="Calibri"/>
                <w:color w:val="1C1C1C"/>
                <w:sz w:val="20"/>
                <w:szCs w:val="20"/>
              </w:rPr>
              <w:t xml:space="preserve">Reatividade a precos recentes</w:t>
            </w:r>
          </w:p>
        </w:tc>
      </w:tr>
      <w:tr>
        <w:trPr>
          <w:cantSplit/>
        </w:trPr>
        <w:tc>
          <w:tcPr>
            <w:tcW w:type="pct" w:w="20%"/>
            <w:shd w:fill="F5F2E8" w:val="clear"/>
            <w:tcMar>
              <w:top w:type="dxa" w:w="40"/>
              <w:left w:type="dxa" w:w="100"/>
              <w:bottom w:type="dxa" w:w="40"/>
              <w:right w:type="dxa" w:w="100"/>
            </w:tcMar>
          </w:tcPr>
          <w:p>
            <w:pPr>
              <w:spacing w:after="40"/>
            </w:pPr>
            <w:r>
              <w:rPr>
                <w:rFonts w:ascii="Calibri"/>
                <w:color w:val="1C1C1C"/>
                <w:sz w:val="20"/>
                <w:szCs w:val="20"/>
              </w:rPr>
              <w:t xml:space="preserve">MACD</w:t>
            </w:r>
          </w:p>
        </w:tc>
        <w:tc>
          <w:tcPr>
            <w:tcW w:type="pct" w:w="20%"/>
            <w:shd w:fill="F5F2E8" w:val="clear"/>
            <w:tcMar>
              <w:top w:type="dxa" w:w="40"/>
              <w:left w:type="dxa" w:w="100"/>
              <w:bottom w:type="dxa" w:w="40"/>
              <w:right w:type="dxa" w:w="100"/>
            </w:tcMar>
          </w:tcPr>
          <w:p>
            <w:pPr>
              <w:spacing w:after="40"/>
            </w:pPr>
            <w:r>
              <w:rPr>
                <w:rFonts w:ascii="Calibri"/>
                <w:color w:val="1C1C1C"/>
                <w:sz w:val="20"/>
                <w:szCs w:val="20"/>
              </w:rPr>
              <w:t xml:space="preserve">Tendencia/Momentum</w:t>
            </w:r>
          </w:p>
        </w:tc>
        <w:tc>
          <w:tcPr>
            <w:tcW w:type="pct" w:w="20%"/>
            <w:shd w:fill="F5F2E8" w:val="clear"/>
            <w:tcMar>
              <w:top w:type="dxa" w:w="40"/>
              <w:left w:type="dxa" w:w="100"/>
              <w:bottom w:type="dxa" w:w="40"/>
              <w:right w:type="dxa" w:w="100"/>
            </w:tcMar>
          </w:tcPr>
          <w:p>
            <w:pPr>
              <w:spacing w:after="40"/>
            </w:pPr>
            <w:r>
              <w:rPr>
                <w:rFonts w:ascii="Calibri"/>
                <w:color w:val="1C1C1C"/>
                <w:sz w:val="20"/>
                <w:szCs w:val="20"/>
              </w:rPr>
              <w:t xml:space="preserve">Alta c/ EMA</w:t>
            </w:r>
          </w:p>
        </w:tc>
        <w:tc>
          <w:tcPr>
            <w:tcW w:type="pct" w:w="20%"/>
            <w:shd w:fill="F5F2E8" w:val="clear"/>
            <w:tcMar>
              <w:top w:type="dxa" w:w="40"/>
              <w:left w:type="dxa" w:w="100"/>
              <w:bottom w:type="dxa" w:w="40"/>
              <w:right w:type="dxa" w:w="100"/>
            </w:tcMar>
          </w:tcPr>
          <w:p>
            <w:pPr>
              <w:spacing w:after="40"/>
            </w:pPr>
            <w:r>
              <w:rPr>
                <w:rFonts w:ascii="Calibri"/>
                <w:color w:val="1C1C1C"/>
                <w:sz w:val="20"/>
                <w:szCs w:val="20"/>
              </w:rPr>
              <w:t xml:space="preserve">Moderada</w:t>
            </w:r>
          </w:p>
        </w:tc>
        <w:tc>
          <w:tcPr>
            <w:tcW w:type="pct" w:w="20%"/>
            <w:shd w:fill="F5F2E8" w:val="clear"/>
            <w:tcMar>
              <w:top w:type="dxa" w:w="40"/>
              <w:left w:type="dxa" w:w="100"/>
              <w:bottom w:type="dxa" w:w="40"/>
              <w:right w:type="dxa" w:w="100"/>
            </w:tcMar>
          </w:tcPr>
          <w:p>
            <w:pPr>
              <w:spacing w:after="40"/>
            </w:pPr>
            <w:r>
              <w:rPr>
                <w:rFonts w:ascii="Calibri"/>
                <w:color w:val="1C1C1C"/>
                <w:sz w:val="20"/>
                <w:szCs w:val="20"/>
              </w:rPr>
              <w:t xml:space="preserve">Convergencia/divergencia</w:t>
            </w:r>
          </w:p>
        </w:tc>
      </w:tr>
      <w:tr>
        <w:trPr>
          <w:cantSplit/>
        </w:trPr>
        <w:tc>
          <w:tcPr>
            <w:tcW w:type="pct" w:w="20%"/>
            <w:shd w:fill="FFFFFF" w:val="clear"/>
            <w:tcMar>
              <w:top w:type="dxa" w:w="40"/>
              <w:left w:type="dxa" w:w="100"/>
              <w:bottom w:type="dxa" w:w="40"/>
              <w:right w:type="dxa" w:w="100"/>
            </w:tcMar>
          </w:tcPr>
          <w:p>
            <w:pPr>
              <w:spacing w:after="40"/>
            </w:pPr>
            <w:r>
              <w:rPr>
                <w:rFonts w:ascii="Calibri"/>
                <w:color w:val="1C1C1C"/>
                <w:sz w:val="20"/>
                <w:szCs w:val="20"/>
              </w:rPr>
              <w:t xml:space="preserve">ADX</w:t>
            </w:r>
          </w:p>
        </w:tc>
        <w:tc>
          <w:tcPr>
            <w:tcW w:type="pct" w:w="20%"/>
            <w:shd w:fill="FFFFFF" w:val="clear"/>
            <w:tcMar>
              <w:top w:type="dxa" w:w="40"/>
              <w:left w:type="dxa" w:w="100"/>
              <w:bottom w:type="dxa" w:w="40"/>
              <w:right w:type="dxa" w:w="100"/>
            </w:tcMar>
          </w:tcPr>
          <w:p>
            <w:pPr>
              <w:spacing w:after="40"/>
            </w:pPr>
            <w:r>
              <w:rPr>
                <w:rFonts w:ascii="Calibri"/>
                <w:color w:val="1C1C1C"/>
                <w:sz w:val="20"/>
                <w:szCs w:val="20"/>
              </w:rPr>
              <w:t xml:space="preserve">Forca de tendencia</w:t>
            </w:r>
          </w:p>
        </w:tc>
        <w:tc>
          <w:tcPr>
            <w:tcW w:type="pct" w:w="20%"/>
            <w:shd w:fill="FFFFFF" w:val="clear"/>
            <w:tcMar>
              <w:top w:type="dxa" w:w="40"/>
              <w:left w:type="dxa" w:w="100"/>
              <w:bottom w:type="dxa" w:w="40"/>
              <w:right w:type="dxa" w:w="100"/>
            </w:tcMar>
          </w:tcPr>
          <w:p>
            <w:pPr>
              <w:spacing w:after="40"/>
            </w:pPr>
            <w:r>
              <w:rPr>
                <w:rFonts w:ascii="Calibri"/>
                <w:color w:val="1C1C1C"/>
                <w:sz w:val="20"/>
                <w:szCs w:val="20"/>
              </w:rPr>
              <w:t xml:space="preserve">Baixa</w:t>
            </w:r>
          </w:p>
        </w:tc>
        <w:tc>
          <w:tcPr>
            <w:tcW w:type="pct" w:w="20%"/>
            <w:shd w:fill="FFFFFF" w:val="clear"/>
            <w:tcMar>
              <w:top w:type="dxa" w:w="40"/>
              <w:left w:type="dxa" w:w="100"/>
              <w:bottom w:type="dxa" w:w="40"/>
              <w:right w:type="dxa" w:w="100"/>
            </w:tcMar>
          </w:tcPr>
          <w:p>
            <w:pPr>
              <w:spacing w:after="40"/>
            </w:pPr>
            <w:r>
              <w:rPr>
                <w:rFonts w:ascii="Calibri"/>
                <w:color w:val="1C1C1C"/>
                <w:sz w:val="20"/>
                <w:szCs w:val="20"/>
              </w:rPr>
              <w:t xml:space="preserve">Baixa</w:t>
            </w:r>
          </w:p>
        </w:tc>
        <w:tc>
          <w:tcPr>
            <w:tcW w:type="pct" w:w="20%"/>
            <w:shd w:fill="FFFFFF" w:val="clear"/>
            <w:tcMar>
              <w:top w:type="dxa" w:w="40"/>
              <w:left w:type="dxa" w:w="100"/>
              <w:bottom w:type="dxa" w:w="40"/>
              <w:right w:type="dxa" w:w="100"/>
            </w:tcMar>
          </w:tcPr>
          <w:p>
            <w:pPr>
              <w:spacing w:after="40"/>
            </w:pPr>
            <w:r>
              <w:rPr>
                <w:rFonts w:ascii="Calibri"/>
                <w:color w:val="1C1C1C"/>
                <w:sz w:val="20"/>
                <w:szCs w:val="20"/>
              </w:rPr>
              <w:t xml:space="preserve">Intensidade sem direcao</w:t>
            </w:r>
          </w:p>
        </w:tc>
      </w:tr>
      <w:tr>
        <w:trPr>
          <w:cantSplit/>
        </w:trPr>
        <w:tc>
          <w:tcPr>
            <w:tcW w:type="pct" w:w="20%"/>
            <w:shd w:fill="F5F2E8" w:val="clear"/>
            <w:tcMar>
              <w:top w:type="dxa" w:w="40"/>
              <w:left w:type="dxa" w:w="100"/>
              <w:bottom w:type="dxa" w:w="40"/>
              <w:right w:type="dxa" w:w="100"/>
            </w:tcMar>
          </w:tcPr>
          <w:p>
            <w:pPr>
              <w:spacing w:after="40"/>
            </w:pPr>
            <w:r>
              <w:rPr>
                <w:rFonts w:ascii="Calibri"/>
                <w:color w:val="1C1C1C"/>
                <w:sz w:val="20"/>
                <w:szCs w:val="20"/>
              </w:rPr>
              <w:t xml:space="preserve">RSI</w:t>
            </w:r>
          </w:p>
        </w:tc>
        <w:tc>
          <w:tcPr>
            <w:tcW w:type="pct" w:w="20%"/>
            <w:shd w:fill="F5F2E8" w:val="clear"/>
            <w:tcMar>
              <w:top w:type="dxa" w:w="40"/>
              <w:left w:type="dxa" w:w="100"/>
              <w:bottom w:type="dxa" w:w="40"/>
              <w:right w:type="dxa" w:w="100"/>
            </w:tcMar>
          </w:tcPr>
          <w:p>
            <w:pPr>
              <w:spacing w:after="40"/>
            </w:pPr>
            <w:r>
              <w:rPr>
                <w:rFonts w:ascii="Calibri"/>
                <w:color w:val="1C1C1C"/>
                <w:sz w:val="20"/>
                <w:szCs w:val="20"/>
              </w:rPr>
              <w:t xml:space="preserve">Momentum</w:t>
            </w:r>
          </w:p>
        </w:tc>
        <w:tc>
          <w:tcPr>
            <w:tcW w:type="pct" w:w="20%"/>
            <w:shd w:fill="F5F2E8" w:val="clear"/>
            <w:tcMar>
              <w:top w:type="dxa" w:w="40"/>
              <w:left w:type="dxa" w:w="100"/>
              <w:bottom w:type="dxa" w:w="40"/>
              <w:right w:type="dxa" w:w="100"/>
            </w:tcMar>
          </w:tcPr>
          <w:p>
            <w:pPr>
              <w:spacing w:after="40"/>
            </w:pPr>
            <w:r>
              <w:rPr>
                <w:rFonts w:ascii="Calibri"/>
                <w:color w:val="1C1C1C"/>
                <w:sz w:val="20"/>
                <w:szCs w:val="20"/>
              </w:rPr>
              <w:t xml:space="preserve">Alta c/ Stochastic</w:t>
            </w:r>
          </w:p>
        </w:tc>
        <w:tc>
          <w:tcPr>
            <w:tcW w:type="pct" w:w="20%"/>
            <w:shd w:fill="F5F2E8" w:val="clear"/>
            <w:tcMar>
              <w:top w:type="dxa" w:w="40"/>
              <w:left w:type="dxa" w:w="100"/>
              <w:bottom w:type="dxa" w:w="40"/>
              <w:right w:type="dxa" w:w="100"/>
            </w:tcMar>
          </w:tcPr>
          <w:p>
            <w:pPr>
              <w:spacing w:after="40"/>
            </w:pPr>
            <w:r>
              <w:rPr>
                <w:rFonts w:ascii="Calibri"/>
                <w:color w:val="1C1C1C"/>
                <w:sz w:val="20"/>
                <w:szCs w:val="20"/>
              </w:rPr>
              <w:t xml:space="preserve">Alta</w:t>
            </w:r>
          </w:p>
        </w:tc>
        <w:tc>
          <w:tcPr>
            <w:tcW w:type="pct" w:w="20%"/>
            <w:shd w:fill="F5F2E8" w:val="clear"/>
            <w:tcMar>
              <w:top w:type="dxa" w:w="40"/>
              <w:left w:type="dxa" w:w="100"/>
              <w:bottom w:type="dxa" w:w="40"/>
              <w:right w:type="dxa" w:w="100"/>
            </w:tcMar>
          </w:tcPr>
          <w:p>
            <w:pPr>
              <w:spacing w:after="40"/>
            </w:pPr>
            <w:r>
              <w:rPr>
                <w:rFonts w:ascii="Calibri"/>
                <w:color w:val="1C1C1C"/>
                <w:sz w:val="20"/>
                <w:szCs w:val="20"/>
              </w:rPr>
              <w:t xml:space="preserve">Extremos relativos</w:t>
            </w:r>
          </w:p>
        </w:tc>
      </w:tr>
      <w:tr>
        <w:trPr>
          <w:cantSplit/>
        </w:trPr>
        <w:tc>
          <w:tcPr>
            <w:tcW w:type="pct" w:w="20%"/>
            <w:shd w:fill="FFFFFF" w:val="clear"/>
            <w:tcMar>
              <w:top w:type="dxa" w:w="40"/>
              <w:left w:type="dxa" w:w="100"/>
              <w:bottom w:type="dxa" w:w="40"/>
              <w:right w:type="dxa" w:w="100"/>
            </w:tcMar>
          </w:tcPr>
          <w:p>
            <w:pPr>
              <w:spacing w:after="40"/>
            </w:pPr>
            <w:r>
              <w:rPr>
                <w:rFonts w:ascii="Calibri"/>
                <w:color w:val="1C1C1C"/>
                <w:sz w:val="20"/>
                <w:szCs w:val="20"/>
              </w:rPr>
              <w:t xml:space="preserve">Stochastic</w:t>
            </w:r>
          </w:p>
        </w:tc>
        <w:tc>
          <w:tcPr>
            <w:tcW w:type="pct" w:w="20%"/>
            <w:shd w:fill="FFFFFF" w:val="clear"/>
            <w:tcMar>
              <w:top w:type="dxa" w:w="40"/>
              <w:left w:type="dxa" w:w="100"/>
              <w:bottom w:type="dxa" w:w="40"/>
              <w:right w:type="dxa" w:w="100"/>
            </w:tcMar>
          </w:tcPr>
          <w:p>
            <w:pPr>
              <w:spacing w:after="40"/>
            </w:pPr>
            <w:r>
              <w:rPr>
                <w:rFonts w:ascii="Calibri"/>
                <w:color w:val="1C1C1C"/>
                <w:sz w:val="20"/>
                <w:szCs w:val="20"/>
              </w:rPr>
              <w:t xml:space="preserve">Momentum</w:t>
            </w:r>
          </w:p>
        </w:tc>
        <w:tc>
          <w:tcPr>
            <w:tcW w:type="pct" w:w="20%"/>
            <w:shd w:fill="FFFFFF" w:val="clear"/>
            <w:tcMar>
              <w:top w:type="dxa" w:w="40"/>
              <w:left w:type="dxa" w:w="100"/>
              <w:bottom w:type="dxa" w:w="40"/>
              <w:right w:type="dxa" w:w="100"/>
            </w:tcMar>
          </w:tcPr>
          <w:p>
            <w:pPr>
              <w:spacing w:after="40"/>
            </w:pPr>
            <w:r>
              <w:rPr>
                <w:rFonts w:ascii="Calibri"/>
                <w:color w:val="1C1C1C"/>
                <w:sz w:val="20"/>
                <w:szCs w:val="20"/>
              </w:rPr>
              <w:t xml:space="preserve">Alta c/ RSI</w:t>
            </w:r>
          </w:p>
        </w:tc>
        <w:tc>
          <w:tcPr>
            <w:tcW w:type="pct" w:w="20%"/>
            <w:shd w:fill="FFFFFF" w:val="clear"/>
            <w:tcMar>
              <w:top w:type="dxa" w:w="40"/>
              <w:left w:type="dxa" w:w="100"/>
              <w:bottom w:type="dxa" w:w="40"/>
              <w:right w:type="dxa" w:w="100"/>
            </w:tcMar>
          </w:tcPr>
          <w:p>
            <w:pPr>
              <w:spacing w:after="40"/>
            </w:pPr>
            <w:r>
              <w:rPr>
                <w:rFonts w:ascii="Calibri"/>
                <w:color w:val="1C1C1C"/>
                <w:sz w:val="20"/>
                <w:szCs w:val="20"/>
              </w:rPr>
              <w:t xml:space="preserve">Alta</w:t>
            </w:r>
          </w:p>
        </w:tc>
        <w:tc>
          <w:tcPr>
            <w:tcW w:type="pct" w:w="20%"/>
            <w:shd w:fill="FFFFFF" w:val="clear"/>
            <w:tcMar>
              <w:top w:type="dxa" w:w="40"/>
              <w:left w:type="dxa" w:w="100"/>
              <w:bottom w:type="dxa" w:w="40"/>
              <w:right w:type="dxa" w:w="100"/>
            </w:tcMar>
          </w:tcPr>
          <w:p>
            <w:pPr>
              <w:spacing w:after="40"/>
            </w:pPr>
            <w:r>
              <w:rPr>
                <w:rFonts w:ascii="Calibri"/>
                <w:color w:val="1C1C1C"/>
                <w:sz w:val="20"/>
                <w:szCs w:val="20"/>
              </w:rPr>
              <w:t xml:space="preserve">Posicao na faixa</w:t>
            </w:r>
          </w:p>
        </w:tc>
      </w:tr>
      <w:tr>
        <w:trPr>
          <w:cantSplit/>
        </w:trPr>
        <w:tc>
          <w:tcPr>
            <w:tcW w:type="pct" w:w="20%"/>
            <w:shd w:fill="F5F2E8" w:val="clear"/>
            <w:tcMar>
              <w:top w:type="dxa" w:w="40"/>
              <w:left w:type="dxa" w:w="100"/>
              <w:bottom w:type="dxa" w:w="40"/>
              <w:right w:type="dxa" w:w="100"/>
            </w:tcMar>
          </w:tcPr>
          <w:p>
            <w:pPr>
              <w:spacing w:after="40"/>
            </w:pPr>
            <w:r>
              <w:rPr>
                <w:rFonts w:ascii="Calibri"/>
                <w:color w:val="1C1C1C"/>
                <w:sz w:val="20"/>
                <w:szCs w:val="20"/>
              </w:rPr>
              <w:t xml:space="preserve">CCI</w:t>
            </w:r>
          </w:p>
        </w:tc>
        <w:tc>
          <w:tcPr>
            <w:tcW w:type="pct" w:w="20%"/>
            <w:shd w:fill="F5F2E8" w:val="clear"/>
            <w:tcMar>
              <w:top w:type="dxa" w:w="40"/>
              <w:left w:type="dxa" w:w="100"/>
              <w:bottom w:type="dxa" w:w="40"/>
              <w:right w:type="dxa" w:w="100"/>
            </w:tcMar>
          </w:tcPr>
          <w:p>
            <w:pPr>
              <w:spacing w:after="40"/>
            </w:pPr>
            <w:r>
              <w:rPr>
                <w:rFonts w:ascii="Calibri"/>
                <w:color w:val="1C1C1C"/>
                <w:sz w:val="20"/>
                <w:szCs w:val="20"/>
              </w:rPr>
              <w:t xml:space="preserve">Momentum</w:t>
            </w:r>
          </w:p>
        </w:tc>
        <w:tc>
          <w:tcPr>
            <w:tcW w:type="pct" w:w="20%"/>
            <w:shd w:fill="F5F2E8" w:val="clear"/>
            <w:tcMar>
              <w:top w:type="dxa" w:w="40"/>
              <w:left w:type="dxa" w:w="100"/>
              <w:bottom w:type="dxa" w:w="40"/>
              <w:right w:type="dxa" w:w="100"/>
            </w:tcMar>
          </w:tcPr>
          <w:p>
            <w:pPr>
              <w:spacing w:after="40"/>
            </w:pPr>
            <w:r>
              <w:rPr>
                <w:rFonts w:ascii="Calibri"/>
                <w:color w:val="1C1C1C"/>
                <w:sz w:val="20"/>
                <w:szCs w:val="20"/>
              </w:rPr>
              <w:t xml:space="preserve">Alta c/ RSI</w:t>
            </w:r>
          </w:p>
        </w:tc>
        <w:tc>
          <w:tcPr>
            <w:tcW w:type="pct" w:w="20%"/>
            <w:shd w:fill="F5F2E8" w:val="clear"/>
            <w:tcMar>
              <w:top w:type="dxa" w:w="40"/>
              <w:left w:type="dxa" w:w="100"/>
              <w:bottom w:type="dxa" w:w="40"/>
              <w:right w:type="dxa" w:w="100"/>
            </w:tcMar>
          </w:tcPr>
          <w:p>
            <w:pPr>
              <w:spacing w:after="40"/>
            </w:pPr>
            <w:r>
              <w:rPr>
                <w:rFonts w:ascii="Calibri"/>
                <w:color w:val="1C1C1C"/>
                <w:sz w:val="20"/>
                <w:szCs w:val="20"/>
              </w:rPr>
              <w:t xml:space="preserve">Moderada</w:t>
            </w:r>
          </w:p>
        </w:tc>
        <w:tc>
          <w:tcPr>
            <w:tcW w:type="pct" w:w="20%"/>
            <w:shd w:fill="F5F2E8" w:val="clear"/>
            <w:tcMar>
              <w:top w:type="dxa" w:w="40"/>
              <w:left w:type="dxa" w:w="100"/>
              <w:bottom w:type="dxa" w:w="40"/>
              <w:right w:type="dxa" w:w="100"/>
            </w:tcMar>
          </w:tcPr>
          <w:p>
            <w:pPr>
              <w:spacing w:after="40"/>
            </w:pPr>
            <w:r>
              <w:rPr>
                <w:rFonts w:ascii="Calibri"/>
                <w:color w:val="1C1C1C"/>
                <w:sz w:val="20"/>
                <w:szCs w:val="20"/>
              </w:rPr>
              <w:t xml:space="preserve">Z-score estatistico</w:t>
            </w:r>
          </w:p>
        </w:tc>
      </w:tr>
      <w:tr>
        <w:trPr>
          <w:cantSplit/>
        </w:trPr>
        <w:tc>
          <w:tcPr>
            <w:tcW w:type="pct" w:w="20%"/>
            <w:shd w:fill="FFFFFF" w:val="clear"/>
            <w:tcMar>
              <w:top w:type="dxa" w:w="40"/>
              <w:left w:type="dxa" w:w="100"/>
              <w:bottom w:type="dxa" w:w="40"/>
              <w:right w:type="dxa" w:w="100"/>
            </w:tcMar>
          </w:tcPr>
          <w:p>
            <w:pPr>
              <w:spacing w:after="40"/>
            </w:pPr>
            <w:r>
              <w:rPr>
                <w:rFonts w:ascii="Calibri"/>
                <w:color w:val="1C1C1C"/>
                <w:sz w:val="20"/>
                <w:szCs w:val="20"/>
              </w:rPr>
              <w:t xml:space="preserve">Williams %R</w:t>
            </w:r>
          </w:p>
        </w:tc>
        <w:tc>
          <w:tcPr>
            <w:tcW w:type="pct" w:w="20%"/>
            <w:shd w:fill="FFFFFF" w:val="clear"/>
            <w:tcMar>
              <w:top w:type="dxa" w:w="40"/>
              <w:left w:type="dxa" w:w="100"/>
              <w:bottom w:type="dxa" w:w="40"/>
              <w:right w:type="dxa" w:w="100"/>
            </w:tcMar>
          </w:tcPr>
          <w:p>
            <w:pPr>
              <w:spacing w:after="40"/>
            </w:pPr>
            <w:r>
              <w:rPr>
                <w:rFonts w:ascii="Calibri"/>
                <w:color w:val="1C1C1C"/>
                <w:sz w:val="20"/>
                <w:szCs w:val="20"/>
              </w:rPr>
              <w:t xml:space="preserve">Momentum</w:t>
            </w:r>
          </w:p>
        </w:tc>
        <w:tc>
          <w:tcPr>
            <w:tcW w:type="pct" w:w="20%"/>
            <w:shd w:fill="FFFFFF" w:val="clear"/>
            <w:tcMar>
              <w:top w:type="dxa" w:w="40"/>
              <w:left w:type="dxa" w:w="100"/>
              <w:bottom w:type="dxa" w:w="40"/>
              <w:right w:type="dxa" w:w="100"/>
            </w:tcMar>
          </w:tcPr>
          <w:p>
            <w:pPr>
              <w:spacing w:after="40"/>
            </w:pPr>
            <w:r>
              <w:rPr>
                <w:rFonts w:ascii="Calibri"/>
                <w:color w:val="1C1C1C"/>
                <w:sz w:val="20"/>
                <w:szCs w:val="20"/>
              </w:rPr>
              <w:t xml:space="preserve">Alta c/ Stochastic</w:t>
            </w:r>
          </w:p>
        </w:tc>
        <w:tc>
          <w:tcPr>
            <w:tcW w:type="pct" w:w="20%"/>
            <w:shd w:fill="FFFFFF" w:val="clear"/>
            <w:tcMar>
              <w:top w:type="dxa" w:w="40"/>
              <w:left w:type="dxa" w:w="100"/>
              <w:bottom w:type="dxa" w:w="40"/>
              <w:right w:type="dxa" w:w="100"/>
            </w:tcMar>
          </w:tcPr>
          <w:p>
            <w:pPr>
              <w:spacing w:after="40"/>
            </w:pPr>
            <w:r>
              <w:rPr>
                <w:rFonts w:ascii="Calibri"/>
                <w:color w:val="1C1C1C"/>
                <w:sz w:val="20"/>
                <w:szCs w:val="20"/>
              </w:rPr>
              <w:t xml:space="preserve">Muito alta</w:t>
            </w:r>
          </w:p>
        </w:tc>
        <w:tc>
          <w:tcPr>
            <w:tcW w:type="pct" w:w="20%"/>
            <w:shd w:fill="FFFFFF" w:val="clear"/>
            <w:tcMar>
              <w:top w:type="dxa" w:w="40"/>
              <w:left w:type="dxa" w:w="100"/>
              <w:bottom w:type="dxa" w:w="40"/>
              <w:right w:type="dxa" w:w="100"/>
            </w:tcMar>
          </w:tcPr>
          <w:p>
            <w:pPr>
              <w:spacing w:after="40"/>
            </w:pPr>
            <w:r>
              <w:rPr>
                <w:rFonts w:ascii="Calibri"/>
                <w:color w:val="1C1C1C"/>
                <w:sz w:val="20"/>
                <w:szCs w:val="20"/>
              </w:rPr>
              <w:t xml:space="preserve">Quase identico ao Stochastic</w:t>
            </w:r>
          </w:p>
        </w:tc>
      </w:tr>
      <w:tr>
        <w:trPr>
          <w:cantSplit/>
        </w:trPr>
        <w:tc>
          <w:tcPr>
            <w:tcW w:type="pct" w:w="20%"/>
            <w:shd w:fill="F5F2E8" w:val="clear"/>
            <w:tcMar>
              <w:top w:type="dxa" w:w="40"/>
              <w:left w:type="dxa" w:w="100"/>
              <w:bottom w:type="dxa" w:w="40"/>
              <w:right w:type="dxa" w:w="100"/>
            </w:tcMar>
          </w:tcPr>
          <w:p>
            <w:pPr>
              <w:spacing w:after="40"/>
            </w:pPr>
            <w:r>
              <w:rPr>
                <w:rFonts w:ascii="Calibri"/>
                <w:color w:val="1C1C1C"/>
                <w:sz w:val="20"/>
                <w:szCs w:val="20"/>
              </w:rPr>
              <w:t xml:space="preserve">ATR</w:t>
            </w:r>
          </w:p>
        </w:tc>
        <w:tc>
          <w:tcPr>
            <w:tcW w:type="pct" w:w="20%"/>
            <w:shd w:fill="F5F2E8" w:val="clear"/>
            <w:tcMar>
              <w:top w:type="dxa" w:w="40"/>
              <w:left w:type="dxa" w:w="100"/>
              <w:bottom w:type="dxa" w:w="40"/>
              <w:right w:type="dxa" w:w="100"/>
            </w:tcMar>
          </w:tcPr>
          <w:p>
            <w:pPr>
              <w:spacing w:after="40"/>
            </w:pPr>
            <w:r>
              <w:rPr>
                <w:rFonts w:ascii="Calibri"/>
                <w:color w:val="1C1C1C"/>
                <w:sz w:val="20"/>
                <w:szCs w:val="20"/>
              </w:rPr>
              <w:t xml:space="preserve">Volatilidade</w:t>
            </w:r>
          </w:p>
        </w:tc>
        <w:tc>
          <w:tcPr>
            <w:tcW w:type="pct" w:w="20%"/>
            <w:shd w:fill="F5F2E8" w:val="clear"/>
            <w:tcMar>
              <w:top w:type="dxa" w:w="40"/>
              <w:left w:type="dxa" w:w="100"/>
              <w:bottom w:type="dxa" w:w="40"/>
              <w:right w:type="dxa" w:w="100"/>
            </w:tcMar>
          </w:tcPr>
          <w:p>
            <w:pPr>
              <w:spacing w:after="40"/>
            </w:pPr>
            <w:r>
              <w:rPr>
                <w:rFonts w:ascii="Calibri"/>
                <w:color w:val="1C1C1C"/>
                <w:sz w:val="20"/>
                <w:szCs w:val="20"/>
              </w:rPr>
              <w:t xml:space="preserve">Baixa</w:t>
            </w:r>
          </w:p>
        </w:tc>
        <w:tc>
          <w:tcPr>
            <w:tcW w:type="pct" w:w="20%"/>
            <w:shd w:fill="F5F2E8" w:val="clear"/>
            <w:tcMar>
              <w:top w:type="dxa" w:w="40"/>
              <w:left w:type="dxa" w:w="100"/>
              <w:bottom w:type="dxa" w:w="40"/>
              <w:right w:type="dxa" w:w="100"/>
            </w:tcMar>
          </w:tcPr>
          <w:p>
            <w:pPr>
              <w:spacing w:after="40"/>
            </w:pPr>
            <w:r>
              <w:rPr>
                <w:rFonts w:ascii="Calibri"/>
                <w:color w:val="1C1C1C"/>
                <w:sz w:val="20"/>
                <w:szCs w:val="20"/>
              </w:rPr>
              <w:t xml:space="preserve">Baixa</w:t>
            </w:r>
          </w:p>
        </w:tc>
        <w:tc>
          <w:tcPr>
            <w:tcW w:type="pct" w:w="20%"/>
            <w:shd w:fill="F5F2E8" w:val="clear"/>
            <w:tcMar>
              <w:top w:type="dxa" w:w="40"/>
              <w:left w:type="dxa" w:w="100"/>
              <w:bottom w:type="dxa" w:w="40"/>
              <w:right w:type="dxa" w:w="100"/>
            </w:tcMar>
          </w:tcPr>
          <w:p>
            <w:pPr>
              <w:spacing w:after="40"/>
            </w:pPr>
            <w:r>
              <w:rPr>
                <w:rFonts w:ascii="Calibri"/>
                <w:color w:val="1C1C1C"/>
                <w:sz w:val="20"/>
                <w:szCs w:val="20"/>
              </w:rPr>
              <w:t xml:space="preserve">Magnitude de movimento</w:t>
            </w:r>
          </w:p>
        </w:tc>
      </w:tr>
      <w:tr>
        <w:trPr>
          <w:cantSplit/>
        </w:trPr>
        <w:tc>
          <w:tcPr>
            <w:tcW w:type="pct" w:w="20%"/>
            <w:shd w:fill="FFFFFF" w:val="clear"/>
            <w:tcMar>
              <w:top w:type="dxa" w:w="40"/>
              <w:left w:type="dxa" w:w="100"/>
              <w:bottom w:type="dxa" w:w="40"/>
              <w:right w:type="dxa" w:w="100"/>
            </w:tcMar>
          </w:tcPr>
          <w:p>
            <w:pPr>
              <w:spacing w:after="40"/>
            </w:pPr>
            <w:r>
              <w:rPr>
                <w:rFonts w:ascii="Calibri"/>
                <w:color w:val="1C1C1C"/>
                <w:sz w:val="20"/>
                <w:szCs w:val="20"/>
              </w:rPr>
              <w:t xml:space="preserve">Bollinger Bands</w:t>
            </w:r>
          </w:p>
        </w:tc>
        <w:tc>
          <w:tcPr>
            <w:tcW w:type="pct" w:w="20%"/>
            <w:shd w:fill="FFFFFF" w:val="clear"/>
            <w:tcMar>
              <w:top w:type="dxa" w:w="40"/>
              <w:left w:type="dxa" w:w="100"/>
              <w:bottom w:type="dxa" w:w="40"/>
              <w:right w:type="dxa" w:w="100"/>
            </w:tcMar>
          </w:tcPr>
          <w:p>
            <w:pPr>
              <w:spacing w:after="40"/>
            </w:pPr>
            <w:r>
              <w:rPr>
                <w:rFonts w:ascii="Calibri"/>
                <w:color w:val="1C1C1C"/>
                <w:sz w:val="20"/>
                <w:szCs w:val="20"/>
              </w:rPr>
              <w:t xml:space="preserve">Volatilidade</w:t>
            </w:r>
          </w:p>
        </w:tc>
        <w:tc>
          <w:tcPr>
            <w:tcW w:type="pct" w:w="20%"/>
            <w:shd w:fill="FFFFFF" w:val="clear"/>
            <w:tcMar>
              <w:top w:type="dxa" w:w="40"/>
              <w:left w:type="dxa" w:w="100"/>
              <w:bottom w:type="dxa" w:w="40"/>
              <w:right w:type="dxa" w:w="100"/>
            </w:tcMar>
          </w:tcPr>
          <w:p>
            <w:pPr>
              <w:spacing w:after="40"/>
            </w:pPr>
            <w:r>
              <w:rPr>
                <w:rFonts w:ascii="Calibri"/>
                <w:color w:val="1C1C1C"/>
                <w:sz w:val="20"/>
                <w:szCs w:val="20"/>
              </w:rPr>
              <w:t xml:space="preserve">Moderada c/ ATR</w:t>
            </w:r>
          </w:p>
        </w:tc>
        <w:tc>
          <w:tcPr>
            <w:tcW w:type="pct" w:w="20%"/>
            <w:shd w:fill="FFFFFF" w:val="clear"/>
            <w:tcMar>
              <w:top w:type="dxa" w:w="40"/>
              <w:left w:type="dxa" w:w="100"/>
              <w:bottom w:type="dxa" w:w="40"/>
              <w:right w:type="dxa" w:w="100"/>
            </w:tcMar>
          </w:tcPr>
          <w:p>
            <w:pPr>
              <w:spacing w:after="40"/>
            </w:pPr>
            <w:r>
              <w:rPr>
                <w:rFonts w:ascii="Calibri"/>
                <w:color w:val="1C1C1C"/>
                <w:sz w:val="20"/>
                <w:szCs w:val="20"/>
              </w:rPr>
              <w:t xml:space="preserve">Moderada</w:t>
            </w:r>
          </w:p>
        </w:tc>
        <w:tc>
          <w:tcPr>
            <w:tcW w:type="pct" w:w="20%"/>
            <w:shd w:fill="FFFFFF" w:val="clear"/>
            <w:tcMar>
              <w:top w:type="dxa" w:w="40"/>
              <w:left w:type="dxa" w:w="100"/>
              <w:bottom w:type="dxa" w:w="40"/>
              <w:right w:type="dxa" w:w="100"/>
            </w:tcMar>
          </w:tcPr>
          <w:p>
            <w:pPr>
              <w:spacing w:after="40"/>
            </w:pPr>
            <w:r>
              <w:rPr>
                <w:rFonts w:ascii="Calibri"/>
                <w:color w:val="1C1C1C"/>
                <w:sz w:val="20"/>
                <w:szCs w:val="20"/>
              </w:rPr>
              <w:t xml:space="preserve">Extremos estatisticos</w:t>
            </w:r>
          </w:p>
        </w:tc>
      </w:tr>
      <w:tr>
        <w:trPr>
          <w:cantSplit/>
        </w:trPr>
        <w:tc>
          <w:tcPr>
            <w:tcW w:type="pct" w:w="20%"/>
            <w:shd w:fill="F5F2E8" w:val="clear"/>
            <w:tcMar>
              <w:top w:type="dxa" w:w="40"/>
              <w:left w:type="dxa" w:w="100"/>
              <w:bottom w:type="dxa" w:w="40"/>
              <w:right w:type="dxa" w:w="100"/>
            </w:tcMar>
          </w:tcPr>
          <w:p>
            <w:pPr>
              <w:spacing w:after="40"/>
            </w:pPr>
            <w:r>
              <w:rPr>
                <w:rFonts w:ascii="Calibri"/>
                <w:color w:val="1C1C1C"/>
                <w:sz w:val="20"/>
                <w:szCs w:val="20"/>
              </w:rPr>
              <w:t xml:space="preserve">Keltner Channels</w:t>
            </w:r>
          </w:p>
        </w:tc>
        <w:tc>
          <w:tcPr>
            <w:tcW w:type="pct" w:w="20%"/>
            <w:shd w:fill="F5F2E8" w:val="clear"/>
            <w:tcMar>
              <w:top w:type="dxa" w:w="40"/>
              <w:left w:type="dxa" w:w="100"/>
              <w:bottom w:type="dxa" w:w="40"/>
              <w:right w:type="dxa" w:w="100"/>
            </w:tcMar>
          </w:tcPr>
          <w:p>
            <w:pPr>
              <w:spacing w:after="40"/>
            </w:pPr>
            <w:r>
              <w:rPr>
                <w:rFonts w:ascii="Calibri"/>
                <w:color w:val="1C1C1C"/>
                <w:sz w:val="20"/>
                <w:szCs w:val="20"/>
              </w:rPr>
              <w:t xml:space="preserve">Volatilidade</w:t>
            </w:r>
          </w:p>
        </w:tc>
        <w:tc>
          <w:tcPr>
            <w:tcW w:type="pct" w:w="20%"/>
            <w:shd w:fill="F5F2E8" w:val="clear"/>
            <w:tcMar>
              <w:top w:type="dxa" w:w="40"/>
              <w:left w:type="dxa" w:w="100"/>
              <w:bottom w:type="dxa" w:w="40"/>
              <w:right w:type="dxa" w:w="100"/>
            </w:tcMar>
          </w:tcPr>
          <w:p>
            <w:pPr>
              <w:spacing w:after="40"/>
            </w:pPr>
            <w:r>
              <w:rPr>
                <w:rFonts w:ascii="Calibri"/>
                <w:color w:val="1C1C1C"/>
                <w:sz w:val="20"/>
                <w:szCs w:val="20"/>
              </w:rPr>
              <w:t xml:space="preserve">Moderada c/ BB</w:t>
            </w:r>
          </w:p>
        </w:tc>
        <w:tc>
          <w:tcPr>
            <w:tcW w:type="pct" w:w="20%"/>
            <w:shd w:fill="F5F2E8" w:val="clear"/>
            <w:tcMar>
              <w:top w:type="dxa" w:w="40"/>
              <w:left w:type="dxa" w:w="100"/>
              <w:bottom w:type="dxa" w:w="40"/>
              <w:right w:type="dxa" w:w="100"/>
            </w:tcMar>
          </w:tcPr>
          <w:p>
            <w:pPr>
              <w:spacing w:after="40"/>
            </w:pPr>
            <w:r>
              <w:rPr>
                <w:rFonts w:ascii="Calibri"/>
                <w:color w:val="1C1C1C"/>
                <w:sz w:val="20"/>
                <w:szCs w:val="20"/>
              </w:rPr>
              <w:t xml:space="preserve">Moderada</w:t>
            </w:r>
          </w:p>
        </w:tc>
        <w:tc>
          <w:tcPr>
            <w:tcW w:type="pct" w:w="20%"/>
            <w:shd w:fill="F5F2E8" w:val="clear"/>
            <w:tcMar>
              <w:top w:type="dxa" w:w="40"/>
              <w:left w:type="dxa" w:w="100"/>
              <w:bottom w:type="dxa" w:w="40"/>
              <w:right w:type="dxa" w:w="100"/>
            </w:tcMar>
          </w:tcPr>
          <w:p>
            <w:pPr>
              <w:spacing w:after="40"/>
            </w:pPr>
            <w:r>
              <w:rPr>
                <w:rFonts w:ascii="Calibri"/>
                <w:color w:val="1C1C1C"/>
                <w:sz w:val="20"/>
                <w:szCs w:val="20"/>
              </w:rPr>
              <w:t xml:space="preserve">Extremos com ATR</w:t>
            </w:r>
          </w:p>
        </w:tc>
      </w:tr>
      <w:tr>
        <w:trPr>
          <w:cantSplit/>
        </w:trPr>
        <w:tc>
          <w:tcPr>
            <w:tcW w:type="pct" w:w="20%"/>
            <w:shd w:fill="FFFFFF" w:val="clear"/>
            <w:tcMar>
              <w:top w:type="dxa" w:w="40"/>
              <w:left w:type="dxa" w:w="100"/>
              <w:bottom w:type="dxa" w:w="40"/>
              <w:right w:type="dxa" w:w="100"/>
            </w:tcMar>
          </w:tcPr>
          <w:p>
            <w:pPr>
              <w:spacing w:after="40"/>
            </w:pPr>
            <w:r>
              <w:rPr>
                <w:rFonts w:ascii="Calibri"/>
                <w:color w:val="1C1C1C"/>
                <w:sz w:val="20"/>
                <w:szCs w:val="20"/>
              </w:rPr>
              <w:t xml:space="preserve">Supertrend</w:t>
            </w:r>
          </w:p>
        </w:tc>
        <w:tc>
          <w:tcPr>
            <w:tcW w:type="pct" w:w="20%"/>
            <w:shd w:fill="FFFFFF" w:val="clear"/>
            <w:tcMar>
              <w:top w:type="dxa" w:w="40"/>
              <w:left w:type="dxa" w:w="100"/>
              <w:bottom w:type="dxa" w:w="40"/>
              <w:right w:type="dxa" w:w="100"/>
            </w:tcMar>
          </w:tcPr>
          <w:p>
            <w:pPr>
              <w:spacing w:after="40"/>
            </w:pPr>
            <w:r>
              <w:rPr>
                <w:rFonts w:ascii="Calibri"/>
                <w:color w:val="1C1C1C"/>
                <w:sz w:val="20"/>
                <w:szCs w:val="20"/>
              </w:rPr>
              <w:t xml:space="preserve">Tendencia</w:t>
            </w:r>
          </w:p>
        </w:tc>
        <w:tc>
          <w:tcPr>
            <w:tcW w:type="pct" w:w="20%"/>
            <w:shd w:fill="FFFFFF" w:val="clear"/>
            <w:tcMar>
              <w:top w:type="dxa" w:w="40"/>
              <w:left w:type="dxa" w:w="100"/>
              <w:bottom w:type="dxa" w:w="40"/>
              <w:right w:type="dxa" w:w="100"/>
            </w:tcMar>
          </w:tcPr>
          <w:p>
            <w:pPr>
              <w:spacing w:after="40"/>
            </w:pPr>
            <w:r>
              <w:rPr>
                <w:rFonts w:ascii="Calibri"/>
                <w:color w:val="1C1C1C"/>
                <w:sz w:val="20"/>
                <w:szCs w:val="20"/>
              </w:rPr>
              <w:t xml:space="preserve">Alta c/ ATR+EMA</w:t>
            </w:r>
          </w:p>
        </w:tc>
        <w:tc>
          <w:tcPr>
            <w:tcW w:type="pct" w:w="20%"/>
            <w:shd w:fill="FFFFFF" w:val="clear"/>
            <w:tcMar>
              <w:top w:type="dxa" w:w="40"/>
              <w:left w:type="dxa" w:w="100"/>
              <w:bottom w:type="dxa" w:w="40"/>
              <w:right w:type="dxa" w:w="100"/>
            </w:tcMar>
          </w:tcPr>
          <w:p>
            <w:pPr>
              <w:spacing w:after="40"/>
            </w:pPr>
            <w:r>
              <w:rPr>
                <w:rFonts w:ascii="Calibri"/>
                <w:color w:val="1C1C1C"/>
                <w:sz w:val="20"/>
                <w:szCs w:val="20"/>
              </w:rPr>
              <w:t xml:space="preserve">Moderada</w:t>
            </w:r>
          </w:p>
        </w:tc>
        <w:tc>
          <w:tcPr>
            <w:tcW w:type="pct" w:w="20%"/>
            <w:shd w:fill="FFFFFF" w:val="clear"/>
            <w:tcMar>
              <w:top w:type="dxa" w:w="40"/>
              <w:left w:type="dxa" w:w="100"/>
              <w:bottom w:type="dxa" w:w="40"/>
              <w:right w:type="dxa" w:w="100"/>
            </w:tcMar>
          </w:tcPr>
          <w:p>
            <w:pPr>
              <w:spacing w:after="40"/>
            </w:pPr>
            <w:r>
              <w:rPr>
                <w:rFonts w:ascii="Calibri"/>
                <w:color w:val="1C1C1C"/>
                <w:sz w:val="20"/>
                <w:szCs w:val="20"/>
              </w:rPr>
              <w:t xml:space="preserve">Sinal direcional adaptativo</w:t>
            </w:r>
          </w:p>
        </w:tc>
      </w:tr>
    </w:tbl>
    <w:p>
      <w:pPr>
        <w:spacing w:after="60"/>
      </w:pPr>
    </w:p>
    <w:p>
      <w:pPr>
        <w:pStyle w:val="Heading2"/>
        <w:spacing w:after="160" w:before="360" w:line="312"/>
      </w:pPr>
      <w:bookmarkStart w:id="100008" w:name="_Toc100008"/>
      <w:r>
        <w:rPr>
          <w:rFonts w:ascii="Times New Roman"/>
          <w:b/>
          <w:bCs/>
          <w:color w:val="1A1A1A"/>
          <w:sz w:val="28"/>
          <w:szCs w:val="28"/>
        </w:rPr>
        <w:t xml:space="preserve">3. Price Action Quantitativo: Formalizacao Matematica</w:t>
      </w:r>
      <w:bookmarkEnd w:id="100008"/>
    </w:p>
    <w:p>
      <w:pPr>
        <w:spacing w:after="120" w:line="312"/>
        <w:jc w:val="both"/>
      </w:pPr>
      <w:r>
        <w:rPr>
          <w:rFonts w:ascii="Times New Roman"/>
          <w:color w:val="1C1C1C"/>
          <w:sz w:val="22"/>
          <w:szCs w:val="22"/>
        </w:rPr>
        <w:t xml:space="preserve">Price action tradicionalmente e analisada de forma subjetiva, dependendo da experiencia e interpretacao visual do trader. O objetivo desta secao e formalizar matematicamente conceitos comuns de price action, transformando-os em regras computacionais objetivas que possam ser implementadas em algoritmos de trading.</w:t>
      </w:r>
    </w:p>
    <w:p>
      <w:pPr>
        <w:pStyle w:val="Heading3"/>
        <w:spacing w:after="120" w:before="240" w:line="312"/>
      </w:pPr>
      <w:bookmarkStart w:id="100009" w:name="_Toc100009"/>
      <w:r>
        <w:rPr>
          <w:rFonts w:ascii="Times New Roman"/>
          <w:b/>
          <w:bCs/>
          <w:color w:val="333333"/>
          <w:sz w:val="24"/>
          <w:szCs w:val="24"/>
        </w:rPr>
        <w:t xml:space="preserve">3.1 Swing Highs e Swing Lows</w:t>
      </w:r>
      <w:bookmarkEnd w:id="100009"/>
    </w:p>
    <w:p>
      <w:pPr>
        <w:spacing w:after="120" w:line="312"/>
        <w:jc w:val="both"/>
      </w:pPr>
      <w:r>
        <w:rPr>
          <w:rFonts w:ascii="Times New Roman"/>
          <w:b/>
          <w:bCs/>
          <w:color w:val="1C1C1C"/>
          <w:sz w:val="22"/>
          <w:szCs w:val="22"/>
        </w:rPr>
        <w:t xml:space="preserve">Definicao matematica: </w:t>
      </w:r>
      <w:r>
        <w:rPr>
          <w:rFonts w:ascii="Times New Roman"/>
          <w:color w:val="1C1C1C"/>
          <w:sz w:val="22"/>
          <w:szCs w:val="22"/>
        </w:rPr>
        <w:t xml:space="preserve">Um Swing High e um maximo local onde N barras adjacentes a esquerda e N barras a direita tem precos mais baixos. SwingHigh(i) = High[i] &gt; High[i-k] para todo k em [1..N] E High[i] &gt; High[i+k] para todo k em [1..N]. Tipicamente N=3 ou N=5. Esta definicao e completamente objetiva e deterministica. Quanto maior N, mais significativo e o swing (menos frequentes, mais robustos), porem mais lento para detectar. Um Swing Low e definido analogamente usando minimos locais.</w:t>
      </w:r>
    </w:p>
    <w:p>
      <w:pPr>
        <w:pStyle w:val="Heading3"/>
        <w:spacing w:after="120" w:before="240" w:line="312"/>
      </w:pPr>
      <w:bookmarkStart w:id="100010" w:name="_Toc100010"/>
      <w:r>
        <w:rPr>
          <w:rFonts w:ascii="Times New Roman"/>
          <w:b/>
          <w:bCs/>
          <w:color w:val="333333"/>
          <w:sz w:val="24"/>
          <w:szCs w:val="24"/>
        </w:rPr>
        <w:t xml:space="preserve">3.2 Higher Highs, Higher Lows, Lower Highs, Lower Lows</w:t>
      </w:r>
      <w:bookmarkEnd w:id="100010"/>
    </w:p>
    <w:p>
      <w:pPr>
        <w:spacing w:after="120" w:line="312"/>
        <w:jc w:val="both"/>
      </w:pPr>
      <w:r>
        <w:rPr>
          <w:rFonts w:ascii="Times New Roman"/>
          <w:b/>
          <w:bCs/>
          <w:color w:val="1C1C1C"/>
          <w:sz w:val="22"/>
          <w:szCs w:val="22"/>
        </w:rPr>
        <w:t xml:space="preserve">Definicao matematica: </w:t>
      </w:r>
      <w:r>
        <w:rPr>
          <w:rFonts w:ascii="Times New Roman"/>
          <w:color w:val="1C1C1C"/>
          <w:sz w:val="22"/>
          <w:szCs w:val="22"/>
        </w:rPr>
        <w:t xml:space="preserve">Higher High: maxima atual &gt; maxima anterior (do ultimo swing high). Higher Low: minima atual &gt; minima anterior (do ultimo swing low). Sequencia de Higher Highs + Higher Lows = tendencia de alta. Sequencia de Lower Highs + Lower Lows = tendencia de baixa. Regra computacional: tendencia_alta = (swing_high_atual &gt; swing_high_anterior) E (swing_low_atual &gt; swing_low_anterior). Estas definicoes transformam a avaliacao visual de tendencia em condicoes logicas verificaveis.</w:t>
      </w:r>
    </w:p>
    <w:p>
      <w:pPr>
        <w:pStyle w:val="Heading3"/>
        <w:spacing w:after="120" w:before="240" w:line="312"/>
      </w:pPr>
      <w:bookmarkStart w:id="100011" w:name="_Toc100011"/>
      <w:r>
        <w:rPr>
          <w:rFonts w:ascii="Times New Roman"/>
          <w:b/>
          <w:bCs/>
          <w:color w:val="333333"/>
          <w:sz w:val="24"/>
          <w:szCs w:val="24"/>
        </w:rPr>
        <w:t xml:space="preserve">3.3 Break of Structure</w:t>
      </w:r>
      <w:bookmarkEnd w:id="100011"/>
    </w:p>
    <w:p>
      <w:pPr>
        <w:spacing w:after="120" w:line="312"/>
        <w:jc w:val="both"/>
      </w:pPr>
      <w:r>
        <w:rPr>
          <w:rFonts w:ascii="Times New Roman"/>
          <w:b/>
          <w:bCs/>
          <w:color w:val="1C1C1C"/>
          <w:sz w:val="22"/>
          <w:szCs w:val="22"/>
        </w:rPr>
        <w:t xml:space="preserve">Definicao matematica: </w:t>
      </w:r>
      <w:r>
        <w:rPr>
          <w:rFonts w:ascii="Times New Roman"/>
          <w:color w:val="1C1C1C"/>
          <w:sz w:val="22"/>
          <w:szCs w:val="22"/>
        </w:rPr>
        <w:t xml:space="preserve">Break of Structure (BOS) bullish: preco fecha acima do ultimo swing high significativo. BOS_bullish = Close[i] &gt; swing_high[N]. BOS bearish: preco fecha abaixo do ultimo swing low significativo. O BOS indica mudanca estrutural na direcao do mercado. Em tendencias fortes, multiplas ocorrencias de BOS na mesma direcao confirmam a forca do movimento. A combinacao de BOS com volume (quando disponivel) e ATR pode melhorar a confiabilidade do sinal.</w:t>
      </w:r>
    </w:p>
    <w:p>
      <w:pPr>
        <w:pStyle w:val="Heading3"/>
        <w:spacing w:after="120" w:before="240" w:line="312"/>
      </w:pPr>
      <w:bookmarkStart w:id="100012" w:name="_Toc100012"/>
      <w:r>
        <w:rPr>
          <w:rFonts w:ascii="Times New Roman"/>
          <w:b/>
          <w:bCs/>
          <w:color w:val="333333"/>
          <w:sz w:val="24"/>
          <w:szCs w:val="24"/>
        </w:rPr>
        <w:t xml:space="preserve">3.4 Range e Consolidacao</w:t>
      </w:r>
      <w:bookmarkEnd w:id="100012"/>
    </w:p>
    <w:p>
      <w:pPr>
        <w:spacing w:after="120" w:line="312"/>
        <w:jc w:val="both"/>
      </w:pPr>
      <w:r>
        <w:rPr>
          <w:rFonts w:ascii="Times New Roman"/>
          <w:b/>
          <w:bCs/>
          <w:color w:val="1C1C1C"/>
          <w:sz w:val="22"/>
          <w:szCs w:val="22"/>
        </w:rPr>
        <w:t xml:space="preserve">Definicao matematica: </w:t>
      </w:r>
      <w:r>
        <w:rPr>
          <w:rFonts w:ascii="Times New Roman"/>
          <w:color w:val="1C1C1C"/>
          <w:sz w:val="22"/>
          <w:szCs w:val="22"/>
        </w:rPr>
        <w:t xml:space="preserve">Um mercado esta em range quando o preco oscila dentro de limites superiores e inferiores por um periodo minimo. Range_detectado = (max(High[N..M]) - min(Low[N..M])) &lt; K * ATR[N] E ADX &lt; limiar. Ou seja, a amplitude total do movimento em N periodos e menor que K vezes o ATR medio. K tipicamente entre 3 e 5. ADX &lt; 20 confirma ausencia de tendencia. Uma consolidacao pode ser definida como um range com ATR decrescente (volatilidade em contracao).</w:t>
      </w:r>
    </w:p>
    <w:p>
      <w:pPr>
        <w:pStyle w:val="Heading3"/>
        <w:spacing w:after="120" w:before="240" w:line="312"/>
      </w:pPr>
      <w:bookmarkStart w:id="100013" w:name="_Toc100013"/>
      <w:r>
        <w:rPr>
          <w:rFonts w:ascii="Times New Roman"/>
          <w:b/>
          <w:bCs/>
          <w:color w:val="333333"/>
          <w:sz w:val="24"/>
          <w:szCs w:val="24"/>
        </w:rPr>
        <w:t xml:space="preserve">3.5 Breakout e False Breakout</w:t>
      </w:r>
      <w:bookmarkEnd w:id="100013"/>
    </w:p>
    <w:p>
      <w:pPr>
        <w:spacing w:after="120" w:line="312"/>
        <w:jc w:val="both"/>
      </w:pPr>
      <w:r>
        <w:rPr>
          <w:rFonts w:ascii="Times New Roman"/>
          <w:b/>
          <w:bCs/>
          <w:color w:val="1C1C1C"/>
          <w:sz w:val="22"/>
          <w:szCs w:val="22"/>
        </w:rPr>
        <w:t xml:space="preserve">Breakout: </w:t>
      </w:r>
      <w:r>
        <w:rPr>
          <w:rFonts w:ascii="Times New Roman"/>
          <w:color w:val="1C1C1C"/>
          <w:sz w:val="22"/>
          <w:szCs w:val="22"/>
        </w:rPr>
        <w:t xml:space="preserve">Close[i] &gt; max(High[N-1..i-1]) para breakout bullish; Close[i] &lt; min(Low[N-1..i-1]) para breakout bearish. O breakout pode ser validado com filtros adicionais: volume acima da media, ATR em expansao, ou fechamento completo acima/abaixo do nivel. False Breakout: preco ultrapassa o nivel mas reverte dentro de K barras. False_breakout = Close[i] &gt; max_level E Close[i+K] &lt; max_level. A identificacao de false breakouts pode gerar estrategias de 'fade' (operar contra o breakout inicial).</w:t>
      </w:r>
    </w:p>
    <w:p>
      <w:pPr>
        <w:pStyle w:val="Heading3"/>
        <w:spacing w:after="120" w:before="240" w:line="312"/>
      </w:pPr>
      <w:bookmarkStart w:id="100014" w:name="_Toc100014"/>
      <w:r>
        <w:rPr>
          <w:rFonts w:ascii="Times New Roman"/>
          <w:b/>
          <w:bCs/>
          <w:color w:val="333333"/>
          <w:sz w:val="24"/>
          <w:szCs w:val="24"/>
        </w:rPr>
        <w:t xml:space="preserve">3.6 Suporte e Resistencia Quantitativo</w:t>
      </w:r>
      <w:bookmarkEnd w:id="100014"/>
    </w:p>
    <w:p>
      <w:pPr>
        <w:spacing w:after="120" w:line="312"/>
        <w:jc w:val="both"/>
      </w:pPr>
      <w:r>
        <w:rPr>
          <w:rFonts w:ascii="Times New Roman"/>
          <w:b/>
          <w:bCs/>
          <w:color w:val="1C1C1C"/>
          <w:sz w:val="22"/>
          <w:szCs w:val="22"/>
        </w:rPr>
        <w:t xml:space="preserve">Definicao matematica: </w:t>
      </w:r>
      <w:r>
        <w:rPr>
          <w:rFonts w:ascii="Times New Roman"/>
          <w:color w:val="1C1C1C"/>
          <w:sz w:val="22"/>
          <w:szCs w:val="22"/>
        </w:rPr>
        <w:t xml:space="preserve">Suporte: nivel de preco onde ocorreram multiplos swing lows ou onde o preco reverteu anteriormente. Implementacao: identificar cluster de swing lows em uma zona (por exemplo, todos os swing lows dentro de 0.5% de distancia uns dos outros sao agrupados). Resistencia: analogo usando swing highs. A robustez de um suporte/resistencia pode ser medida pelo numero de toques, volume (se disponivel), e tempo desde o ultimo toque. A distancia atual do preco ate o suporte/resistencia mais proximo pode ser utilizada como feature quantitativa.</w:t>
      </w:r>
    </w:p>
    <w:p>
      <w:pPr>
        <w:pStyle w:val="Heading3"/>
        <w:spacing w:after="120" w:before="240" w:line="312"/>
      </w:pPr>
      <w:bookmarkStart w:id="100015" w:name="_Toc100015"/>
      <w:r>
        <w:rPr>
          <w:rFonts w:ascii="Times New Roman"/>
          <w:b/>
          <w:bCs/>
          <w:color w:val="333333"/>
          <w:sz w:val="24"/>
          <w:szCs w:val="24"/>
        </w:rPr>
        <w:t xml:space="preserve">3.7 Candle Analysis Quantitativo</w:t>
      </w:r>
      <w:bookmarkEnd w:id="100015"/>
    </w:p>
    <w:p>
      <w:pPr>
        <w:spacing w:after="120" w:line="312"/>
        <w:jc w:val="both"/>
      </w:pPr>
      <w:r>
        <w:rPr>
          <w:rFonts w:ascii="Times New Roman"/>
          <w:b/>
          <w:bCs/>
          <w:color w:val="1C1C1C"/>
          <w:sz w:val="22"/>
          <w:szCs w:val="22"/>
        </w:rPr>
        <w:t xml:space="preserve">Body Ratio: </w:t>
      </w:r>
      <w:r>
        <w:rPr>
          <w:rFonts w:ascii="Times New Roman"/>
          <w:color w:val="1C1C1C"/>
          <w:sz w:val="22"/>
          <w:szCs w:val="22"/>
        </w:rPr>
        <w:t xml:space="preserve">body_ratio = abs(Close - Open) / (High - Low). Um body ratio alto (&gt; 0.6) indica candle dominante (forte). Body ratio baixo (&lt; 0.3) indica indecisao (doji-like).</w:t>
      </w:r>
    </w:p>
    <w:p>
      <w:pPr>
        <w:spacing w:after="120" w:line="312"/>
        <w:jc w:val="both"/>
      </w:pPr>
      <w:r>
        <w:rPr>
          <w:rFonts w:ascii="Times New Roman"/>
          <w:b/>
          <w:bCs/>
          <w:color w:val="1C1C1C"/>
          <w:sz w:val="22"/>
          <w:szCs w:val="22"/>
        </w:rPr>
        <w:t xml:space="preserve">Wick Ratio: </w:t>
      </w:r>
      <w:r>
        <w:rPr>
          <w:rFonts w:ascii="Times New Roman"/>
          <w:color w:val="1C1C1C"/>
          <w:sz w:val="22"/>
          <w:szCs w:val="22"/>
        </w:rPr>
        <w:t xml:space="preserve">wick_upper = (High - max(Close, Open)) / (High - Low). wick_lower = (min(Close, Open) - Low) / (High - Low). Wick superior longa (&gt; 0.5) em tendencia de alta sugere rejeicao de precos mais altos. Wick inferior longa em tendencia de baixa sugere rejeicao de precos mais baixos.</w:t>
      </w:r>
    </w:p>
    <w:p>
      <w:pPr>
        <w:spacing w:after="120" w:line="312"/>
        <w:jc w:val="both"/>
      </w:pPr>
      <w:r>
        <w:rPr>
          <w:rFonts w:ascii="Times New Roman"/>
          <w:b/>
          <w:bCs/>
          <w:color w:val="1C1C1C"/>
          <w:sz w:val="22"/>
          <w:szCs w:val="22"/>
        </w:rPr>
        <w:t xml:space="preserve">Range: </w:t>
      </w:r>
      <w:r>
        <w:rPr>
          <w:rFonts w:ascii="Times New Roman"/>
          <w:color w:val="1C1C1C"/>
          <w:sz w:val="22"/>
          <w:szCs w:val="22"/>
        </w:rPr>
        <w:t xml:space="preserve">candle_range = High - Low. Pode ser normalizado pelo ATR: range_norm = (High - Low) / ATR[N]. Range_norm &gt; 2 indica candle excepcionalmente grande, possivelmente sinal de evento ou mudanca de regime.</w:t>
      </w:r>
    </w:p>
    <w:p>
      <w:pPr>
        <w:pStyle w:val="Heading2"/>
        <w:spacing w:after="160" w:before="360" w:line="312"/>
      </w:pPr>
      <w:bookmarkStart w:id="100016" w:name="_Toc100016"/>
      <w:r>
        <w:rPr>
          <w:rFonts w:ascii="Times New Roman"/>
          <w:b/>
          <w:bCs/>
          <w:color w:val="1A1A1A"/>
          <w:sz w:val="28"/>
          <w:szCs w:val="28"/>
        </w:rPr>
        <w:t xml:space="preserve">4. Regimes de Mercado: Deteccao e Aplicacao</w:t>
      </w:r>
      <w:bookmarkEnd w:id="100016"/>
    </w:p>
    <w:p>
      <w:pPr>
        <w:spacing w:after="120" w:line="312"/>
        <w:jc w:val="both"/>
      </w:pPr>
      <w:r>
        <w:rPr>
          <w:rFonts w:ascii="Times New Roman"/>
          <w:color w:val="1C1C1C"/>
          <w:sz w:val="22"/>
          <w:szCs w:val="22"/>
        </w:rPr>
        <w:t xml:space="preserve">A identificacao do regime de mercado atual e um dos filtros mais importantes para estrategias quantitativas. Diferentes estrategias performam de forma diferente em diferentes regimes: trend following funciona melhor em mercados direcionais; mean reversion funciona melhor em mercados laterais; breakout funciona melhor em transicoes de contracao para expansao de volatilidade.</w:t>
      </w:r>
    </w:p>
    <w:p>
      <w:pPr>
        <w:pStyle w:val="Heading3"/>
        <w:spacing w:after="120" w:before="240" w:line="312"/>
      </w:pPr>
      <w:bookmarkStart w:id="100017" w:name="_Toc100017"/>
      <w:r>
        <w:rPr>
          <w:rFonts w:ascii="Times New Roman"/>
          <w:b/>
          <w:bCs/>
          <w:color w:val="333333"/>
          <w:sz w:val="24"/>
          <w:szCs w:val="24"/>
        </w:rPr>
        <w:t xml:space="preserve">4.1 Metodos de Deteccao de Regime</w:t>
      </w:r>
      <w:bookmarkEnd w:id="100017"/>
    </w:p>
    <w:p>
      <w:pPr>
        <w:spacing w:after="120" w:line="312"/>
        <w:jc w:val="both"/>
      </w:pPr>
      <w:r>
        <w:rPr>
          <w:rFonts w:ascii="Times New Roman"/>
          <w:b/>
          <w:bCs/>
          <w:color w:val="1C1C1C"/>
          <w:sz w:val="22"/>
          <w:szCs w:val="22"/>
        </w:rPr>
        <w:t xml:space="preserve">ADX + Direcao das Medias: </w:t>
      </w:r>
      <w:r>
        <w:rPr>
          <w:rFonts w:ascii="Times New Roman"/>
          <w:color w:val="1C1C1C"/>
          <w:sz w:val="22"/>
          <w:szCs w:val="22"/>
        </w:rPr>
        <w:t xml:space="preserve">O metodo mais simples e pratico. Regime de Tendencia: ADX &gt; 25 E EMA50 &gt; EMA200 (alta) ou EMA50 &lt; EMA200 (baixa). Regime Lateral: ADX &lt; 20 E distancia entre EMA50 e EMA200 &lt; X * ATR. Regime de Volatilidade Expansao: ATR atual &gt; 1.5 * ATR(50). Regime de Contracao: ATR atual &lt; 0.7 * ATR(50). Este metodo e completamente objetivo e facilmente implementavel.</w:t>
      </w:r>
    </w:p>
    <w:p>
      <w:pPr>
        <w:spacing w:after="120" w:line="312"/>
        <w:jc w:val="both"/>
      </w:pPr>
      <w:r>
        <w:rPr>
          <w:rFonts w:ascii="Times New Roman"/>
          <w:b/>
          <w:bCs/>
          <w:color w:val="1C1C1C"/>
          <w:sz w:val="22"/>
          <w:szCs w:val="22"/>
        </w:rPr>
        <w:t xml:space="preserve">Bollinger Band Width (BBW): </w:t>
      </w:r>
      <w:r>
        <w:rPr>
          <w:rFonts w:ascii="Times New Roman"/>
          <w:color w:val="1C1C1C"/>
          <w:sz w:val="22"/>
          <w:szCs w:val="22"/>
        </w:rPr>
        <w:t xml:space="preserve">BBW = (Banda Superior - Banda Inferior) / SMA(20). BBW em percentil baixo (&lt; 20) indica compressao de volatilidade, frequentemente precursoro de breakout. BBW em percentil alto (&gt; 80) indica alta volatilidade. O 'Squeeze' (BBW &lt; percentil 10) e um dos padroes mais bem documentados para prever expansao de volatilidade. Pesquisa de John Bollinger mostra que sqeezes sao seguidos por movimentos direcionais significativos na maioria das vezes.</w:t>
      </w:r>
    </w:p>
    <w:p>
      <w:pPr>
        <w:spacing w:after="120" w:line="312"/>
        <w:jc w:val="both"/>
      </w:pPr>
      <w:r>
        <w:rPr>
          <w:rFonts w:ascii="Times New Roman"/>
          <w:b/>
          <w:bCs/>
          <w:color w:val="1C1C1C"/>
          <w:sz w:val="22"/>
          <w:szCs w:val="22"/>
        </w:rPr>
        <w:t xml:space="preserve">Expoente de Hurst: </w:t>
      </w:r>
      <w:r>
        <w:rPr>
          <w:rFonts w:ascii="Times New Roman"/>
          <w:color w:val="1C1C1C"/>
          <w:sz w:val="22"/>
          <w:szCs w:val="22"/>
        </w:rPr>
        <w:t xml:space="preserve">Mede a persistencia de series temporais. H &gt; 0.5 indica tendencia (persistent behavior, os movimentos tendem a continuar). H &lt; 0.5 indica mean-reverting (anti-persistent, os movimentos tendem a reverter). H = 0.5 indica movimento aleatorio (random walk). O expoente de Hurst e calculado sobre janelas rolantes e pode ser utilizado como regime detector. Um Hurst &gt; 0.6 sugere preferencia por estrategias de trend following; Hurst &lt; 0.4 sugere preferencia por mean reversion. Implementacao requer analise de rescaled range (R/S analysis) ou detrended fluctuation analysis.</w:t>
      </w:r>
    </w:p>
    <w:p>
      <w:pPr>
        <w:spacing w:after="120" w:line="312"/>
        <w:jc w:val="both"/>
      </w:pPr>
      <w:r>
        <w:rPr>
          <w:rFonts w:ascii="Times New Roman"/>
          <w:b/>
          <w:bCs/>
          <w:color w:val="1C1C1C"/>
          <w:sz w:val="22"/>
          <w:szCs w:val="22"/>
        </w:rPr>
        <w:t xml:space="preserve">Autocorrelacao de Retornos: </w:t>
      </w:r>
      <w:r>
        <w:rPr>
          <w:rFonts w:ascii="Times New Roman"/>
          <w:color w:val="1C1C1C"/>
          <w:sz w:val="22"/>
          <w:szCs w:val="22"/>
        </w:rPr>
        <w:t xml:space="preserve">Mede a correlacao de retornos com seus proprios valores defasados. Autocorrelacao positiva significativa (retornos passados predizem retornos futuros na mesma direcao) indica tendencia; autocorrelacao negativa indica mean reversion; autocorrelacao proxima de zero indica aleatoriedade. O teste de Ljung-Box pode avaliar se a autocorrelacao e estatisticamente significativa. Em pratica, autocorrelacoes de primeiro lag (lag-1) sao mais uteis para regime detection.</w:t>
      </w:r>
    </w:p>
    <w:p>
      <w:pPr>
        <w:spacing w:after="120" w:line="312"/>
        <w:jc w:val="both"/>
      </w:pPr>
      <w:r>
        <w:rPr>
          <w:rFonts w:ascii="Times New Roman"/>
          <w:b/>
          <w:bCs/>
          <w:color w:val="1C1C1C"/>
          <w:sz w:val="22"/>
          <w:szCs w:val="22"/>
        </w:rPr>
        <w:t xml:space="preserve">Hidden Markov Models (HMM): </w:t>
      </w:r>
      <w:r>
        <w:rPr>
          <w:rFonts w:ascii="Times New Roman"/>
          <w:color w:val="1C1C1C"/>
          <w:sz w:val="22"/>
          <w:szCs w:val="22"/>
        </w:rPr>
        <w:t xml:space="preserve">Modelo estatistico que assume o mercado opera em estados ocultos (regimes) com probabilidades de transicao entre eles. Cada regime tem sua propria distribuicao de retornos (media, volatilidade). O algoritmo de Baum-Welch (Expectation-Maximization) estima os parametros do modelo a partir de dados historicos, e o algoritmo de Viterbi determina a sequencia mais provavel de regimes. HMMs podem identificar 2-4 regimes (ex: 'alta volatilidade baixa', 'alta volatilidade alta', 'baixa volatilidade lateral', 'baixa volatilidade tendencia') com probabilidades associadas. A implementacao requer bibliotecas como hmmlearn em Python.</w:t>
      </w:r>
    </w:p>
    <w:p>
      <w:pPr>
        <w:spacing w:after="120" w:line="312"/>
        <w:jc w:val="both"/>
      </w:pPr>
      <w:r>
        <w:rPr>
          <w:rFonts w:ascii="Times New Roman"/>
          <w:b/>
          <w:bCs/>
          <w:color w:val="1C1C1C"/>
          <w:sz w:val="22"/>
          <w:szCs w:val="22"/>
        </w:rPr>
        <w:t xml:space="preserve">Clustering (K-Means, GMM): </w:t>
      </w:r>
      <w:r>
        <w:rPr>
          <w:rFonts w:ascii="Times New Roman"/>
          <w:color w:val="1C1C1C"/>
          <w:sz w:val="22"/>
          <w:szCs w:val="22"/>
        </w:rPr>
        <w:t xml:space="preserve">Agrupa periodos de mercado com base em features como: volatilidade (ATR), retorno medio, skewness, curtose, autocorrelacao, e ADX. Cada cluster representa um regime. O K-Means pode identificar naturalmente grupos como 'trend bull', 'trend bear', 'range calm', 'volatile choppy'. Gaussian Mixture Models (GMM) oferecem probabilidades de pertencimento em vez de atribuicao rigida, permitindo transicoes suaves entre regimes.</w:t>
      </w:r>
    </w:p>
    <w:p>
      <w:pPr>
        <w:pStyle w:val="Heading3"/>
        <w:spacing w:after="120" w:before="240" w:line="312"/>
      </w:pPr>
      <w:bookmarkStart w:id="100018" w:name="_Toc100018"/>
      <w:r>
        <w:rPr>
          <w:rFonts w:ascii="Times New Roman"/>
          <w:b/>
          <w:bCs/>
          <w:color w:val="333333"/>
          <w:sz w:val="24"/>
          <w:szCs w:val="24"/>
        </w:rPr>
        <w:t xml:space="preserve">4.2 Aplicacao de Regimes a Estrategias</w:t>
      </w:r>
      <w:bookmarkEnd w:id="100018"/>
    </w:p>
    <w:p>
      <w:pPr>
        <w:keepNext/>
        <w:spacing w:after="80"/>
      </w:pPr>
      <w:r>
        <w:rPr>
          <w:rFonts w:ascii="Times New Roman"/>
          <w:b/>
          <w:bCs/>
          <w:i/>
          <w:iCs/>
          <w:color w:val="555555"/>
          <w:sz w:val="20"/>
          <w:szCs w:val="20"/>
        </w:rPr>
        <w:t xml:space="preserve">Tabela 2: Mapeamento entre regimes de mercado e estrategias recomendadas</w:t>
      </w:r>
    </w:p>
    <w:tbl>
      <w:tblPr>
        <w:tblW w:type="pct" w:w="100%"/>
        <w:tblBorders>
          <w:top w:val="single" w:color="C9A84C" w:sz="2"/>
          <w:left w:val="none"/>
          <w:bottom w:val="single" w:color="C9A84C" w:sz="2"/>
          <w:right w:val="none"/>
          <w:insideH w:val="single" w:color="DDD5C0" w:sz="1"/>
          <w:insideV w:val="none"/>
        </w:tblBorders>
      </w:tblPr>
      <w:tblGrid>
        <w:gridCol w:w="100"/>
        <w:gridCol w:w="100"/>
        <w:gridCol w:w="100"/>
        <w:gridCol w:w="100"/>
      </w:tblGrid>
      <w:tr>
        <w:trPr>
          <w:cantSplit/>
          <w:tblHeader/>
        </w:trPr>
        <w:tc>
          <w:tcPr>
            <w:tcW w:type="pct" w:w="25%"/>
            <w:shd w:fill="C9A84C" w:val="clear"/>
            <w:tcMar>
              <w:top w:type="dxa" w:w="50"/>
              <w:left w:type="dxa" w:w="100"/>
              <w:bottom w:type="dxa" w:w="50"/>
              <w:right w:type="dxa" w:w="100"/>
            </w:tcMar>
          </w:tcPr>
          <w:p>
            <w:pPr>
              <w:jc w:val="center"/>
            </w:pPr>
            <w:r>
              <w:rPr>
                <w:rFonts w:ascii="Calibri"/>
                <w:b/>
                <w:bCs/>
                <w:color w:val="1A1A1A"/>
                <w:sz w:val="20"/>
                <w:szCs w:val="20"/>
              </w:rPr>
              <w:t xml:space="preserve">Regime</w:t>
            </w:r>
          </w:p>
        </w:tc>
        <w:tc>
          <w:tcPr>
            <w:tcW w:type="pct" w:w="25%"/>
            <w:shd w:fill="C9A84C" w:val="clear"/>
            <w:tcMar>
              <w:top w:type="dxa" w:w="50"/>
              <w:left w:type="dxa" w:w="100"/>
              <w:bottom w:type="dxa" w:w="50"/>
              <w:right w:type="dxa" w:w="100"/>
            </w:tcMar>
          </w:tcPr>
          <w:p>
            <w:pPr>
              <w:jc w:val="center"/>
            </w:pPr>
            <w:r>
              <w:rPr>
                <w:rFonts w:ascii="Calibri"/>
                <w:b/>
                <w:bCs/>
                <w:color w:val="1A1A1A"/>
                <w:sz w:val="20"/>
                <w:szCs w:val="20"/>
              </w:rPr>
              <w:t xml:space="preserve">Estrategia Recomendada</w:t>
            </w:r>
          </w:p>
        </w:tc>
        <w:tc>
          <w:tcPr>
            <w:tcW w:type="pct" w:w="25%"/>
            <w:shd w:fill="C9A84C" w:val="clear"/>
            <w:tcMar>
              <w:top w:type="dxa" w:w="50"/>
              <w:left w:type="dxa" w:w="100"/>
              <w:bottom w:type="dxa" w:w="50"/>
              <w:right w:type="dxa" w:w="100"/>
            </w:tcMar>
          </w:tcPr>
          <w:p>
            <w:pPr>
              <w:jc w:val="center"/>
            </w:pPr>
            <w:r>
              <w:rPr>
                <w:rFonts w:ascii="Calibri"/>
                <w:b/>
                <w:bCs/>
                <w:color w:val="1A1A1A"/>
                <w:sz w:val="20"/>
                <w:szCs w:val="20"/>
              </w:rPr>
              <w:t xml:space="preserve">Filtro Sugerido</w:t>
            </w:r>
          </w:p>
        </w:tc>
        <w:tc>
          <w:tcPr>
            <w:tcW w:type="pct" w:w="25%"/>
            <w:shd w:fill="C9A84C" w:val="clear"/>
            <w:tcMar>
              <w:top w:type="dxa" w:w="50"/>
              <w:left w:type="dxa" w:w="100"/>
              <w:bottom w:type="dxa" w:w="50"/>
              <w:right w:type="dxa" w:w="100"/>
            </w:tcMar>
          </w:tcPr>
          <w:p>
            <w:pPr>
              <w:jc w:val="center"/>
            </w:pPr>
            <w:r>
              <w:rPr>
                <w:rFonts w:ascii="Calibri"/>
                <w:b/>
                <w:bCs/>
                <w:color w:val="1A1A1A"/>
                <w:sz w:val="20"/>
                <w:szCs w:val="20"/>
              </w:rPr>
              <w:t xml:space="preserve">Risco</w:t>
            </w:r>
          </w:p>
        </w:tc>
      </w:tr>
      <w:tr>
        <w:trPr>
          <w:cantSplit/>
        </w:trPr>
        <w:tc>
          <w:tcPr>
            <w:tcW w:type="pct" w:w="25%"/>
            <w:shd w:fill="F5F2E8" w:val="clear"/>
            <w:tcMar>
              <w:top w:type="dxa" w:w="40"/>
              <w:left w:type="dxa" w:w="100"/>
              <w:bottom w:type="dxa" w:w="40"/>
              <w:right w:type="dxa" w:w="100"/>
            </w:tcMar>
          </w:tcPr>
          <w:p>
            <w:pPr>
              <w:spacing w:after="40"/>
            </w:pPr>
            <w:r>
              <w:rPr>
                <w:rFonts w:ascii="Calibri"/>
                <w:color w:val="1C1C1C"/>
                <w:sz w:val="20"/>
                <w:szCs w:val="20"/>
              </w:rPr>
              <w:t xml:space="preserve">Tendencia forte (ADX&gt;25)</w:t>
            </w:r>
          </w:p>
        </w:tc>
        <w:tc>
          <w:tcPr>
            <w:tcW w:type="pct" w:w="25%"/>
            <w:shd w:fill="F5F2E8" w:val="clear"/>
            <w:tcMar>
              <w:top w:type="dxa" w:w="40"/>
              <w:left w:type="dxa" w:w="100"/>
              <w:bottom w:type="dxa" w:w="40"/>
              <w:right w:type="dxa" w:w="100"/>
            </w:tcMar>
          </w:tcPr>
          <w:p>
            <w:pPr>
              <w:spacing w:after="40"/>
            </w:pPr>
            <w:r>
              <w:rPr>
                <w:rFonts w:ascii="Calibri"/>
                <w:color w:val="1C1C1C"/>
                <w:sz w:val="20"/>
                <w:szCs w:val="20"/>
              </w:rPr>
              <w:t xml:space="preserve">Trend Following</w:t>
            </w:r>
          </w:p>
        </w:tc>
        <w:tc>
          <w:tcPr>
            <w:tcW w:type="pct" w:w="25%"/>
            <w:shd w:fill="F5F2E8" w:val="clear"/>
            <w:tcMar>
              <w:top w:type="dxa" w:w="40"/>
              <w:left w:type="dxa" w:w="100"/>
              <w:bottom w:type="dxa" w:w="40"/>
              <w:right w:type="dxa" w:w="100"/>
            </w:tcMar>
          </w:tcPr>
          <w:p>
            <w:pPr>
              <w:spacing w:after="40"/>
            </w:pPr>
            <w:r>
              <w:rPr>
                <w:rFonts w:ascii="Calibri"/>
                <w:color w:val="1C1C1C"/>
                <w:sz w:val="20"/>
                <w:szCs w:val="20"/>
              </w:rPr>
              <w:t xml:space="preserve">EMA slope &gt; 0.1%</w:t>
            </w:r>
          </w:p>
        </w:tc>
        <w:tc>
          <w:tcPr>
            <w:tcW w:type="pct" w:w="25%"/>
            <w:shd w:fill="F5F2E8" w:val="clear"/>
            <w:tcMar>
              <w:top w:type="dxa" w:w="40"/>
              <w:left w:type="dxa" w:w="100"/>
              <w:bottom w:type="dxa" w:w="40"/>
              <w:right w:type="dxa" w:w="100"/>
            </w:tcMar>
          </w:tcPr>
          <w:p>
            <w:pPr>
              <w:spacing w:after="40"/>
            </w:pPr>
            <w:r>
              <w:rPr>
                <w:rFonts w:ascii="Calibri"/>
                <w:color w:val="1C1C1C"/>
                <w:sz w:val="20"/>
                <w:szCs w:val="20"/>
              </w:rPr>
              <w:t xml:space="preserve">Pullback falso</w:t>
            </w:r>
          </w:p>
        </w:tc>
      </w:tr>
      <w:tr>
        <w:trPr>
          <w:cantSplit/>
        </w:trPr>
        <w:tc>
          <w:tcPr>
            <w:tcW w:type="pct" w:w="25%"/>
            <w:shd w:fill="FFFFFF" w:val="clear"/>
            <w:tcMar>
              <w:top w:type="dxa" w:w="40"/>
              <w:left w:type="dxa" w:w="100"/>
              <w:bottom w:type="dxa" w:w="40"/>
              <w:right w:type="dxa" w:w="100"/>
            </w:tcMar>
          </w:tcPr>
          <w:p>
            <w:pPr>
              <w:spacing w:after="40"/>
            </w:pPr>
            <w:r>
              <w:rPr>
                <w:rFonts w:ascii="Calibri"/>
                <w:color w:val="1C1C1C"/>
                <w:sz w:val="20"/>
                <w:szCs w:val="20"/>
              </w:rPr>
              <w:t xml:space="preserve">Lateral calmo (ADX&lt;20)</w:t>
            </w:r>
          </w:p>
        </w:tc>
        <w:tc>
          <w:tcPr>
            <w:tcW w:type="pct" w:w="25%"/>
            <w:shd w:fill="FFFFFF" w:val="clear"/>
            <w:tcMar>
              <w:top w:type="dxa" w:w="40"/>
              <w:left w:type="dxa" w:w="100"/>
              <w:bottom w:type="dxa" w:w="40"/>
              <w:right w:type="dxa" w:w="100"/>
            </w:tcMar>
          </w:tcPr>
          <w:p>
            <w:pPr>
              <w:spacing w:after="40"/>
            </w:pPr>
            <w:r>
              <w:rPr>
                <w:rFonts w:ascii="Calibri"/>
                <w:color w:val="1C1C1C"/>
                <w:sz w:val="20"/>
                <w:szCs w:val="20"/>
              </w:rPr>
              <w:t xml:space="preserve">Mean Reversion</w:t>
            </w:r>
          </w:p>
        </w:tc>
        <w:tc>
          <w:tcPr>
            <w:tcW w:type="pct" w:w="25%"/>
            <w:shd w:fill="FFFFFF" w:val="clear"/>
            <w:tcMar>
              <w:top w:type="dxa" w:w="40"/>
              <w:left w:type="dxa" w:w="100"/>
              <w:bottom w:type="dxa" w:w="40"/>
              <w:right w:type="dxa" w:w="100"/>
            </w:tcMar>
          </w:tcPr>
          <w:p>
            <w:pPr>
              <w:spacing w:after="40"/>
            </w:pPr>
            <w:r>
              <w:rPr>
                <w:rFonts w:ascii="Calibri"/>
                <w:color w:val="1C1C1C"/>
                <w:sz w:val="20"/>
                <w:szCs w:val="20"/>
              </w:rPr>
              <w:t xml:space="preserve">BBW &lt; percentil 50</w:t>
            </w:r>
          </w:p>
        </w:tc>
        <w:tc>
          <w:tcPr>
            <w:tcW w:type="pct" w:w="25%"/>
            <w:shd w:fill="FFFFFF" w:val="clear"/>
            <w:tcMar>
              <w:top w:type="dxa" w:w="40"/>
              <w:left w:type="dxa" w:w="100"/>
              <w:bottom w:type="dxa" w:w="40"/>
              <w:right w:type="dxa" w:w="100"/>
            </w:tcMar>
          </w:tcPr>
          <w:p>
            <w:pPr>
              <w:spacing w:after="40"/>
            </w:pPr>
            <w:r>
              <w:rPr>
                <w:rFonts w:ascii="Calibri"/>
                <w:color w:val="1C1C1C"/>
                <w:sz w:val="20"/>
                <w:szCs w:val="20"/>
              </w:rPr>
              <w:t xml:space="preserve">Breakout inesperado</w:t>
            </w:r>
          </w:p>
        </w:tc>
      </w:tr>
      <w:tr>
        <w:trPr>
          <w:cantSplit/>
        </w:trPr>
        <w:tc>
          <w:tcPr>
            <w:tcW w:type="pct" w:w="25%"/>
            <w:shd w:fill="F5F2E8" w:val="clear"/>
            <w:tcMar>
              <w:top w:type="dxa" w:w="40"/>
              <w:left w:type="dxa" w:w="100"/>
              <w:bottom w:type="dxa" w:w="40"/>
              <w:right w:type="dxa" w:w="100"/>
            </w:tcMar>
          </w:tcPr>
          <w:p>
            <w:pPr>
              <w:spacing w:after="40"/>
            </w:pPr>
            <w:r>
              <w:rPr>
                <w:rFonts w:ascii="Calibri"/>
                <w:color w:val="1C1C1C"/>
                <w:sz w:val="20"/>
                <w:szCs w:val="20"/>
              </w:rPr>
              <w:t xml:space="preserve">Volatilidade em expansao</w:t>
            </w:r>
          </w:p>
        </w:tc>
        <w:tc>
          <w:tcPr>
            <w:tcW w:type="pct" w:w="25%"/>
            <w:shd w:fill="F5F2E8" w:val="clear"/>
            <w:tcMar>
              <w:top w:type="dxa" w:w="40"/>
              <w:left w:type="dxa" w:w="100"/>
              <w:bottom w:type="dxa" w:w="40"/>
              <w:right w:type="dxa" w:w="100"/>
            </w:tcMar>
          </w:tcPr>
          <w:p>
            <w:pPr>
              <w:spacing w:after="40"/>
            </w:pPr>
            <w:r>
              <w:rPr>
                <w:rFonts w:ascii="Calibri"/>
                <w:color w:val="1C1C1C"/>
                <w:sz w:val="20"/>
                <w:szCs w:val="20"/>
              </w:rPr>
              <w:t xml:space="preserve">Breakout / Volatility Trading</w:t>
            </w:r>
          </w:p>
        </w:tc>
        <w:tc>
          <w:tcPr>
            <w:tcW w:type="pct" w:w="25%"/>
            <w:shd w:fill="F5F2E8" w:val="clear"/>
            <w:tcMar>
              <w:top w:type="dxa" w:w="40"/>
              <w:left w:type="dxa" w:w="100"/>
              <w:bottom w:type="dxa" w:w="40"/>
              <w:right w:type="dxa" w:w="100"/>
            </w:tcMar>
          </w:tcPr>
          <w:p>
            <w:pPr>
              <w:spacing w:after="40"/>
            </w:pPr>
            <w:r>
              <w:rPr>
                <w:rFonts w:ascii="Calibri"/>
                <w:color w:val="1C1C1C"/>
                <w:sz w:val="20"/>
                <w:szCs w:val="20"/>
              </w:rPr>
              <w:t xml:space="preserve">ATR &gt; 1.5*ATR(50)</w:t>
            </w:r>
          </w:p>
        </w:tc>
        <w:tc>
          <w:tcPr>
            <w:tcW w:type="pct" w:w="25%"/>
            <w:shd w:fill="F5F2E8" w:val="clear"/>
            <w:tcMar>
              <w:top w:type="dxa" w:w="40"/>
              <w:left w:type="dxa" w:w="100"/>
              <w:bottom w:type="dxa" w:w="40"/>
              <w:right w:type="dxa" w:w="100"/>
            </w:tcMar>
          </w:tcPr>
          <w:p>
            <w:pPr>
              <w:spacing w:after="40"/>
            </w:pPr>
            <w:r>
              <w:rPr>
                <w:rFonts w:ascii="Calibri"/>
                <w:color w:val="1C1C1C"/>
                <w:sz w:val="20"/>
                <w:szCs w:val="20"/>
              </w:rPr>
              <w:t xml:space="preserve">Reversao rapida</w:t>
            </w:r>
          </w:p>
        </w:tc>
      </w:tr>
      <w:tr>
        <w:trPr>
          <w:cantSplit/>
        </w:trPr>
        <w:tc>
          <w:tcPr>
            <w:tcW w:type="pct" w:w="25%"/>
            <w:shd w:fill="FFFFFF" w:val="clear"/>
            <w:tcMar>
              <w:top w:type="dxa" w:w="40"/>
              <w:left w:type="dxa" w:w="100"/>
              <w:bottom w:type="dxa" w:w="40"/>
              <w:right w:type="dxa" w:w="100"/>
            </w:tcMar>
          </w:tcPr>
          <w:p>
            <w:pPr>
              <w:spacing w:after="40"/>
            </w:pPr>
            <w:r>
              <w:rPr>
                <w:rFonts w:ascii="Calibri"/>
                <w:color w:val="1C1C1C"/>
                <w:sz w:val="20"/>
                <w:szCs w:val="20"/>
              </w:rPr>
              <w:t xml:space="preserve">Volatilidade em contracao</w:t>
            </w:r>
          </w:p>
        </w:tc>
        <w:tc>
          <w:tcPr>
            <w:tcW w:type="pct" w:w="25%"/>
            <w:shd w:fill="FFFFFF" w:val="clear"/>
            <w:tcMar>
              <w:top w:type="dxa" w:w="40"/>
              <w:left w:type="dxa" w:w="100"/>
              <w:bottom w:type="dxa" w:w="40"/>
              <w:right w:type="dxa" w:w="100"/>
            </w:tcMar>
          </w:tcPr>
          <w:p>
            <w:pPr>
              <w:spacing w:after="40"/>
            </w:pPr>
            <w:r>
              <w:rPr>
                <w:rFonts w:ascii="Calibri"/>
                <w:color w:val="1C1C1C"/>
                <w:sz w:val="20"/>
                <w:szCs w:val="20"/>
              </w:rPr>
              <w:t xml:space="preserve">Range Trading / Espera</w:t>
            </w:r>
          </w:p>
        </w:tc>
        <w:tc>
          <w:tcPr>
            <w:tcW w:type="pct" w:w="25%"/>
            <w:shd w:fill="FFFFFF" w:val="clear"/>
            <w:tcMar>
              <w:top w:type="dxa" w:w="40"/>
              <w:left w:type="dxa" w:w="100"/>
              <w:bottom w:type="dxa" w:w="40"/>
              <w:right w:type="dxa" w:w="100"/>
            </w:tcMar>
          </w:tcPr>
          <w:p>
            <w:pPr>
              <w:spacing w:after="40"/>
            </w:pPr>
            <w:r>
              <w:rPr>
                <w:rFonts w:ascii="Calibri"/>
                <w:color w:val="1C1C1C"/>
                <w:sz w:val="20"/>
                <w:szCs w:val="20"/>
              </w:rPr>
              <w:t xml:space="preserve">ATR &lt; 0.7*ATR(50)</w:t>
            </w:r>
          </w:p>
        </w:tc>
        <w:tc>
          <w:tcPr>
            <w:tcW w:type="pct" w:w="25%"/>
            <w:shd w:fill="FFFFFF" w:val="clear"/>
            <w:tcMar>
              <w:top w:type="dxa" w:w="40"/>
              <w:left w:type="dxa" w:w="100"/>
              <w:bottom w:type="dxa" w:w="40"/>
              <w:right w:type="dxa" w:w="100"/>
            </w:tcMar>
          </w:tcPr>
          <w:p>
            <w:pPr>
              <w:spacing w:after="40"/>
            </w:pPr>
            <w:r>
              <w:rPr>
                <w:rFonts w:ascii="Calibri"/>
                <w:color w:val="1C1C1C"/>
                <w:sz w:val="20"/>
                <w:szCs w:val="20"/>
              </w:rPr>
              <w:t xml:space="preserve">Squeeze prolongado</w:t>
            </w:r>
          </w:p>
        </w:tc>
      </w:tr>
      <w:tr>
        <w:trPr>
          <w:cantSplit/>
        </w:trPr>
        <w:tc>
          <w:tcPr>
            <w:tcW w:type="pct" w:w="25%"/>
            <w:shd w:fill="F5F2E8" w:val="clear"/>
            <w:tcMar>
              <w:top w:type="dxa" w:w="40"/>
              <w:left w:type="dxa" w:w="100"/>
              <w:bottom w:type="dxa" w:w="40"/>
              <w:right w:type="dxa" w:w="100"/>
            </w:tcMar>
          </w:tcPr>
          <w:p>
            <w:pPr>
              <w:spacing w:after="40"/>
            </w:pPr>
            <w:r>
              <w:rPr>
                <w:rFonts w:ascii="Calibri"/>
                <w:color w:val="1C1C1C"/>
                <w:sz w:val="20"/>
                <w:szCs w:val="20"/>
              </w:rPr>
              <w:t xml:space="preserve">Alta volatilidade + direcao</w:t>
            </w:r>
          </w:p>
        </w:tc>
        <w:tc>
          <w:tcPr>
            <w:tcW w:type="pct" w:w="25%"/>
            <w:shd w:fill="F5F2E8" w:val="clear"/>
            <w:tcMar>
              <w:top w:type="dxa" w:w="40"/>
              <w:left w:type="dxa" w:w="100"/>
              <w:bottom w:type="dxa" w:w="40"/>
              <w:right w:type="dxa" w:w="100"/>
            </w:tcMar>
          </w:tcPr>
          <w:p>
            <w:pPr>
              <w:spacing w:after="40"/>
            </w:pPr>
            <w:r>
              <w:rPr>
                <w:rFonts w:ascii="Calibri"/>
                <w:color w:val="1C1C1C"/>
                <w:sz w:val="20"/>
                <w:szCs w:val="20"/>
              </w:rPr>
              <w:t xml:space="preserve">Trend Following agressivo</w:t>
            </w:r>
          </w:p>
        </w:tc>
        <w:tc>
          <w:tcPr>
            <w:tcW w:type="pct" w:w="25%"/>
            <w:shd w:fill="F5F2E8" w:val="clear"/>
            <w:tcMar>
              <w:top w:type="dxa" w:w="40"/>
              <w:left w:type="dxa" w:w="100"/>
              <w:bottom w:type="dxa" w:w="40"/>
              <w:right w:type="dxa" w:w="100"/>
            </w:tcMar>
          </w:tcPr>
          <w:p>
            <w:pPr>
              <w:spacing w:after="40"/>
            </w:pPr>
            <w:r>
              <w:rPr>
                <w:rFonts w:ascii="Calibri"/>
                <w:color w:val="1C1C1C"/>
                <w:sz w:val="20"/>
                <w:szCs w:val="20"/>
              </w:rPr>
              <w:t xml:space="preserve">ADX&gt;35 + Hurst&gt;0.6</w:t>
            </w:r>
          </w:p>
        </w:tc>
        <w:tc>
          <w:tcPr>
            <w:tcW w:type="pct" w:w="25%"/>
            <w:shd w:fill="F5F2E8" w:val="clear"/>
            <w:tcMar>
              <w:top w:type="dxa" w:w="40"/>
              <w:left w:type="dxa" w:w="100"/>
              <w:bottom w:type="dxa" w:w="40"/>
              <w:right w:type="dxa" w:w="100"/>
            </w:tcMar>
          </w:tcPr>
          <w:p>
            <w:pPr>
              <w:spacing w:after="40"/>
            </w:pPr>
            <w:r>
              <w:rPr>
                <w:rFonts w:ascii="Calibri"/>
                <w:color w:val="1C1C1C"/>
                <w:sz w:val="20"/>
                <w:szCs w:val="20"/>
              </w:rPr>
              <w:t xml:space="preserve">Excesso de confianca</w:t>
            </w:r>
          </w:p>
        </w:tc>
      </w:tr>
      <w:tr>
        <w:trPr>
          <w:cantSplit/>
        </w:trPr>
        <w:tc>
          <w:tcPr>
            <w:tcW w:type="pct" w:w="25%"/>
            <w:shd w:fill="FFFFFF" w:val="clear"/>
            <w:tcMar>
              <w:top w:type="dxa" w:w="40"/>
              <w:left w:type="dxa" w:w="100"/>
              <w:bottom w:type="dxa" w:w="40"/>
              <w:right w:type="dxa" w:w="100"/>
            </w:tcMar>
          </w:tcPr>
          <w:p>
            <w:pPr>
              <w:spacing w:after="40"/>
            </w:pPr>
            <w:r>
              <w:rPr>
                <w:rFonts w:ascii="Calibri"/>
                <w:color w:val="1C1C1C"/>
                <w:sz w:val="20"/>
                <w:szCs w:val="20"/>
              </w:rPr>
              <w:t xml:space="preserve">Alta volatilidade sem direcao</w:t>
            </w:r>
          </w:p>
        </w:tc>
        <w:tc>
          <w:tcPr>
            <w:tcW w:type="pct" w:w="25%"/>
            <w:shd w:fill="FFFFFF" w:val="clear"/>
            <w:tcMar>
              <w:top w:type="dxa" w:w="40"/>
              <w:left w:type="dxa" w:w="100"/>
              <w:bottom w:type="dxa" w:w="40"/>
              <w:right w:type="dxa" w:w="100"/>
            </w:tcMar>
          </w:tcPr>
          <w:p>
            <w:pPr>
              <w:spacing w:after="40"/>
            </w:pPr>
            <w:r>
              <w:rPr>
                <w:rFonts w:ascii="Calibri"/>
                <w:color w:val="1C1C1C"/>
                <w:sz w:val="20"/>
                <w:szCs w:val="20"/>
              </w:rPr>
              <w:t xml:space="preserve">Reduzir exposicao / Filtro</w:t>
            </w:r>
          </w:p>
        </w:tc>
        <w:tc>
          <w:tcPr>
            <w:tcW w:type="pct" w:w="25%"/>
            <w:shd w:fill="FFFFFF" w:val="clear"/>
            <w:tcMar>
              <w:top w:type="dxa" w:w="40"/>
              <w:left w:type="dxa" w:w="100"/>
              <w:bottom w:type="dxa" w:w="40"/>
              <w:right w:type="dxa" w:w="100"/>
            </w:tcMar>
          </w:tcPr>
          <w:p>
            <w:pPr>
              <w:spacing w:after="40"/>
            </w:pPr>
            <w:r>
              <w:rPr>
                <w:rFonts w:ascii="Calibri"/>
                <w:color w:val="1C1C1C"/>
                <w:sz w:val="20"/>
                <w:szCs w:val="20"/>
              </w:rPr>
              <w:t xml:space="preserve">ADX&lt;20 + ATR alto</w:t>
            </w:r>
          </w:p>
        </w:tc>
        <w:tc>
          <w:tcPr>
            <w:tcW w:type="pct" w:w="25%"/>
            <w:shd w:fill="FFFFFF" w:val="clear"/>
            <w:tcMar>
              <w:top w:type="dxa" w:w="40"/>
              <w:left w:type="dxa" w:w="100"/>
              <w:bottom w:type="dxa" w:w="40"/>
              <w:right w:type="dxa" w:w="100"/>
            </w:tcMar>
          </w:tcPr>
          <w:p>
            <w:pPr>
              <w:spacing w:after="40"/>
            </w:pPr>
            <w:r>
              <w:rPr>
                <w:rFonts w:ascii="Calibri"/>
                <w:color w:val="1C1C1C"/>
                <w:sz w:val="20"/>
                <w:szCs w:val="20"/>
              </w:rPr>
              <w:t xml:space="preserve">Whipsaw</w:t>
            </w:r>
          </w:p>
        </w:tc>
      </w:tr>
    </w:tbl>
    <w:p>
      <w:pPr>
        <w:spacing w:after="60"/>
      </w:pPr>
    </w:p>
    <w:p>
      <w:pPr>
        <w:pStyle w:val="Heading2"/>
        <w:spacing w:after="160" w:before="360" w:line="312"/>
      </w:pPr>
      <w:bookmarkStart w:id="100019" w:name="_Toc100019"/>
      <w:r>
        <w:rPr>
          <w:rFonts w:ascii="Times New Roman"/>
          <w:b/>
          <w:bCs/>
          <w:color w:val="1A1A1A"/>
          <w:sz w:val="28"/>
          <w:szCs w:val="28"/>
        </w:rPr>
        <w:t xml:space="preserve">5. Gestao de Risco</w:t>
      </w:r>
      <w:bookmarkEnd w:id="100019"/>
    </w:p>
    <w:p>
      <w:pPr>
        <w:spacing w:after="120" w:line="312"/>
        <w:jc w:val="both"/>
      </w:pPr>
      <w:r>
        <w:rPr>
          <w:rFonts w:ascii="Times New Roman"/>
          <w:color w:val="1C1C1C"/>
          <w:sz w:val="22"/>
          <w:szCs w:val="22"/>
        </w:rPr>
        <w:t xml:space="preserve">A gestao de risco e o pilar mais importante de qualquer sistema de trading. Uma estrategia lucrativa com gestao de risco inadequada pode ser destruida por uma sequencia adversa, enquanto uma estrategia marginal com gestao de risco solida pode sobreviver e prosperar no longo prazo.</w:t>
      </w:r>
    </w:p>
    <w:p>
      <w:pPr>
        <w:pStyle w:val="Heading3"/>
        <w:spacing w:after="120" w:before="240" w:line="312"/>
      </w:pPr>
      <w:bookmarkStart w:id="100020" w:name="_Toc100020"/>
      <w:r>
        <w:rPr>
          <w:rFonts w:ascii="Times New Roman"/>
          <w:b/>
          <w:bCs/>
          <w:color w:val="333333"/>
          <w:sz w:val="24"/>
          <w:szCs w:val="24"/>
        </w:rPr>
        <w:t xml:space="preserve">5.1 Position Sizing</w:t>
      </w:r>
      <w:bookmarkEnd w:id="100020"/>
    </w:p>
    <w:p>
      <w:pPr>
        <w:spacing w:after="120" w:line="312"/>
        <w:jc w:val="both"/>
      </w:pPr>
      <w:r>
        <w:rPr>
          <w:rFonts w:ascii="Times New Roman"/>
          <w:b/>
          <w:bCs/>
          <w:color w:val="1C1C1C"/>
          <w:sz w:val="22"/>
          <w:szCs w:val="22"/>
        </w:rPr>
        <w:t xml:space="preserve">Fixed Fractional Risk: </w:t>
      </w:r>
      <w:r>
        <w:rPr>
          <w:rFonts w:ascii="Times New Roman"/>
          <w:color w:val="1C1C1C"/>
          <w:sz w:val="22"/>
          <w:szCs w:val="22"/>
        </w:rPr>
        <w:t xml:space="preserve">Arriscar uma porcentagem fixa do capital por trade. Tamanho da posicao = (Capital * Risco%) / (Stop Loss em pips * valor do pip). Exemplo: Capital $10.000, Risco 1% ($100), Stop Loss 50 pips, valor do pip $10. Posicao = 100 / (50 * 10) = 0.2 lotes. A vantagem do fixed fractional e que o tamanho da posicao cresce naturalmente com os lucros e diminui com as perdas, criando um efeito composto favoravel. Desvantagem: apos perdas severas, a recuperacao do capital original exige retornos percentuais muito maiores.</w:t>
      </w:r>
    </w:p>
    <w:p>
      <w:pPr>
        <w:spacing w:after="120" w:line="312"/>
        <w:jc w:val="both"/>
      </w:pPr>
      <w:r>
        <w:rPr>
          <w:rFonts w:ascii="Times New Roman"/>
          <w:b/>
          <w:bCs/>
          <w:color w:val="1C1C1C"/>
          <w:sz w:val="22"/>
          <w:szCs w:val="22"/>
        </w:rPr>
        <w:t xml:space="preserve">Volatility-Based Position Sizing: </w:t>
      </w:r>
      <w:r>
        <w:rPr>
          <w:rFonts w:ascii="Times New Roman"/>
          <w:color w:val="1C1C1C"/>
          <w:sz w:val="22"/>
          <w:szCs w:val="22"/>
        </w:rPr>
        <w:t xml:space="preserve">Dimensiona a posicao com base na volatilidade do instrumento, tipicamente usando ATR. Posicao = (Capital * Risco%) / (ATR * multiplicador). Em vez de um stop loss fixo em pips, o stop loss e definido como multiplicador do ATR (ex: 2*ATR). Se ATR e grande (alta volatilidade), a posicao e menor; se ATR e pequeno (baixa volatilidade), a posicao e maior. O resultado e que o risco dolar por trade e mantido constante em termos de volatilidade, nao em termos de distancia absoluta.</w:t>
      </w:r>
    </w:p>
    <w:p>
      <w:pPr>
        <w:spacing w:after="120" w:line="312"/>
        <w:jc w:val="both"/>
      </w:pPr>
      <w:r>
        <w:rPr>
          <w:rFonts w:ascii="Times New Roman"/>
          <w:b/>
          <w:bCs/>
          <w:color w:val="1C1C1C"/>
          <w:sz w:val="22"/>
          <w:szCs w:val="22"/>
        </w:rPr>
        <w:t xml:space="preserve">ATR Position Sizing: </w:t>
      </w:r>
      <w:r>
        <w:rPr>
          <w:rFonts w:ascii="Times New Roman"/>
          <w:color w:val="1C1C1C"/>
          <w:sz w:val="22"/>
          <w:szCs w:val="22"/>
        </w:rPr>
        <w:t xml:space="preserve">Variante especifica do volatility-based sizing. Stop = K * ATR (tipicamente K=1.5 ou 2). Posicao = Risco$ / (K * ATR * valor_pip). O ATR e calculado em janela rolante (tipicamente 14 ou 20 periodos) e atualizado diariamente. Esta abordagem adapta automaticamente o tamanho da posicao a mudancas de volatilidade do mercado, reduzindo exposicao em periodos volateis e aumentando em periodos calmos.</w:t>
      </w:r>
    </w:p>
    <w:p>
      <w:pPr>
        <w:pStyle w:val="Heading3"/>
        <w:spacing w:after="120" w:before="240" w:line="312"/>
      </w:pPr>
      <w:bookmarkStart w:id="100021" w:name="_Toc100021"/>
      <w:r>
        <w:rPr>
          <w:rFonts w:ascii="Times New Roman"/>
          <w:b/>
          <w:bCs/>
          <w:color w:val="333333"/>
          <w:sz w:val="24"/>
          <w:szCs w:val="24"/>
        </w:rPr>
        <w:t xml:space="preserve">5.2 Risco por Trade e Controle de Drawdown</w:t>
      </w:r>
      <w:bookmarkEnd w:id="100021"/>
    </w:p>
    <w:p>
      <w:pPr>
        <w:spacing w:after="120" w:line="312"/>
        <w:jc w:val="both"/>
      </w:pPr>
      <w:r>
        <w:rPr>
          <w:rFonts w:ascii="Times New Roman"/>
          <w:b/>
          <w:bCs/>
          <w:color w:val="1C1C1C"/>
          <w:sz w:val="22"/>
          <w:szCs w:val="22"/>
        </w:rPr>
        <w:t xml:space="preserve">Risk per Trade: </w:t>
      </w:r>
      <w:r>
        <w:rPr>
          <w:rFonts w:ascii="Times New Roman"/>
          <w:color w:val="1C1C1C"/>
          <w:sz w:val="22"/>
          <w:szCs w:val="22"/>
        </w:rPr>
        <w:t xml:space="preserve">O risco maximo por trade individual deve ser definido antes de qualquer operacao. Valores tipicos variam de 0.5% a 2% do capital. Valores acima de 2% por trade aumentam significativamente o risco de drawdown severo. A regra comum e: quanto mais incerta a estrategia ou mais novo o sistema, menor o risco por trade. Risk per trade esta diretamente relacionado ao Risk of Ruin: a probabilidade de perder uma fracao significativa do capital antes de atingir um objetivo de lucro.</w:t>
      </w:r>
    </w:p>
    <w:p>
      <w:pPr>
        <w:spacing w:after="120" w:line="312"/>
        <w:jc w:val="both"/>
      </w:pPr>
      <w:r>
        <w:rPr>
          <w:rFonts w:ascii="Times New Roman"/>
          <w:b/>
          <w:bCs/>
          <w:color w:val="1C1C1C"/>
          <w:sz w:val="22"/>
          <w:szCs w:val="22"/>
        </w:rPr>
        <w:t xml:space="preserve">Risk of Ruin: </w:t>
      </w:r>
      <w:r>
        <w:rPr>
          <w:rFonts w:ascii="Times New Roman"/>
          <w:color w:val="1C1C1C"/>
          <w:sz w:val="22"/>
          <w:szCs w:val="22"/>
        </w:rPr>
        <w:t xml:space="preserve">Probabilidade de o capital cair abaixo de um nivel critico (frequentemente definido como incapacidade de continuar operando). Para um sistema com win rate w e payoff ratio p (media dos ganhos / media das perdas), o Risk of Ruin pode ser estimado. Se w * p &lt; (1 - w), ou seja, se a expectativa e negativa, o Risk of Ruin e 100% no longo prazo. Para sistemas com expectativa positiva, Risk of Ruin decresce exponencialmente com o aumento do numero de trades e com a reducao do risco por trade.</w:t>
      </w:r>
    </w:p>
    <w:p>
      <w:pPr>
        <w:spacing w:after="120" w:line="312"/>
        <w:jc w:val="both"/>
      </w:pPr>
      <w:r>
        <w:rPr>
          <w:rFonts w:ascii="Times New Roman"/>
          <w:b/>
          <w:bCs/>
          <w:color w:val="1C1C1C"/>
          <w:sz w:val="22"/>
          <w:szCs w:val="22"/>
        </w:rPr>
        <w:t xml:space="preserve">Maximum Drawdown: </w:t>
      </w:r>
      <w:r>
        <w:rPr>
          <w:rFonts w:ascii="Times New Roman"/>
          <w:color w:val="1C1C1C"/>
          <w:sz w:val="22"/>
          <w:szCs w:val="22"/>
        </w:rPr>
        <w:t xml:space="preserve">Maior perda cumulativa desde um pico de equidade ate o vale subsequente. MDD = max((Peak - Trough) / Peak). O MDD historico e uma medida conservadora de pior cenario, mas o MDD futuro pode exceder o historico. Um sistema com MDD de 20% exige 25% de ganho para recuperar; MDD de 50% exige 100% de ganho. Gestao pratica: definir um drawdown maximo toleravel (ex: 15%) e reduzir tamanho de posicao ou interromper operacoes quando este nivel for atingido.</w:t>
      </w:r>
    </w:p>
    <w:p>
      <w:pPr>
        <w:spacing w:after="120" w:line="312"/>
        <w:jc w:val="both"/>
      </w:pPr>
      <w:r>
        <w:rPr>
          <w:rFonts w:ascii="Times New Roman"/>
          <w:b/>
          <w:bCs/>
          <w:color w:val="1C1C1C"/>
          <w:sz w:val="22"/>
          <w:szCs w:val="22"/>
        </w:rPr>
        <w:t xml:space="preserve">Daily Loss Limit: </w:t>
      </w:r>
      <w:r>
        <w:rPr>
          <w:rFonts w:ascii="Times New Roman"/>
          <w:color w:val="1C1C1C"/>
          <w:sz w:val="22"/>
          <w:szCs w:val="22"/>
        </w:rPr>
        <w:t xml:space="preserve">Limite de perda diaria que, quando atingido, interrompe todas as operacoes do dia. Tipicamente definido como 2-3 vezes o risco por trade individual. Exemplo: risco por trade = 1%, daily loss limit = 3%. Apos tres perdas consecutivas (3% perdidos), o sistema para de operar. Este mecanismo evita revenge trading e protege contra dias adversos estatisticamente normais.</w:t>
      </w:r>
    </w:p>
    <w:p>
      <w:pPr>
        <w:pStyle w:val="Heading3"/>
        <w:spacing w:after="120" w:before="240" w:line="312"/>
      </w:pPr>
      <w:bookmarkStart w:id="100022" w:name="_Toc100022"/>
      <w:r>
        <w:rPr>
          <w:rFonts w:ascii="Times New Roman"/>
          <w:b/>
          <w:bCs/>
          <w:color w:val="333333"/>
          <w:sz w:val="24"/>
          <w:szCs w:val="24"/>
        </w:rPr>
        <w:t xml:space="preserve">5.3 Exposicao Correlacionada</w:t>
      </w:r>
      <w:bookmarkEnd w:id="100022"/>
    </w:p>
    <w:p>
      <w:pPr>
        <w:spacing w:after="120" w:line="312"/>
        <w:jc w:val="both"/>
      </w:pPr>
      <w:r>
        <w:rPr>
          <w:rFonts w:ascii="Times New Roman"/>
          <w:b/>
          <w:bCs/>
          <w:color w:val="1C1C1C"/>
          <w:sz w:val="22"/>
          <w:szCs w:val="22"/>
        </w:rPr>
        <w:t xml:space="preserve">Correlated Exposure: </w:t>
      </w:r>
      <w:r>
        <w:rPr>
          <w:rFonts w:ascii="Times New Roman"/>
          <w:color w:val="1C1C1C"/>
          <w:sz w:val="22"/>
          <w:szCs w:val="22"/>
        </w:rPr>
        <w:t xml:space="preserve">Abrir posicoes em multiplos pares correlacionados pode criar exposicao implicitamente muito maior que o pretendido. Exemplo: comprar EUR/USD e GBP/USD simultaneamente e equivalente a ter posicao aproximadamente dobrada contra o USD. A correlacao entre EUR/USD e GBP/USD e tipicamente alta (0.7-0.9). Se ambas as posicoes forem stopadas simultaneamente (cenario comum durante dados macroeconomicos americanos ruins), a perda combinada pode ser muito maior que o risk per trade sugeriria.</w:t>
      </w:r>
    </w:p>
    <w:p>
      <w:pPr>
        <w:spacing w:after="120" w:line="312"/>
        <w:jc w:val="both"/>
      </w:pPr>
      <w:r>
        <w:rPr>
          <w:rFonts w:ascii="Times New Roman"/>
          <w:b/>
          <w:bCs/>
          <w:color w:val="1C1C1C"/>
          <w:sz w:val="22"/>
          <w:szCs w:val="22"/>
        </w:rPr>
        <w:t xml:space="preserve">Portfolio Risk: </w:t>
      </w:r>
      <w:r>
        <w:rPr>
          <w:rFonts w:ascii="Times New Roman"/>
          <w:color w:val="1C1C1C"/>
          <w:sz w:val="22"/>
          <w:szCs w:val="22"/>
        </w:rPr>
        <w:t xml:space="preserve">Para gerenciar exposicao correlacionada, e necessario calcular a matriz de correlacao entre todos os pares ativos e limitar a exposicao total por 'bloco' correlacionado. Uma abordagem pratica: atribuir cada par a um 'grupo' de correlacao (USD, EUR, JPY, etc.) e limitar a exposicao total por grupo. Exemplo: exposicao maxima ao grupo USD = 3% do capital, mesmo que isso signifique nao abrir novas posicoes em pares USD.</w:t>
      </w:r>
    </w:p>
    <w:p>
      <w:pPr>
        <w:pStyle w:val="Heading3"/>
        <w:spacing w:after="120" w:before="240" w:line="312"/>
      </w:pPr>
      <w:bookmarkStart w:id="100023" w:name="_Toc100023"/>
      <w:r>
        <w:rPr>
          <w:rFonts w:ascii="Times New Roman"/>
          <w:b/>
          <w:bCs/>
          <w:color w:val="333333"/>
          <w:sz w:val="24"/>
          <w:szCs w:val="24"/>
        </w:rPr>
        <w:t xml:space="preserve">5.4 Stop Loss, Trailing Stop e Break Even</w:t>
      </w:r>
      <w:bookmarkEnd w:id="100023"/>
    </w:p>
    <w:p>
      <w:pPr>
        <w:spacing w:after="120" w:line="312"/>
        <w:jc w:val="both"/>
      </w:pPr>
      <w:r>
        <w:rPr>
          <w:rFonts w:ascii="Times New Roman"/>
          <w:b/>
          <w:bCs/>
          <w:color w:val="1C1C1C"/>
          <w:sz w:val="22"/>
          <w:szCs w:val="22"/>
        </w:rPr>
        <w:t xml:space="preserve">Stop Loss Baseado em ATR: </w:t>
      </w:r>
      <w:r>
        <w:rPr>
          <w:rFonts w:ascii="Times New Roman"/>
          <w:color w:val="1C1C1C"/>
          <w:sz w:val="22"/>
          <w:szCs w:val="22"/>
        </w:rPr>
        <w:t xml:space="preserve">SL = Entry - K * ATR[N] (para posicoes longas). K tipicamente 1.5 a 3. O stop baseado em ATR e adaptativo a volatilidade: em mercados volateis, o stop e mais largo (evitando stop out por ruido); em mercados calmos, o stop e mais estreito. Este metodo estatisticamente fundamentado reduz stops prematuros em mercados de alta volatilidade.</w:t>
      </w:r>
    </w:p>
    <w:p>
      <w:pPr>
        <w:spacing w:after="120" w:line="312"/>
        <w:jc w:val="both"/>
      </w:pPr>
      <w:r>
        <w:rPr>
          <w:rFonts w:ascii="Times New Roman"/>
          <w:b/>
          <w:bCs/>
          <w:color w:val="1C1C1C"/>
          <w:sz w:val="22"/>
          <w:szCs w:val="22"/>
        </w:rPr>
        <w:t xml:space="preserve">Trailing Stop: </w:t>
      </w:r>
      <w:r>
        <w:rPr>
          <w:rFonts w:ascii="Times New Roman"/>
          <w:color w:val="1C1C1C"/>
          <w:sz w:val="22"/>
          <w:szCs w:val="22"/>
        </w:rPr>
        <w:t xml:space="preserve">Stop loss que se move na direcao do trade a medida que o preco se move favoravelmente. Trailing_stop = Max(preco_favoravel - K * ATR, trailing_stop_anterior). O trailing stop 'tranca' lucros parciais enquanto permite que o trade continue capturando movimento direcional. A distancia do trailing (K) define o trade-off entre capturar mais movimento e proteger lucros ja realizados. Valores tipicos de K: 1.5 a 3 ATR.</w:t>
      </w:r>
    </w:p>
    <w:p>
      <w:pPr>
        <w:spacing w:after="120" w:line="312"/>
        <w:jc w:val="both"/>
      </w:pPr>
      <w:r>
        <w:rPr>
          <w:rFonts w:ascii="Times New Roman"/>
          <w:b/>
          <w:bCs/>
          <w:color w:val="1C1C1C"/>
          <w:sz w:val="22"/>
          <w:szCs w:val="22"/>
        </w:rPr>
        <w:t xml:space="preserve">Break Even Stop: </w:t>
      </w:r>
      <w:r>
        <w:rPr>
          <w:rFonts w:ascii="Times New Roman"/>
          <w:color w:val="1C1C1C"/>
          <w:sz w:val="22"/>
          <w:szCs w:val="22"/>
        </w:rPr>
        <w:t xml:space="preserve">Mover o stop loss para o ponto de entrada (breakeven) apos o preco se mover favoravelmente por uma distancia minima. Tipicamente: se o preco se move 1*R (onde R = distancia inicial do stop loss) a favor, move o stop para breakeven. Isto elimina o risco da posicao, mas tambem pode resultar em stop out em posicoes que posteriormente teriam sido lucrativas. O break even stop deve ser utilizado com cautela e de preferencia apenas apos um movimento significativo a favor.</w:t>
      </w:r>
    </w:p>
    <w:p>
      <w:pPr>
        <w:pStyle w:val="Heading3"/>
        <w:spacing w:after="120" w:before="240" w:line="312"/>
      </w:pPr>
      <w:bookmarkStart w:id="100024" w:name="_Toc100024"/>
      <w:r>
        <w:rPr>
          <w:rFonts w:ascii="Times New Roman"/>
          <w:b/>
          <w:bCs/>
          <w:color w:val="333333"/>
          <w:sz w:val="24"/>
          <w:szCs w:val="24"/>
        </w:rPr>
        <w:t xml:space="preserve">5.5 R-Multiple e Risk/Reward</w:t>
      </w:r>
      <w:bookmarkEnd w:id="100024"/>
    </w:p>
    <w:p>
      <w:pPr>
        <w:spacing w:after="120" w:line="312"/>
        <w:jc w:val="both"/>
      </w:pPr>
      <w:r>
        <w:rPr>
          <w:rFonts w:ascii="Times New Roman"/>
          <w:b/>
          <w:bCs/>
          <w:color w:val="1C1C1C"/>
          <w:sz w:val="22"/>
          <w:szCs w:val="22"/>
        </w:rPr>
        <w:t xml:space="preserve">R-Multiple: </w:t>
      </w:r>
      <w:r>
        <w:rPr>
          <w:rFonts w:ascii="Times New Roman"/>
          <w:color w:val="1C1C1C"/>
          <w:sz w:val="22"/>
          <w:szCs w:val="22"/>
        </w:rPr>
        <w:t xml:space="preserve">Resultado de um trade expresso em multiplos do risco inicial. Se o risco por trade e $100 e o ganho foi $300, o R-multiple e +3R. Se a perda foi $100, o R-multiple e -1R. O R-multiple permite avaliar trades de forma normalizada, independentemente do tamanho da posicao. Uma estrategia com media de R-multiple positiva e lucrativa no longo prazo. A expectativa do sistema e a soma de: (probabilidade de ganho * ganho medio em R) - (probabilidade de perda * perda media em R).</w:t>
      </w:r>
    </w:p>
    <w:p>
      <w:pPr>
        <w:spacing w:after="120" w:line="312"/>
        <w:jc w:val="both"/>
      </w:pPr>
      <w:r>
        <w:rPr>
          <w:rFonts w:ascii="Times New Roman"/>
          <w:b/>
          <w:bCs/>
          <w:color w:val="1C1C1C"/>
          <w:sz w:val="22"/>
          <w:szCs w:val="22"/>
        </w:rPr>
        <w:t xml:space="preserve">Risk/Reward: </w:t>
      </w:r>
      <w:r>
        <w:rPr>
          <w:rFonts w:ascii="Times New Roman"/>
          <w:color w:val="1C1C1C"/>
          <w:sz w:val="22"/>
          <w:szCs w:val="22"/>
        </w:rPr>
        <w:t xml:space="preserve">Relacao entre o risco assumido e a recompensa esperada. Um R:R de 1:3 significa que para cada $1 arriscado, espera-se ganhar $3. Estrategias com win rate mais baixas (ex: 35%) podem ser lucrativas com R:R elevados (ex: 1:3). Win rate de 35% com R:R de 1:3 gera expectativa de 35% * 3 - 65% * 1 = 1.05 - 0.65 = +0.40R por trade (lucrativa). O R:R deve ser definido com base em dados estatisticos do backtest, nao arbitrariamente.</w:t>
      </w:r>
    </w:p>
    <w:p>
      <w:pPr>
        <w:pStyle w:val="Heading3"/>
        <w:spacing w:after="120" w:before="240" w:line="312"/>
      </w:pPr>
      <w:bookmarkStart w:id="100025" w:name="_Toc100025"/>
      <w:r>
        <w:rPr>
          <w:rFonts w:ascii="Times New Roman"/>
          <w:b/>
          <w:bCs/>
          <w:color w:val="333333"/>
          <w:sz w:val="24"/>
          <w:szCs w:val="24"/>
        </w:rPr>
        <w:t xml:space="preserve">5.6 Riscos de Abordagens Perigosas</w:t>
      </w:r>
      <w:bookmarkEnd w:id="100025"/>
    </w:p>
    <w:p>
      <w:pPr>
        <w:spacing w:after="120" w:line="312"/>
        <w:jc w:val="both"/>
      </w:pPr>
      <w:r>
        <w:rPr>
          <w:rFonts w:ascii="Times New Roman"/>
          <w:b/>
          <w:bCs/>
          <w:color w:val="1C1C1C"/>
          <w:sz w:val="22"/>
          <w:szCs w:val="22"/>
        </w:rPr>
        <w:t xml:space="preserve">Martingale: </w:t>
      </w:r>
      <w:r>
        <w:rPr>
          <w:rFonts w:ascii="Times New Roman"/>
          <w:color w:val="1C1C1C"/>
          <w:sz w:val="22"/>
          <w:szCs w:val="22"/>
        </w:rPr>
        <w:t xml:space="preserve">Dobrar o tamanho da posicao apos cada perda. Inicialmente proposto como sistema de apostas, e matematicamente catastrofico para trading. Apos N perdas consecutivas, a posicao sera 2^N vezes o tamanho original. Com apenas 10 perdas consecutivas, a posicao sera 1024 vezes o tamanho original. Com capital finito, a probabilidade de ruina e 100% no longo prazo. Mesmo com capital teoricamente infinito, o expected value permanece o mesmo (apenas a variabilidade muda). O martingale nao altera a expectativa do sistema, apenas redistribui os resultados para poucos ganhos grandes e muitas perdas pequenas, com risco de perda catastrofica.</w:t>
      </w:r>
    </w:p>
    <w:p>
      <w:pPr>
        <w:spacing w:after="120" w:line="312"/>
        <w:jc w:val="both"/>
      </w:pPr>
      <w:r>
        <w:rPr>
          <w:rFonts w:ascii="Times New Roman"/>
          <w:b/>
          <w:bCs/>
          <w:color w:val="1C1C1C"/>
          <w:sz w:val="22"/>
          <w:szCs w:val="22"/>
        </w:rPr>
        <w:t xml:space="preserve">Grid Trading: </w:t>
      </w:r>
      <w:r>
        <w:rPr>
          <w:rFonts w:ascii="Times New Roman"/>
          <w:color w:val="1C1C1C"/>
          <w:sz w:val="22"/>
          <w:szCs w:val="22"/>
        </w:rPr>
        <w:t xml:space="preserve">Colocar ordens de compra e venda em intervalos fixos acima e abaixo do preco atual. Em mercados direcionais fortes, o grid acumula perdas em uma direcao enquanto captura pequenos ganhos na outra. Em teoria, o grid eventualmente fecha com lucro se o mercado reverte, mas drawdowns intermediarios podem ser enormes. O grid sem stop loss e equivalente a martingale disfarcado: em uma tendencia sustentada, as posicoes perdedoras acumulam sem limite. O grid com stop loss controlado pode funcionar em mercados range-bound, mas requer gestao de risco rigorosa.</w:t>
      </w:r>
    </w:p>
    <w:p>
      <w:pPr>
        <w:spacing w:after="120" w:line="312"/>
        <w:jc w:val="both"/>
      </w:pPr>
      <w:r>
        <w:rPr>
          <w:rFonts w:ascii="Times New Roman"/>
          <w:b/>
          <w:bCs/>
          <w:color w:val="1C1C1C"/>
          <w:sz w:val="22"/>
          <w:szCs w:val="22"/>
        </w:rPr>
        <w:t xml:space="preserve">Averaging Down: </w:t>
      </w:r>
      <w:r>
        <w:rPr>
          <w:rFonts w:ascii="Times New Roman"/>
          <w:color w:val="1C1C1C"/>
          <w:sz w:val="22"/>
          <w:szCs w:val="22"/>
        </w:rPr>
        <w:t xml:space="preserve">Adicionar a uma posicao perdedora a precos melhores, reduzindo o preco medio de entrada. Embora possa parecer racional, averaging down viola o principio de cortar perdas rapidamente. Se a analise original estava errada, nao ha razao para adicionar mais capital a uma posicao que ja esta perdendo. Em casos extremos, averaging down sem limite e matematicamente equivalente ao martingale. A excecao seria quando houve uma mudanca legitima na analise que justifica uma entrada maior a um preco melhor, mas isto requer disciplina excepcional para nao se tornar justificacao emocional para nao aceitar perdas.</w:t>
      </w:r>
    </w:p>
    <w:p>
      <w:pPr>
        <w:pStyle w:val="Heading2"/>
        <w:spacing w:after="160" w:before="360" w:line="312"/>
      </w:pPr>
      <w:bookmarkStart w:id="100026" w:name="_Toc100026"/>
      <w:r>
        <w:rPr>
          <w:rFonts w:ascii="Times New Roman"/>
          <w:b/>
          <w:bCs/>
          <w:color w:val="1A1A1A"/>
          <w:sz w:val="28"/>
          <w:szCs w:val="28"/>
        </w:rPr>
        <w:t xml:space="preserve">6. Metricas de Avaliacao de Estrategias</w:t>
      </w:r>
      <w:bookmarkEnd w:id="100026"/>
    </w:p>
    <w:p>
      <w:pPr>
        <w:spacing w:after="120" w:line="312"/>
        <w:jc w:val="both"/>
      </w:pPr>
      <w:r>
        <w:rPr>
          <w:rFonts w:ascii="Times New Roman"/>
          <w:color w:val="1C1C1C"/>
          <w:sz w:val="22"/>
          <w:szCs w:val="22"/>
        </w:rPr>
        <w:t xml:space="preserve">A avaliacao de uma estrategia de trading requer um conjunto de metricas complementares. Nenhuma metrica individual e suficiente para avaliar a qualidade de um sistema; e a analise conjunta que permite um julgamento informado.</w:t>
      </w:r>
    </w:p>
    <w:p>
      <w:pPr>
        <w:keepNext/>
        <w:spacing w:after="80"/>
      </w:pPr>
      <w:r>
        <w:rPr>
          <w:rFonts w:ascii="Times New Roman"/>
          <w:b/>
          <w:bCs/>
          <w:i/>
          <w:iCs/>
          <w:color w:val="555555"/>
          <w:sz w:val="20"/>
          <w:szCs w:val="20"/>
        </w:rPr>
        <w:t xml:space="preserve">Tabela 3: Metricas de avaliacao de estrategias quantitativas</w:t>
      </w:r>
    </w:p>
    <w:tbl>
      <w:tblPr>
        <w:tblW w:type="pct" w:w="100%"/>
        <w:tblBorders>
          <w:top w:val="single" w:color="C9A84C" w:sz="2"/>
          <w:left w:val="none"/>
          <w:bottom w:val="single" w:color="C9A84C" w:sz="2"/>
          <w:right w:val="none"/>
          <w:insideH w:val="single" w:color="DDD5C0" w:sz="1"/>
          <w:insideV w:val="none"/>
        </w:tblBorders>
      </w:tblPr>
      <w:tblGrid>
        <w:gridCol w:w="100"/>
        <w:gridCol w:w="100"/>
        <w:gridCol w:w="100"/>
        <w:gridCol w:w="100"/>
      </w:tblGrid>
      <w:tr>
        <w:trPr>
          <w:cantSplit/>
          <w:tblHeader/>
        </w:trPr>
        <w:tc>
          <w:tcPr>
            <w:tcW w:type="pct" w:w="25%"/>
            <w:shd w:fill="C9A84C" w:val="clear"/>
            <w:tcMar>
              <w:top w:type="dxa" w:w="50"/>
              <w:left w:type="dxa" w:w="100"/>
              <w:bottom w:type="dxa" w:w="50"/>
              <w:right w:type="dxa" w:w="100"/>
            </w:tcMar>
          </w:tcPr>
          <w:p>
            <w:pPr>
              <w:jc w:val="center"/>
            </w:pPr>
            <w:r>
              <w:rPr>
                <w:rFonts w:ascii="Calibri"/>
                <w:b/>
                <w:bCs/>
                <w:color w:val="1A1A1A"/>
                <w:sz w:val="20"/>
                <w:szCs w:val="20"/>
              </w:rPr>
              <w:t xml:space="preserve">Metrica</w:t>
            </w:r>
          </w:p>
        </w:tc>
        <w:tc>
          <w:tcPr>
            <w:tcW w:type="pct" w:w="25%"/>
            <w:shd w:fill="C9A84C" w:val="clear"/>
            <w:tcMar>
              <w:top w:type="dxa" w:w="50"/>
              <w:left w:type="dxa" w:w="100"/>
              <w:bottom w:type="dxa" w:w="50"/>
              <w:right w:type="dxa" w:w="100"/>
            </w:tcMar>
          </w:tcPr>
          <w:p>
            <w:pPr>
              <w:jc w:val="center"/>
            </w:pPr>
            <w:r>
              <w:rPr>
                <w:rFonts w:ascii="Calibri"/>
                <w:b/>
                <w:bCs/>
                <w:color w:val="1A1A1A"/>
                <w:sz w:val="20"/>
                <w:szCs w:val="20"/>
              </w:rPr>
              <w:t xml:space="preserve">Formula / Definicao</w:t>
            </w:r>
          </w:p>
        </w:tc>
        <w:tc>
          <w:tcPr>
            <w:tcW w:type="pct" w:w="25%"/>
            <w:shd w:fill="C9A84C" w:val="clear"/>
            <w:tcMar>
              <w:top w:type="dxa" w:w="50"/>
              <w:left w:type="dxa" w:w="100"/>
              <w:bottom w:type="dxa" w:w="50"/>
              <w:right w:type="dxa" w:w="100"/>
            </w:tcMar>
          </w:tcPr>
          <w:p>
            <w:pPr>
              <w:jc w:val="center"/>
            </w:pPr>
            <w:r>
              <w:rPr>
                <w:rFonts w:ascii="Calibri"/>
                <w:b/>
                <w:bCs/>
                <w:color w:val="1A1A1A"/>
                <w:sz w:val="20"/>
                <w:szCs w:val="20"/>
              </w:rPr>
              <w:t xml:space="preserve">Interpretacao</w:t>
            </w:r>
          </w:p>
        </w:tc>
        <w:tc>
          <w:tcPr>
            <w:tcW w:type="pct" w:w="25%"/>
            <w:shd w:fill="C9A84C" w:val="clear"/>
            <w:tcMar>
              <w:top w:type="dxa" w:w="50"/>
              <w:left w:type="dxa" w:w="100"/>
              <w:bottom w:type="dxa" w:w="50"/>
              <w:right w:type="dxa" w:w="100"/>
            </w:tcMar>
          </w:tcPr>
          <w:p>
            <w:pPr>
              <w:jc w:val="center"/>
            </w:pPr>
            <w:r>
              <w:rPr>
                <w:rFonts w:ascii="Calibri"/>
                <w:b/>
                <w:bCs/>
                <w:color w:val="1A1A1A"/>
                <w:sz w:val="20"/>
                <w:szCs w:val="20"/>
              </w:rPr>
              <w:t xml:space="preserve">Valor de Referencia</w:t>
            </w:r>
          </w:p>
        </w:tc>
      </w:tr>
      <w:tr>
        <w:trPr>
          <w:cantSplit/>
        </w:trPr>
        <w:tc>
          <w:tcPr>
            <w:tcW w:type="pct" w:w="25%"/>
            <w:shd w:fill="F5F2E8" w:val="clear"/>
            <w:tcMar>
              <w:top w:type="dxa" w:w="40"/>
              <w:left w:type="dxa" w:w="100"/>
              <w:bottom w:type="dxa" w:w="40"/>
              <w:right w:type="dxa" w:w="100"/>
            </w:tcMar>
          </w:tcPr>
          <w:p>
            <w:pPr>
              <w:spacing w:after="40"/>
            </w:pPr>
            <w:r>
              <w:rPr>
                <w:rFonts w:ascii="Calibri"/>
                <w:color w:val="1C1C1C"/>
                <w:sz w:val="20"/>
                <w:szCs w:val="20"/>
              </w:rPr>
              <w:t xml:space="preserve">Win Rate</w:t>
            </w:r>
          </w:p>
        </w:tc>
        <w:tc>
          <w:tcPr>
            <w:tcW w:type="pct" w:w="25%"/>
            <w:shd w:fill="F5F2E8" w:val="clear"/>
            <w:tcMar>
              <w:top w:type="dxa" w:w="40"/>
              <w:left w:type="dxa" w:w="100"/>
              <w:bottom w:type="dxa" w:w="40"/>
              <w:right w:type="dxa" w:w="100"/>
            </w:tcMar>
          </w:tcPr>
          <w:p>
            <w:pPr>
              <w:spacing w:after="40"/>
            </w:pPr>
            <w:r>
              <w:rPr>
                <w:rFonts w:ascii="Calibri"/>
                <w:color w:val="1C1C1C"/>
                <w:sz w:val="20"/>
                <w:szCs w:val="20"/>
              </w:rPr>
              <w:t xml:space="preserve">Trades vencedores / Total</w:t>
            </w:r>
          </w:p>
        </w:tc>
        <w:tc>
          <w:tcPr>
            <w:tcW w:type="pct" w:w="25%"/>
            <w:shd w:fill="F5F2E8" w:val="clear"/>
            <w:tcMar>
              <w:top w:type="dxa" w:w="40"/>
              <w:left w:type="dxa" w:w="100"/>
              <w:bottom w:type="dxa" w:w="40"/>
              <w:right w:type="dxa" w:w="100"/>
            </w:tcMar>
          </w:tcPr>
          <w:p>
            <w:pPr>
              <w:spacing w:after="40"/>
            </w:pPr>
            <w:r>
              <w:rPr>
                <w:rFonts w:ascii="Calibri"/>
                <w:color w:val="1C1C1C"/>
                <w:sz w:val="20"/>
                <w:szCs w:val="20"/>
              </w:rPr>
              <w:t xml:space="preserve">% de trades que fecham em lucro</w:t>
            </w:r>
          </w:p>
        </w:tc>
        <w:tc>
          <w:tcPr>
            <w:tcW w:type="pct" w:w="25%"/>
            <w:shd w:fill="F5F2E8" w:val="clear"/>
            <w:tcMar>
              <w:top w:type="dxa" w:w="40"/>
              <w:left w:type="dxa" w:w="100"/>
              <w:bottom w:type="dxa" w:w="40"/>
              <w:right w:type="dxa" w:w="100"/>
            </w:tcMar>
          </w:tcPr>
          <w:p>
            <w:pPr>
              <w:spacing w:after="40"/>
            </w:pPr>
            <w:r>
              <w:rPr>
                <w:rFonts w:ascii="Calibri"/>
                <w:color w:val="1C1C1C"/>
                <w:sz w:val="20"/>
                <w:szCs w:val="20"/>
              </w:rPr>
              <w:t xml:space="preserve">40-60% (depende do R:R)</w:t>
            </w:r>
          </w:p>
        </w:tc>
      </w:tr>
      <w:tr>
        <w:trPr>
          <w:cantSplit/>
        </w:trPr>
        <w:tc>
          <w:tcPr>
            <w:tcW w:type="pct" w:w="25%"/>
            <w:shd w:fill="FFFFFF" w:val="clear"/>
            <w:tcMar>
              <w:top w:type="dxa" w:w="40"/>
              <w:left w:type="dxa" w:w="100"/>
              <w:bottom w:type="dxa" w:w="40"/>
              <w:right w:type="dxa" w:w="100"/>
            </w:tcMar>
          </w:tcPr>
          <w:p>
            <w:pPr>
              <w:spacing w:after="40"/>
            </w:pPr>
            <w:r>
              <w:rPr>
                <w:rFonts w:ascii="Calibri"/>
                <w:color w:val="1C1C1C"/>
                <w:sz w:val="20"/>
                <w:szCs w:val="20"/>
              </w:rPr>
              <w:t xml:space="preserve">Profit Factor</w:t>
            </w:r>
          </w:p>
        </w:tc>
        <w:tc>
          <w:tcPr>
            <w:tcW w:type="pct" w:w="25%"/>
            <w:shd w:fill="FFFFFF" w:val="clear"/>
            <w:tcMar>
              <w:top w:type="dxa" w:w="40"/>
              <w:left w:type="dxa" w:w="100"/>
              <w:bottom w:type="dxa" w:w="40"/>
              <w:right w:type="dxa" w:w="100"/>
            </w:tcMar>
          </w:tcPr>
          <w:p>
            <w:pPr>
              <w:spacing w:after="40"/>
            </w:pPr>
            <w:r>
              <w:rPr>
                <w:rFonts w:ascii="Calibri"/>
                <w:color w:val="1C1C1C"/>
                <w:sz w:val="20"/>
                <w:szCs w:val="20"/>
              </w:rPr>
              <w:t xml:space="preserve">Ganho total / Perda total</w:t>
            </w:r>
          </w:p>
        </w:tc>
        <w:tc>
          <w:tcPr>
            <w:tcW w:type="pct" w:w="25%"/>
            <w:shd w:fill="FFFFFF" w:val="clear"/>
            <w:tcMar>
              <w:top w:type="dxa" w:w="40"/>
              <w:left w:type="dxa" w:w="100"/>
              <w:bottom w:type="dxa" w:w="40"/>
              <w:right w:type="dxa" w:w="100"/>
            </w:tcMar>
          </w:tcPr>
          <w:p>
            <w:pPr>
              <w:spacing w:after="40"/>
            </w:pPr>
            <w:r>
              <w:rPr>
                <w:rFonts w:ascii="Calibri"/>
                <w:color w:val="1C1C1C"/>
                <w:sz w:val="20"/>
                <w:szCs w:val="20"/>
              </w:rPr>
              <w:t xml:space="preserve">Liquidez bruta; &gt;1 = lucrativo</w:t>
            </w:r>
          </w:p>
        </w:tc>
        <w:tc>
          <w:tcPr>
            <w:tcW w:type="pct" w:w="25%"/>
            <w:shd w:fill="FFFFFF" w:val="clear"/>
            <w:tcMar>
              <w:top w:type="dxa" w:w="40"/>
              <w:left w:type="dxa" w:w="100"/>
              <w:bottom w:type="dxa" w:w="40"/>
              <w:right w:type="dxa" w:w="100"/>
            </w:tcMar>
          </w:tcPr>
          <w:p>
            <w:pPr>
              <w:spacing w:after="40"/>
            </w:pPr>
            <w:r>
              <w:rPr>
                <w:rFonts w:ascii="Calibri"/>
                <w:color w:val="1C1C1C"/>
                <w:sz w:val="20"/>
                <w:szCs w:val="20"/>
              </w:rPr>
              <w:t xml:space="preserve">&gt; 1.5 (robusto)</w:t>
            </w:r>
          </w:p>
        </w:tc>
      </w:tr>
      <w:tr>
        <w:trPr>
          <w:cantSplit/>
        </w:trPr>
        <w:tc>
          <w:tcPr>
            <w:tcW w:type="pct" w:w="25%"/>
            <w:shd w:fill="F5F2E8" w:val="clear"/>
            <w:tcMar>
              <w:top w:type="dxa" w:w="40"/>
              <w:left w:type="dxa" w:w="100"/>
              <w:bottom w:type="dxa" w:w="40"/>
              <w:right w:type="dxa" w:w="100"/>
            </w:tcMar>
          </w:tcPr>
          <w:p>
            <w:pPr>
              <w:spacing w:after="40"/>
            </w:pPr>
            <w:r>
              <w:rPr>
                <w:rFonts w:ascii="Calibri"/>
                <w:color w:val="1C1C1C"/>
                <w:sz w:val="20"/>
                <w:szCs w:val="20"/>
              </w:rPr>
              <w:t xml:space="preserve">Expectancy</w:t>
            </w:r>
          </w:p>
        </w:tc>
        <w:tc>
          <w:tcPr>
            <w:tcW w:type="pct" w:w="25%"/>
            <w:shd w:fill="F5F2E8" w:val="clear"/>
            <w:tcMar>
              <w:top w:type="dxa" w:w="40"/>
              <w:left w:type="dxa" w:w="100"/>
              <w:bottom w:type="dxa" w:w="40"/>
              <w:right w:type="dxa" w:w="100"/>
            </w:tcMar>
          </w:tcPr>
          <w:p>
            <w:pPr>
              <w:spacing w:after="40"/>
            </w:pPr>
            <w:r>
              <w:rPr>
                <w:rFonts w:ascii="Calibri"/>
                <w:color w:val="1C1C1C"/>
                <w:sz w:val="20"/>
                <w:szCs w:val="20"/>
              </w:rPr>
              <w:t xml:space="preserve">WR * AvgWin - LR * AvgLoss</w:t>
            </w:r>
          </w:p>
        </w:tc>
        <w:tc>
          <w:tcPr>
            <w:tcW w:type="pct" w:w="25%"/>
            <w:shd w:fill="F5F2E8" w:val="clear"/>
            <w:tcMar>
              <w:top w:type="dxa" w:w="40"/>
              <w:left w:type="dxa" w:w="100"/>
              <w:bottom w:type="dxa" w:w="40"/>
              <w:right w:type="dxa" w:w="100"/>
            </w:tcMar>
          </w:tcPr>
          <w:p>
            <w:pPr>
              <w:spacing w:after="40"/>
            </w:pPr>
            <w:r>
              <w:rPr>
                <w:rFonts w:ascii="Calibri"/>
                <w:color w:val="1C1C1C"/>
                <w:sz w:val="20"/>
                <w:szCs w:val="20"/>
              </w:rPr>
              <w:t xml:space="preserve">Lucro medio por trade (em $)</w:t>
            </w:r>
          </w:p>
        </w:tc>
        <w:tc>
          <w:tcPr>
            <w:tcW w:type="pct" w:w="25%"/>
            <w:shd w:fill="F5F2E8" w:val="clear"/>
            <w:tcMar>
              <w:top w:type="dxa" w:w="40"/>
              <w:left w:type="dxa" w:w="100"/>
              <w:bottom w:type="dxa" w:w="40"/>
              <w:right w:type="dxa" w:w="100"/>
            </w:tcMar>
          </w:tcPr>
          <w:p>
            <w:pPr>
              <w:spacing w:after="40"/>
            </w:pPr>
            <w:r>
              <w:rPr>
                <w:rFonts w:ascii="Calibri"/>
                <w:color w:val="1C1C1C"/>
                <w:sz w:val="20"/>
                <w:szCs w:val="20"/>
              </w:rPr>
              <w:t xml:space="preserve">&gt; 0 (obrigatorio)</w:t>
            </w:r>
          </w:p>
        </w:tc>
      </w:tr>
      <w:tr>
        <w:trPr>
          <w:cantSplit/>
        </w:trPr>
        <w:tc>
          <w:tcPr>
            <w:tcW w:type="pct" w:w="25%"/>
            <w:shd w:fill="FFFFFF" w:val="clear"/>
            <w:tcMar>
              <w:top w:type="dxa" w:w="40"/>
              <w:left w:type="dxa" w:w="100"/>
              <w:bottom w:type="dxa" w:w="40"/>
              <w:right w:type="dxa" w:w="100"/>
            </w:tcMar>
          </w:tcPr>
          <w:p>
            <w:pPr>
              <w:spacing w:after="40"/>
            </w:pPr>
            <w:r>
              <w:rPr>
                <w:rFonts w:ascii="Calibri"/>
                <w:color w:val="1C1C1C"/>
                <w:sz w:val="20"/>
                <w:szCs w:val="20"/>
              </w:rPr>
              <w:t xml:space="preserve">Payoff Ratio</w:t>
            </w:r>
          </w:p>
        </w:tc>
        <w:tc>
          <w:tcPr>
            <w:tcW w:type="pct" w:w="25%"/>
            <w:shd w:fill="FFFFFF" w:val="clear"/>
            <w:tcMar>
              <w:top w:type="dxa" w:w="40"/>
              <w:left w:type="dxa" w:w="100"/>
              <w:bottom w:type="dxa" w:w="40"/>
              <w:right w:type="dxa" w:w="100"/>
            </w:tcMar>
          </w:tcPr>
          <w:p>
            <w:pPr>
              <w:spacing w:after="40"/>
            </w:pPr>
            <w:r>
              <w:rPr>
                <w:rFonts w:ascii="Calibri"/>
                <w:color w:val="1C1C1C"/>
                <w:sz w:val="20"/>
                <w:szCs w:val="20"/>
              </w:rPr>
              <w:t xml:space="preserve">AvgWin / AvgLoss</w:t>
            </w:r>
          </w:p>
        </w:tc>
        <w:tc>
          <w:tcPr>
            <w:tcW w:type="pct" w:w="25%"/>
            <w:shd w:fill="FFFFFF" w:val="clear"/>
            <w:tcMar>
              <w:top w:type="dxa" w:w="40"/>
              <w:left w:type="dxa" w:w="100"/>
              <w:bottom w:type="dxa" w:w="40"/>
              <w:right w:type="dxa" w:w="100"/>
            </w:tcMar>
          </w:tcPr>
          <w:p>
            <w:pPr>
              <w:spacing w:after="40"/>
            </w:pPr>
            <w:r>
              <w:rPr>
                <w:rFonts w:ascii="Calibri"/>
                <w:color w:val="1C1C1C"/>
                <w:sz w:val="20"/>
                <w:szCs w:val="20"/>
              </w:rPr>
              <w:t xml:space="preserve">Compensacao por perda</w:t>
            </w:r>
          </w:p>
        </w:tc>
        <w:tc>
          <w:tcPr>
            <w:tcW w:type="pct" w:w="25%"/>
            <w:shd w:fill="FFFFFF" w:val="clear"/>
            <w:tcMar>
              <w:top w:type="dxa" w:w="40"/>
              <w:left w:type="dxa" w:w="100"/>
              <w:bottom w:type="dxa" w:w="40"/>
              <w:right w:type="dxa" w:w="100"/>
            </w:tcMar>
          </w:tcPr>
          <w:p>
            <w:pPr>
              <w:spacing w:after="40"/>
            </w:pPr>
            <w:r>
              <w:rPr>
                <w:rFonts w:ascii="Calibri"/>
                <w:color w:val="1C1C1C"/>
                <w:sz w:val="20"/>
                <w:szCs w:val="20"/>
              </w:rPr>
              <w:t xml:space="preserve">&gt; 1.5 (ideal)</w:t>
            </w:r>
          </w:p>
        </w:tc>
      </w:tr>
      <w:tr>
        <w:trPr>
          <w:cantSplit/>
        </w:trPr>
        <w:tc>
          <w:tcPr>
            <w:tcW w:type="pct" w:w="25%"/>
            <w:shd w:fill="F5F2E8" w:val="clear"/>
            <w:tcMar>
              <w:top w:type="dxa" w:w="40"/>
              <w:left w:type="dxa" w:w="100"/>
              <w:bottom w:type="dxa" w:w="40"/>
              <w:right w:type="dxa" w:w="100"/>
            </w:tcMar>
          </w:tcPr>
          <w:p>
            <w:pPr>
              <w:spacing w:after="40"/>
            </w:pPr>
            <w:r>
              <w:rPr>
                <w:rFonts w:ascii="Calibri"/>
                <w:color w:val="1C1C1C"/>
                <w:sz w:val="20"/>
                <w:szCs w:val="20"/>
              </w:rPr>
              <w:t xml:space="preserve">Max Drawdown</w:t>
            </w:r>
          </w:p>
        </w:tc>
        <w:tc>
          <w:tcPr>
            <w:tcW w:type="pct" w:w="25%"/>
            <w:shd w:fill="F5F2E8" w:val="clear"/>
            <w:tcMar>
              <w:top w:type="dxa" w:w="40"/>
              <w:left w:type="dxa" w:w="100"/>
              <w:bottom w:type="dxa" w:w="40"/>
              <w:right w:type="dxa" w:w="100"/>
            </w:tcMar>
          </w:tcPr>
          <w:p>
            <w:pPr>
              <w:spacing w:after="40"/>
            </w:pPr>
            <w:r>
              <w:rPr>
                <w:rFonts w:ascii="Calibri"/>
                <w:color w:val="1C1C1C"/>
                <w:sz w:val="20"/>
                <w:szCs w:val="20"/>
              </w:rPr>
              <w:t xml:space="preserve">max((Peak-Trough)/Peak)</w:t>
            </w:r>
          </w:p>
        </w:tc>
        <w:tc>
          <w:tcPr>
            <w:tcW w:type="pct" w:w="25%"/>
            <w:shd w:fill="F5F2E8" w:val="clear"/>
            <w:tcMar>
              <w:top w:type="dxa" w:w="40"/>
              <w:left w:type="dxa" w:w="100"/>
              <w:bottom w:type="dxa" w:w="40"/>
              <w:right w:type="dxa" w:w="100"/>
            </w:tcMar>
          </w:tcPr>
          <w:p>
            <w:pPr>
              <w:spacing w:after="40"/>
            </w:pPr>
            <w:r>
              <w:rPr>
                <w:rFonts w:ascii="Calibri"/>
                <w:color w:val="1C1C1C"/>
                <w:sz w:val="20"/>
                <w:szCs w:val="20"/>
              </w:rPr>
              <w:t xml:space="preserve">Pior perda desde pico</w:t>
            </w:r>
          </w:p>
        </w:tc>
        <w:tc>
          <w:tcPr>
            <w:tcW w:type="pct" w:w="25%"/>
            <w:shd w:fill="F5F2E8" w:val="clear"/>
            <w:tcMar>
              <w:top w:type="dxa" w:w="40"/>
              <w:left w:type="dxa" w:w="100"/>
              <w:bottom w:type="dxa" w:w="40"/>
              <w:right w:type="dxa" w:w="100"/>
            </w:tcMar>
          </w:tcPr>
          <w:p>
            <w:pPr>
              <w:spacing w:after="40"/>
            </w:pPr>
            <w:r>
              <w:rPr>
                <w:rFonts w:ascii="Calibri"/>
                <w:color w:val="1C1C1C"/>
                <w:sz w:val="20"/>
                <w:szCs w:val="20"/>
              </w:rPr>
              <w:t xml:space="preserve">&lt; 20% (conservador)</w:t>
            </w:r>
          </w:p>
        </w:tc>
      </w:tr>
      <w:tr>
        <w:trPr>
          <w:cantSplit/>
        </w:trPr>
        <w:tc>
          <w:tcPr>
            <w:tcW w:type="pct" w:w="25%"/>
            <w:shd w:fill="FFFFFF" w:val="clear"/>
            <w:tcMar>
              <w:top w:type="dxa" w:w="40"/>
              <w:left w:type="dxa" w:w="100"/>
              <w:bottom w:type="dxa" w:w="40"/>
              <w:right w:type="dxa" w:w="100"/>
            </w:tcMar>
          </w:tcPr>
          <w:p>
            <w:pPr>
              <w:spacing w:after="40"/>
            </w:pPr>
            <w:r>
              <w:rPr>
                <w:rFonts w:ascii="Calibri"/>
                <w:color w:val="1C1C1C"/>
                <w:sz w:val="20"/>
                <w:szCs w:val="20"/>
              </w:rPr>
              <w:t xml:space="preserve">Sharpe Ratio</w:t>
            </w:r>
          </w:p>
        </w:tc>
        <w:tc>
          <w:tcPr>
            <w:tcW w:type="pct" w:w="25%"/>
            <w:shd w:fill="FFFFFF" w:val="clear"/>
            <w:tcMar>
              <w:top w:type="dxa" w:w="40"/>
              <w:left w:type="dxa" w:w="100"/>
              <w:bottom w:type="dxa" w:w="40"/>
              <w:right w:type="dxa" w:w="100"/>
            </w:tcMar>
          </w:tcPr>
          <w:p>
            <w:pPr>
              <w:spacing w:after="40"/>
            </w:pPr>
            <w:r>
              <w:rPr>
                <w:rFonts w:ascii="Calibri"/>
                <w:color w:val="1C1C1C"/>
                <w:sz w:val="20"/>
                <w:szCs w:val="20"/>
              </w:rPr>
              <w:t xml:space="preserve">(Retorno - RiskFree) / Vol</w:t>
            </w:r>
          </w:p>
        </w:tc>
        <w:tc>
          <w:tcPr>
            <w:tcW w:type="pct" w:w="25%"/>
            <w:shd w:fill="FFFFFF" w:val="clear"/>
            <w:tcMar>
              <w:top w:type="dxa" w:w="40"/>
              <w:left w:type="dxa" w:w="100"/>
              <w:bottom w:type="dxa" w:w="40"/>
              <w:right w:type="dxa" w:w="100"/>
            </w:tcMar>
          </w:tcPr>
          <w:p>
            <w:pPr>
              <w:spacing w:after="40"/>
            </w:pPr>
            <w:r>
              <w:rPr>
                <w:rFonts w:ascii="Calibri"/>
                <w:color w:val="1C1C1C"/>
                <w:sz w:val="20"/>
                <w:szCs w:val="20"/>
              </w:rPr>
              <w:t xml:space="preserve">Retorno por unidade de risco</w:t>
            </w:r>
          </w:p>
        </w:tc>
        <w:tc>
          <w:tcPr>
            <w:tcW w:type="pct" w:w="25%"/>
            <w:shd w:fill="FFFFFF" w:val="clear"/>
            <w:tcMar>
              <w:top w:type="dxa" w:w="40"/>
              <w:left w:type="dxa" w:w="100"/>
              <w:bottom w:type="dxa" w:w="40"/>
              <w:right w:type="dxa" w:w="100"/>
            </w:tcMar>
          </w:tcPr>
          <w:p>
            <w:pPr>
              <w:spacing w:after="40"/>
            </w:pPr>
            <w:r>
              <w:rPr>
                <w:rFonts w:ascii="Calibri"/>
                <w:color w:val="1C1C1C"/>
                <w:sz w:val="20"/>
                <w:szCs w:val="20"/>
              </w:rPr>
              <w:t xml:space="preserve">&gt; 1.0 (bom), &gt; 2.0 (excelente)</w:t>
            </w:r>
          </w:p>
        </w:tc>
      </w:tr>
      <w:tr>
        <w:trPr>
          <w:cantSplit/>
        </w:trPr>
        <w:tc>
          <w:tcPr>
            <w:tcW w:type="pct" w:w="25%"/>
            <w:shd w:fill="F5F2E8" w:val="clear"/>
            <w:tcMar>
              <w:top w:type="dxa" w:w="40"/>
              <w:left w:type="dxa" w:w="100"/>
              <w:bottom w:type="dxa" w:w="40"/>
              <w:right w:type="dxa" w:w="100"/>
            </w:tcMar>
          </w:tcPr>
          <w:p>
            <w:pPr>
              <w:spacing w:after="40"/>
            </w:pPr>
            <w:r>
              <w:rPr>
                <w:rFonts w:ascii="Calibri"/>
                <w:color w:val="1C1C1C"/>
                <w:sz w:val="20"/>
                <w:szCs w:val="20"/>
              </w:rPr>
              <w:t xml:space="preserve">Sortino Ratio</w:t>
            </w:r>
          </w:p>
        </w:tc>
        <w:tc>
          <w:tcPr>
            <w:tcW w:type="pct" w:w="25%"/>
            <w:shd w:fill="F5F2E8" w:val="clear"/>
            <w:tcMar>
              <w:top w:type="dxa" w:w="40"/>
              <w:left w:type="dxa" w:w="100"/>
              <w:bottom w:type="dxa" w:w="40"/>
              <w:right w:type="dxa" w:w="100"/>
            </w:tcMar>
          </w:tcPr>
          <w:p>
            <w:pPr>
              <w:spacing w:after="40"/>
            </w:pPr>
            <w:r>
              <w:rPr>
                <w:rFonts w:ascii="Calibri"/>
                <w:color w:val="1C1C1C"/>
                <w:sz w:val="20"/>
                <w:szCs w:val="20"/>
              </w:rPr>
              <w:t xml:space="preserve">(Retorno - RF) / VolNegativa</w:t>
            </w:r>
          </w:p>
        </w:tc>
        <w:tc>
          <w:tcPr>
            <w:tcW w:type="pct" w:w="25%"/>
            <w:shd w:fill="F5F2E8" w:val="clear"/>
            <w:tcMar>
              <w:top w:type="dxa" w:w="40"/>
              <w:left w:type="dxa" w:w="100"/>
              <w:bottom w:type="dxa" w:w="40"/>
              <w:right w:type="dxa" w:w="100"/>
            </w:tcMar>
          </w:tcPr>
          <w:p>
            <w:pPr>
              <w:spacing w:after="40"/>
            </w:pPr>
            <w:r>
              <w:rPr>
                <w:rFonts w:ascii="Calibri"/>
                <w:color w:val="1C1C1C"/>
                <w:sz w:val="20"/>
                <w:szCs w:val="20"/>
              </w:rPr>
              <w:t xml:space="preserve">Sharpe penalizando apenas vol. negativa</w:t>
            </w:r>
          </w:p>
        </w:tc>
        <w:tc>
          <w:tcPr>
            <w:tcW w:type="pct" w:w="25%"/>
            <w:shd w:fill="F5F2E8" w:val="clear"/>
            <w:tcMar>
              <w:top w:type="dxa" w:w="40"/>
              <w:left w:type="dxa" w:w="100"/>
              <w:bottom w:type="dxa" w:w="40"/>
              <w:right w:type="dxa" w:w="100"/>
            </w:tcMar>
          </w:tcPr>
          <w:p>
            <w:pPr>
              <w:spacing w:after="40"/>
            </w:pPr>
            <w:r>
              <w:rPr>
                <w:rFonts w:ascii="Calibri"/>
                <w:color w:val="1C1C1C"/>
                <w:sz w:val="20"/>
                <w:szCs w:val="20"/>
              </w:rPr>
              <w:t xml:space="preserve">&gt; 1.5 (bom)</w:t>
            </w:r>
          </w:p>
        </w:tc>
      </w:tr>
      <w:tr>
        <w:trPr>
          <w:cantSplit/>
        </w:trPr>
        <w:tc>
          <w:tcPr>
            <w:tcW w:type="pct" w:w="25%"/>
            <w:shd w:fill="FFFFFF" w:val="clear"/>
            <w:tcMar>
              <w:top w:type="dxa" w:w="40"/>
              <w:left w:type="dxa" w:w="100"/>
              <w:bottom w:type="dxa" w:w="40"/>
              <w:right w:type="dxa" w:w="100"/>
            </w:tcMar>
          </w:tcPr>
          <w:p>
            <w:pPr>
              <w:spacing w:after="40"/>
            </w:pPr>
            <w:r>
              <w:rPr>
                <w:rFonts w:ascii="Calibri"/>
                <w:color w:val="1C1C1C"/>
                <w:sz w:val="20"/>
                <w:szCs w:val="20"/>
              </w:rPr>
              <w:t xml:space="preserve">Calmar Ratio</w:t>
            </w:r>
          </w:p>
        </w:tc>
        <w:tc>
          <w:tcPr>
            <w:tcW w:type="pct" w:w="25%"/>
            <w:shd w:fill="FFFFFF" w:val="clear"/>
            <w:tcMar>
              <w:top w:type="dxa" w:w="40"/>
              <w:left w:type="dxa" w:w="100"/>
              <w:bottom w:type="dxa" w:w="40"/>
              <w:right w:type="dxa" w:w="100"/>
            </w:tcMar>
          </w:tcPr>
          <w:p>
            <w:pPr>
              <w:spacing w:after="40"/>
            </w:pPr>
            <w:r>
              <w:rPr>
                <w:rFonts w:ascii="Calibri"/>
                <w:color w:val="1C1C1C"/>
                <w:sz w:val="20"/>
                <w:szCs w:val="20"/>
              </w:rPr>
              <w:t xml:space="preserve">CAGR / MaxDrawdown</w:t>
            </w:r>
          </w:p>
        </w:tc>
        <w:tc>
          <w:tcPr>
            <w:tcW w:type="pct" w:w="25%"/>
            <w:shd w:fill="FFFFFF" w:val="clear"/>
            <w:tcMar>
              <w:top w:type="dxa" w:w="40"/>
              <w:left w:type="dxa" w:w="100"/>
              <w:bottom w:type="dxa" w:w="40"/>
              <w:right w:type="dxa" w:w="100"/>
            </w:tcMar>
          </w:tcPr>
          <w:p>
            <w:pPr>
              <w:spacing w:after="40"/>
            </w:pPr>
            <w:r>
              <w:rPr>
                <w:rFonts w:ascii="Calibri"/>
                <w:color w:val="1C1C1C"/>
                <w:sz w:val="20"/>
                <w:szCs w:val="20"/>
              </w:rPr>
              <w:t xml:space="preserve">Retorno anual por unidade de drawdown</w:t>
            </w:r>
          </w:p>
        </w:tc>
        <w:tc>
          <w:tcPr>
            <w:tcW w:type="pct" w:w="25%"/>
            <w:shd w:fill="FFFFFF" w:val="clear"/>
            <w:tcMar>
              <w:top w:type="dxa" w:w="40"/>
              <w:left w:type="dxa" w:w="100"/>
              <w:bottom w:type="dxa" w:w="40"/>
              <w:right w:type="dxa" w:w="100"/>
            </w:tcMar>
          </w:tcPr>
          <w:p>
            <w:pPr>
              <w:spacing w:after="40"/>
            </w:pPr>
            <w:r>
              <w:rPr>
                <w:rFonts w:ascii="Calibri"/>
                <w:color w:val="1C1C1C"/>
                <w:sz w:val="20"/>
                <w:szCs w:val="20"/>
              </w:rPr>
              <w:t xml:space="preserve">&gt; 1.0 (bom)</w:t>
            </w:r>
          </w:p>
        </w:tc>
      </w:tr>
      <w:tr>
        <w:trPr>
          <w:cantSplit/>
        </w:trPr>
        <w:tc>
          <w:tcPr>
            <w:tcW w:type="pct" w:w="25%"/>
            <w:shd w:fill="F5F2E8" w:val="clear"/>
            <w:tcMar>
              <w:top w:type="dxa" w:w="40"/>
              <w:left w:type="dxa" w:w="100"/>
              <w:bottom w:type="dxa" w:w="40"/>
              <w:right w:type="dxa" w:w="100"/>
            </w:tcMar>
          </w:tcPr>
          <w:p>
            <w:pPr>
              <w:spacing w:after="40"/>
            </w:pPr>
            <w:r>
              <w:rPr>
                <w:rFonts w:ascii="Calibri"/>
                <w:color w:val="1C1C1C"/>
                <w:sz w:val="20"/>
                <w:szCs w:val="20"/>
              </w:rPr>
              <w:t xml:space="preserve">Recovery Factor</w:t>
            </w:r>
          </w:p>
        </w:tc>
        <w:tc>
          <w:tcPr>
            <w:tcW w:type="pct" w:w="25%"/>
            <w:shd w:fill="F5F2E8" w:val="clear"/>
            <w:tcMar>
              <w:top w:type="dxa" w:w="40"/>
              <w:left w:type="dxa" w:w="100"/>
              <w:bottom w:type="dxa" w:w="40"/>
              <w:right w:type="dxa" w:w="100"/>
            </w:tcMar>
          </w:tcPr>
          <w:p>
            <w:pPr>
              <w:spacing w:after="40"/>
            </w:pPr>
            <w:r>
              <w:rPr>
                <w:rFonts w:ascii="Calibri"/>
                <w:color w:val="1C1C1C"/>
                <w:sz w:val="20"/>
                <w:szCs w:val="20"/>
              </w:rPr>
              <w:t xml:space="preserve">Lucro total / MaxDrawdown</w:t>
            </w:r>
          </w:p>
        </w:tc>
        <w:tc>
          <w:tcPr>
            <w:tcW w:type="pct" w:w="25%"/>
            <w:shd w:fill="F5F2E8" w:val="clear"/>
            <w:tcMar>
              <w:top w:type="dxa" w:w="40"/>
              <w:left w:type="dxa" w:w="100"/>
              <w:bottom w:type="dxa" w:w="40"/>
              <w:right w:type="dxa" w:w="100"/>
            </w:tcMar>
          </w:tcPr>
          <w:p>
            <w:pPr>
              <w:spacing w:after="40"/>
            </w:pPr>
            <w:r>
              <w:rPr>
                <w:rFonts w:ascii="Calibri"/>
                <w:color w:val="1C1C1C"/>
                <w:sz w:val="20"/>
                <w:szCs w:val="20"/>
              </w:rPr>
              <w:t xml:space="preserve">Velocidade de recuperacao</w:t>
            </w:r>
          </w:p>
        </w:tc>
        <w:tc>
          <w:tcPr>
            <w:tcW w:type="pct" w:w="25%"/>
            <w:shd w:fill="F5F2E8" w:val="clear"/>
            <w:tcMar>
              <w:top w:type="dxa" w:w="40"/>
              <w:left w:type="dxa" w:w="100"/>
              <w:bottom w:type="dxa" w:w="40"/>
              <w:right w:type="dxa" w:w="100"/>
            </w:tcMar>
          </w:tcPr>
          <w:p>
            <w:pPr>
              <w:spacing w:after="40"/>
            </w:pPr>
            <w:r>
              <w:rPr>
                <w:rFonts w:ascii="Calibri"/>
                <w:color w:val="1C1C1C"/>
                <w:sz w:val="20"/>
                <w:szCs w:val="20"/>
              </w:rPr>
              <w:t xml:space="preserve">&gt; 3.0 (bom)</w:t>
            </w:r>
          </w:p>
        </w:tc>
      </w:tr>
      <w:tr>
        <w:trPr>
          <w:cantSplit/>
        </w:trPr>
        <w:tc>
          <w:tcPr>
            <w:tcW w:type="pct" w:w="25%"/>
            <w:shd w:fill="FFFFFF" w:val="clear"/>
            <w:tcMar>
              <w:top w:type="dxa" w:w="40"/>
              <w:left w:type="dxa" w:w="100"/>
              <w:bottom w:type="dxa" w:w="40"/>
              <w:right w:type="dxa" w:w="100"/>
            </w:tcMar>
          </w:tcPr>
          <w:p>
            <w:pPr>
              <w:spacing w:after="40"/>
            </w:pPr>
            <w:r>
              <w:rPr>
                <w:rFonts w:ascii="Calibri"/>
                <w:color w:val="1C1C1C"/>
                <w:sz w:val="20"/>
                <w:szCs w:val="20"/>
              </w:rPr>
              <w:t xml:space="preserve">CAGR</w:t>
            </w:r>
          </w:p>
        </w:tc>
        <w:tc>
          <w:tcPr>
            <w:tcW w:type="pct" w:w="25%"/>
            <w:shd w:fill="FFFFFF" w:val="clear"/>
            <w:tcMar>
              <w:top w:type="dxa" w:w="40"/>
              <w:left w:type="dxa" w:w="100"/>
              <w:bottom w:type="dxa" w:w="40"/>
              <w:right w:type="dxa" w:w="100"/>
            </w:tcMar>
          </w:tcPr>
          <w:p>
            <w:pPr>
              <w:spacing w:after="40"/>
            </w:pPr>
            <w:r>
              <w:rPr>
                <w:rFonts w:ascii="Calibri"/>
                <w:color w:val="1C1C1C"/>
                <w:sz w:val="20"/>
                <w:szCs w:val="20"/>
              </w:rPr>
              <w:t xml:space="preserve">(VFinal/Vinicial)^(1/anos)-1</w:t>
            </w:r>
          </w:p>
        </w:tc>
        <w:tc>
          <w:tcPr>
            <w:tcW w:type="pct" w:w="25%"/>
            <w:shd w:fill="FFFFFF" w:val="clear"/>
            <w:tcMar>
              <w:top w:type="dxa" w:w="40"/>
              <w:left w:type="dxa" w:w="100"/>
              <w:bottom w:type="dxa" w:w="40"/>
              <w:right w:type="dxa" w:w="100"/>
            </w:tcMar>
          </w:tcPr>
          <w:p>
            <w:pPr>
              <w:spacing w:after="40"/>
            </w:pPr>
            <w:r>
              <w:rPr>
                <w:rFonts w:ascii="Calibri"/>
                <w:color w:val="1C1C1C"/>
                <w:sz w:val="20"/>
                <w:szCs w:val="20"/>
              </w:rPr>
              <w:t xml:space="preserve">Retorno anual composto</w:t>
            </w:r>
          </w:p>
        </w:tc>
        <w:tc>
          <w:tcPr>
            <w:tcW w:type="pct" w:w="25%"/>
            <w:shd w:fill="FFFFFF" w:val="clear"/>
            <w:tcMar>
              <w:top w:type="dxa" w:w="40"/>
              <w:left w:type="dxa" w:w="100"/>
              <w:bottom w:type="dxa" w:w="40"/>
              <w:right w:type="dxa" w:w="100"/>
            </w:tcMar>
          </w:tcPr>
          <w:p>
            <w:pPr>
              <w:spacing w:after="40"/>
            </w:pPr>
            <w:r>
              <w:rPr>
                <w:rFonts w:ascii="Calibri"/>
                <w:color w:val="1C1C1C"/>
                <w:sz w:val="20"/>
                <w:szCs w:val="20"/>
              </w:rPr>
              <w:t xml:space="preserve">Depende do benchmark</w:t>
            </w:r>
          </w:p>
        </w:tc>
      </w:tr>
      <w:tr>
        <w:trPr>
          <w:cantSplit/>
        </w:trPr>
        <w:tc>
          <w:tcPr>
            <w:tcW w:type="pct" w:w="25%"/>
            <w:shd w:fill="F5F2E8" w:val="clear"/>
            <w:tcMar>
              <w:top w:type="dxa" w:w="40"/>
              <w:left w:type="dxa" w:w="100"/>
              <w:bottom w:type="dxa" w:w="40"/>
              <w:right w:type="dxa" w:w="100"/>
            </w:tcMar>
          </w:tcPr>
          <w:p>
            <w:pPr>
              <w:spacing w:after="40"/>
            </w:pPr>
            <w:r>
              <w:rPr>
                <w:rFonts w:ascii="Calibri"/>
                <w:color w:val="1C1C1C"/>
                <w:sz w:val="20"/>
                <w:szCs w:val="20"/>
              </w:rPr>
              <w:t xml:space="preserve">Consec. Losses</w:t>
            </w:r>
          </w:p>
        </w:tc>
        <w:tc>
          <w:tcPr>
            <w:tcW w:type="pct" w:w="25%"/>
            <w:shd w:fill="F5F2E8" w:val="clear"/>
            <w:tcMar>
              <w:top w:type="dxa" w:w="40"/>
              <w:left w:type="dxa" w:w="100"/>
              <w:bottom w:type="dxa" w:w="40"/>
              <w:right w:type="dxa" w:w="100"/>
            </w:tcMar>
          </w:tcPr>
          <w:p>
            <w:pPr>
              <w:spacing w:after="40"/>
            </w:pPr>
            <w:r>
              <w:rPr>
                <w:rFonts w:ascii="Calibri"/>
                <w:color w:val="1C1C1C"/>
                <w:sz w:val="20"/>
                <w:szCs w:val="20"/>
              </w:rPr>
              <w:t xml:space="preserve">Max sequencia de perdas</w:t>
            </w:r>
          </w:p>
        </w:tc>
        <w:tc>
          <w:tcPr>
            <w:tcW w:type="pct" w:w="25%"/>
            <w:shd w:fill="F5F2E8" w:val="clear"/>
            <w:tcMar>
              <w:top w:type="dxa" w:w="40"/>
              <w:left w:type="dxa" w:w="100"/>
              <w:bottom w:type="dxa" w:w="40"/>
              <w:right w:type="dxa" w:w="100"/>
            </w:tcMar>
          </w:tcPr>
          <w:p>
            <w:pPr>
              <w:spacing w:after="40"/>
            </w:pPr>
            <w:r>
              <w:rPr>
                <w:rFonts w:ascii="Calibri"/>
                <w:color w:val="1C1C1C"/>
                <w:sz w:val="20"/>
                <w:szCs w:val="20"/>
              </w:rPr>
              <w:t xml:space="preserve">Impacto psicologico e financeiro</w:t>
            </w:r>
          </w:p>
        </w:tc>
        <w:tc>
          <w:tcPr>
            <w:tcW w:type="pct" w:w="25%"/>
            <w:shd w:fill="F5F2E8" w:val="clear"/>
            <w:tcMar>
              <w:top w:type="dxa" w:w="40"/>
              <w:left w:type="dxa" w:w="100"/>
              <w:bottom w:type="dxa" w:w="40"/>
              <w:right w:type="dxa" w:w="100"/>
            </w:tcMar>
          </w:tcPr>
          <w:p>
            <w:pPr>
              <w:spacing w:after="40"/>
            </w:pPr>
            <w:r>
              <w:rPr>
                <w:rFonts w:ascii="Calibri"/>
                <w:color w:val="1C1C1C"/>
                <w:sz w:val="20"/>
                <w:szCs w:val="20"/>
              </w:rPr>
              <w:t xml:space="preserve">&lt; 8 (toleravel)</w:t>
            </w:r>
          </w:p>
        </w:tc>
      </w:tr>
      <w:tr>
        <w:trPr>
          <w:cantSplit/>
        </w:trPr>
        <w:tc>
          <w:tcPr>
            <w:tcW w:type="pct" w:w="25%"/>
            <w:shd w:fill="FFFFFF" w:val="clear"/>
            <w:tcMar>
              <w:top w:type="dxa" w:w="40"/>
              <w:left w:type="dxa" w:w="100"/>
              <w:bottom w:type="dxa" w:w="40"/>
              <w:right w:type="dxa" w:w="100"/>
            </w:tcMar>
          </w:tcPr>
          <w:p>
            <w:pPr>
              <w:spacing w:after="40"/>
            </w:pPr>
            <w:r>
              <w:rPr>
                <w:rFonts w:ascii="Calibri"/>
                <w:color w:val="1C1C1C"/>
                <w:sz w:val="20"/>
                <w:szCs w:val="20"/>
              </w:rPr>
              <w:t xml:space="preserve">MAE</w:t>
            </w:r>
          </w:p>
        </w:tc>
        <w:tc>
          <w:tcPr>
            <w:tcW w:type="pct" w:w="25%"/>
            <w:shd w:fill="FFFFFF" w:val="clear"/>
            <w:tcMar>
              <w:top w:type="dxa" w:w="40"/>
              <w:left w:type="dxa" w:w="100"/>
              <w:bottom w:type="dxa" w:w="40"/>
              <w:right w:type="dxa" w:w="100"/>
            </w:tcMar>
          </w:tcPr>
          <w:p>
            <w:pPr>
              <w:spacing w:after="40"/>
            </w:pPr>
            <w:r>
              <w:rPr>
                <w:rFonts w:ascii="Calibri"/>
                <w:color w:val="1C1C1C"/>
                <w:sz w:val="20"/>
                <w:szCs w:val="20"/>
              </w:rPr>
              <w:t xml:space="preserve">max adverso durante trade</w:t>
            </w:r>
          </w:p>
        </w:tc>
        <w:tc>
          <w:tcPr>
            <w:tcW w:type="pct" w:w="25%"/>
            <w:shd w:fill="FFFFFF" w:val="clear"/>
            <w:tcMar>
              <w:top w:type="dxa" w:w="40"/>
              <w:left w:type="dxa" w:w="100"/>
              <w:bottom w:type="dxa" w:w="40"/>
              <w:right w:type="dxa" w:w="100"/>
            </w:tcMar>
          </w:tcPr>
          <w:p>
            <w:pPr>
              <w:spacing w:after="40"/>
            </w:pPr>
            <w:r>
              <w:rPr>
                <w:rFonts w:ascii="Calibri"/>
                <w:color w:val="1C1C1C"/>
                <w:sz w:val="20"/>
                <w:szCs w:val="20"/>
              </w:rPr>
              <w:t xml:space="preserve">Pior ponto durante posicao aberta</w:t>
            </w:r>
          </w:p>
        </w:tc>
        <w:tc>
          <w:tcPr>
            <w:tcW w:type="pct" w:w="25%"/>
            <w:shd w:fill="FFFFFF" w:val="clear"/>
            <w:tcMar>
              <w:top w:type="dxa" w:w="40"/>
              <w:left w:type="dxa" w:w="100"/>
              <w:bottom w:type="dxa" w:w="40"/>
              <w:right w:type="dxa" w:w="100"/>
            </w:tcMar>
          </w:tcPr>
          <w:p>
            <w:pPr>
              <w:spacing w:after="40"/>
            </w:pPr>
            <w:r>
              <w:rPr>
                <w:rFonts w:ascii="Calibri"/>
                <w:color w:val="1C1C1C"/>
                <w:sz w:val="20"/>
                <w:szCs w:val="20"/>
              </w:rPr>
              <w:t xml:space="preserve">Relativo ao stop loss</w:t>
            </w:r>
          </w:p>
        </w:tc>
      </w:tr>
      <w:tr>
        <w:trPr>
          <w:cantSplit/>
        </w:trPr>
        <w:tc>
          <w:tcPr>
            <w:tcW w:type="pct" w:w="25%"/>
            <w:shd w:fill="F5F2E8" w:val="clear"/>
            <w:tcMar>
              <w:top w:type="dxa" w:w="40"/>
              <w:left w:type="dxa" w:w="100"/>
              <w:bottom w:type="dxa" w:w="40"/>
              <w:right w:type="dxa" w:w="100"/>
            </w:tcMar>
          </w:tcPr>
          <w:p>
            <w:pPr>
              <w:spacing w:after="40"/>
            </w:pPr>
            <w:r>
              <w:rPr>
                <w:rFonts w:ascii="Calibri"/>
                <w:color w:val="1C1C1C"/>
                <w:sz w:val="20"/>
                <w:szCs w:val="20"/>
              </w:rPr>
              <w:t xml:space="preserve">MFE</w:t>
            </w:r>
          </w:p>
        </w:tc>
        <w:tc>
          <w:tcPr>
            <w:tcW w:type="pct" w:w="25%"/>
            <w:shd w:fill="F5F2E8" w:val="clear"/>
            <w:tcMar>
              <w:top w:type="dxa" w:w="40"/>
              <w:left w:type="dxa" w:w="100"/>
              <w:bottom w:type="dxa" w:w="40"/>
              <w:right w:type="dxa" w:w="100"/>
            </w:tcMar>
          </w:tcPr>
          <w:p>
            <w:pPr>
              <w:spacing w:after="40"/>
            </w:pPr>
            <w:r>
              <w:rPr>
                <w:rFonts w:ascii="Calibri"/>
                <w:color w:val="1C1C1C"/>
                <w:sz w:val="20"/>
                <w:szCs w:val="20"/>
              </w:rPr>
              <w:t xml:space="preserve">max favoravel durante trade</w:t>
            </w:r>
          </w:p>
        </w:tc>
        <w:tc>
          <w:tcPr>
            <w:tcW w:type="pct" w:w="25%"/>
            <w:shd w:fill="F5F2E8" w:val="clear"/>
            <w:tcMar>
              <w:top w:type="dxa" w:w="40"/>
              <w:left w:type="dxa" w:w="100"/>
              <w:bottom w:type="dxa" w:w="40"/>
              <w:right w:type="dxa" w:w="100"/>
            </w:tcMar>
          </w:tcPr>
          <w:p>
            <w:pPr>
              <w:spacing w:after="40"/>
            </w:pPr>
            <w:r>
              <w:rPr>
                <w:rFonts w:ascii="Calibri"/>
                <w:color w:val="1C1C1C"/>
                <w:sz w:val="20"/>
                <w:szCs w:val="20"/>
              </w:rPr>
              <w:t xml:space="preserve">Melhor ponto durante posicao aberta</w:t>
            </w:r>
          </w:p>
        </w:tc>
        <w:tc>
          <w:tcPr>
            <w:tcW w:type="pct" w:w="25%"/>
            <w:shd w:fill="F5F2E8" w:val="clear"/>
            <w:tcMar>
              <w:top w:type="dxa" w:w="40"/>
              <w:left w:type="dxa" w:w="100"/>
              <w:bottom w:type="dxa" w:w="40"/>
              <w:right w:type="dxa" w:w="100"/>
            </w:tcMar>
          </w:tcPr>
          <w:p>
            <w:pPr>
              <w:spacing w:after="40"/>
            </w:pPr>
            <w:r>
              <w:rPr>
                <w:rFonts w:ascii="Calibri"/>
                <w:color w:val="1C1C1C"/>
                <w:sz w:val="20"/>
                <w:szCs w:val="20"/>
              </w:rPr>
              <w:t xml:space="preserve">Relativo ao target</w:t>
            </w:r>
          </w:p>
        </w:tc>
      </w:tr>
      <w:tr>
        <w:trPr>
          <w:cantSplit/>
        </w:trPr>
        <w:tc>
          <w:tcPr>
            <w:tcW w:type="pct" w:w="25%"/>
            <w:shd w:fill="FFFFFF" w:val="clear"/>
            <w:tcMar>
              <w:top w:type="dxa" w:w="40"/>
              <w:left w:type="dxa" w:w="100"/>
              <w:bottom w:type="dxa" w:w="40"/>
              <w:right w:type="dxa" w:w="100"/>
            </w:tcMar>
          </w:tcPr>
          <w:p>
            <w:pPr>
              <w:spacing w:after="40"/>
            </w:pPr>
            <w:r>
              <w:rPr>
                <w:rFonts w:ascii="Calibri"/>
                <w:color w:val="1C1C1C"/>
                <w:sz w:val="20"/>
                <w:szCs w:val="20"/>
              </w:rPr>
              <w:t xml:space="preserve">Exposure</w:t>
            </w:r>
          </w:p>
        </w:tc>
        <w:tc>
          <w:tcPr>
            <w:tcW w:type="pct" w:w="25%"/>
            <w:shd w:fill="FFFFFF" w:val="clear"/>
            <w:tcMar>
              <w:top w:type="dxa" w:w="40"/>
              <w:left w:type="dxa" w:w="100"/>
              <w:bottom w:type="dxa" w:w="40"/>
              <w:right w:type="dxa" w:w="100"/>
            </w:tcMar>
          </w:tcPr>
          <w:p>
            <w:pPr>
              <w:spacing w:after="40"/>
            </w:pPr>
            <w:r>
              <w:rPr>
                <w:rFonts w:ascii="Calibri"/>
                <w:color w:val="1C1C1C"/>
                <w:sz w:val="20"/>
                <w:szCs w:val="20"/>
              </w:rPr>
              <w:t xml:space="preserve">Tempo em posicao / Total</w:t>
            </w:r>
          </w:p>
        </w:tc>
        <w:tc>
          <w:tcPr>
            <w:tcW w:type="pct" w:w="25%"/>
            <w:shd w:fill="FFFFFF" w:val="clear"/>
            <w:tcMar>
              <w:top w:type="dxa" w:w="40"/>
              <w:left w:type="dxa" w:w="100"/>
              <w:bottom w:type="dxa" w:w="40"/>
              <w:right w:type="dxa" w:w="100"/>
            </w:tcMar>
          </w:tcPr>
          <w:p>
            <w:pPr>
              <w:spacing w:after="40"/>
            </w:pPr>
            <w:r>
              <w:rPr>
                <w:rFonts w:ascii="Calibri"/>
                <w:color w:val="1C1C1C"/>
                <w:sz w:val="20"/>
                <w:szCs w:val="20"/>
              </w:rPr>
              <w:t xml:space="preserve">% do tempo com risco ativo</w:t>
            </w:r>
          </w:p>
        </w:tc>
        <w:tc>
          <w:tcPr>
            <w:tcW w:type="pct" w:w="25%"/>
            <w:shd w:fill="FFFFFF" w:val="clear"/>
            <w:tcMar>
              <w:top w:type="dxa" w:w="40"/>
              <w:left w:type="dxa" w:w="100"/>
              <w:bottom w:type="dxa" w:w="40"/>
              <w:right w:type="dxa" w:w="100"/>
            </w:tcMar>
          </w:tcPr>
          <w:p>
            <w:pPr>
              <w:spacing w:after="40"/>
            </w:pPr>
            <w:r>
              <w:rPr>
                <w:rFonts w:ascii="Calibri"/>
                <w:color w:val="1C1C1C"/>
                <w:sz w:val="20"/>
                <w:szCs w:val="20"/>
              </w:rPr>
              <w:t xml:space="preserve">Depende da estrategia</w:t>
            </w:r>
          </w:p>
        </w:tc>
      </w:tr>
      <w:tr>
        <w:trPr>
          <w:cantSplit/>
        </w:trPr>
        <w:tc>
          <w:tcPr>
            <w:tcW w:type="pct" w:w="25%"/>
            <w:shd w:fill="F5F2E8" w:val="clear"/>
            <w:tcMar>
              <w:top w:type="dxa" w:w="40"/>
              <w:left w:type="dxa" w:w="100"/>
              <w:bottom w:type="dxa" w:w="40"/>
              <w:right w:type="dxa" w:w="100"/>
            </w:tcMar>
          </w:tcPr>
          <w:p>
            <w:pPr>
              <w:spacing w:after="40"/>
            </w:pPr>
            <w:r>
              <w:rPr>
                <w:rFonts w:ascii="Calibri"/>
                <w:color w:val="1C1C1C"/>
                <w:sz w:val="20"/>
                <w:szCs w:val="20"/>
              </w:rPr>
              <w:t xml:space="preserve">Trade Duration</w:t>
            </w:r>
          </w:p>
        </w:tc>
        <w:tc>
          <w:tcPr>
            <w:tcW w:type="pct" w:w="25%"/>
            <w:shd w:fill="F5F2E8" w:val="clear"/>
            <w:tcMar>
              <w:top w:type="dxa" w:w="40"/>
              <w:left w:type="dxa" w:w="100"/>
              <w:bottom w:type="dxa" w:w="40"/>
              <w:right w:type="dxa" w:w="100"/>
            </w:tcMar>
          </w:tcPr>
          <w:p>
            <w:pPr>
              <w:spacing w:after="40"/>
            </w:pPr>
            <w:r>
              <w:rPr>
                <w:rFonts w:ascii="Calibri"/>
                <w:color w:val="1C1C1C"/>
                <w:sz w:val="20"/>
                <w:szCs w:val="20"/>
              </w:rPr>
              <w:t xml:space="preserve">Media duracao de trade</w:t>
            </w:r>
          </w:p>
        </w:tc>
        <w:tc>
          <w:tcPr>
            <w:tcW w:type="pct" w:w="25%"/>
            <w:shd w:fill="F5F2E8" w:val="clear"/>
            <w:tcMar>
              <w:top w:type="dxa" w:w="40"/>
              <w:left w:type="dxa" w:w="100"/>
              <w:bottom w:type="dxa" w:w="40"/>
              <w:right w:type="dxa" w:w="100"/>
            </w:tcMar>
          </w:tcPr>
          <w:p>
            <w:pPr>
              <w:spacing w:after="40"/>
            </w:pPr>
            <w:r>
              <w:rPr>
                <w:rFonts w:ascii="Calibri"/>
                <w:color w:val="1C1C1C"/>
                <w:sz w:val="20"/>
                <w:szCs w:val="20"/>
              </w:rPr>
              <w:t xml:space="preserve">Horas/barras em posicao</w:t>
            </w:r>
          </w:p>
        </w:tc>
        <w:tc>
          <w:tcPr>
            <w:tcW w:type="pct" w:w="25%"/>
            <w:shd w:fill="F5F2E8" w:val="clear"/>
            <w:tcMar>
              <w:top w:type="dxa" w:w="40"/>
              <w:left w:type="dxa" w:w="100"/>
              <w:bottom w:type="dxa" w:w="40"/>
              <w:right w:type="dxa" w:w="100"/>
            </w:tcMar>
          </w:tcPr>
          <w:p>
            <w:pPr>
              <w:spacing w:after="40"/>
            </w:pPr>
            <w:r>
              <w:rPr>
                <w:rFonts w:ascii="Calibri"/>
                <w:color w:val="1C1C1C"/>
                <w:sz w:val="20"/>
                <w:szCs w:val="20"/>
              </w:rPr>
              <w:t xml:space="preserve">Depende do timeframe</w:t>
            </w:r>
          </w:p>
        </w:tc>
      </w:tr>
    </w:tbl>
    <w:p>
      <w:pPr>
        <w:spacing w:after="60"/>
      </w:pPr>
    </w:p>
    <w:p>
      <w:pPr>
        <w:spacing w:after="120" w:line="312"/>
        <w:jc w:val="both"/>
      </w:pPr>
      <w:r>
        <w:rPr>
          <w:rFonts w:ascii="Times New Roman"/>
          <w:b/>
          <w:bCs/>
          <w:color w:val="1C1C1C"/>
          <w:sz w:val="22"/>
          <w:szCs w:val="22"/>
        </w:rPr>
        <w:t xml:space="preserve">Analise conjunta essencial: </w:t>
      </w:r>
      <w:r>
        <w:rPr>
          <w:rFonts w:ascii="Times New Roman"/>
          <w:color w:val="1C1C1C"/>
          <w:sz w:val="22"/>
          <w:szCs w:val="22"/>
        </w:rPr>
        <w:t xml:space="preserve">Win Rate e Payoff Ratio devem ser analisados juntos. Um WR de 40% com PR de 3:1 e equivalente a WR de 60% com PR de 1:1 em termos de expectativa. Sharpe Ratio e Max Drawdown devem ser analisados juntos: um Sharpe alto com MDD extremo pode indicar 'tail risk' nao capturado pelo Sharpe. Profit Factor e Expectancy devem ser analisados juntos: um PF alto pode ser resultado de poucos trades de grande ganho (outlier risk), enquanto a Expectativa normaliza por trade. Consecutive Losses e Daily Loss Limit devem ser analisados juntos: a sequencia de perdas indica o pior cenario estatistico esperado.</w:t>
      </w:r>
    </w:p>
    <w:p>
      <w:pPr>
        <w:pStyle w:val="Heading2"/>
        <w:spacing w:after="160" w:before="360" w:line="312"/>
      </w:pPr>
      <w:bookmarkStart w:id="100027" w:name="_Toc100027"/>
      <w:r>
        <w:rPr>
          <w:rFonts w:ascii="Times New Roman"/>
          <w:b/>
          <w:bCs/>
          <w:color w:val="1A1A1A"/>
          <w:sz w:val="28"/>
          <w:szCs w:val="28"/>
        </w:rPr>
        <w:t xml:space="preserve">7. Backtesting: Boas Praticas</w:t>
      </w:r>
      <w:bookmarkEnd w:id="100027"/>
    </w:p>
    <w:p>
      <w:pPr>
        <w:spacing w:after="120" w:line="312"/>
        <w:jc w:val="both"/>
      </w:pPr>
      <w:r>
        <w:rPr>
          <w:rFonts w:ascii="Times New Roman"/>
          <w:color w:val="1C1C1C"/>
          <w:sz w:val="22"/>
          <w:szCs w:val="22"/>
        </w:rPr>
        <w:t xml:space="preserve">O backtesting e a ferramenta fundamental para avaliar a viabilidade de uma estrategia antes de arriscar capital real. Porem, backtesting mal conduzido pode gerar resultados enganosamente otimistas que nao se sustentam em operacao real. Esta secao apresenta as principais tecnicas e armadilhas do backtesting.</w:t>
      </w:r>
    </w:p>
    <w:p>
      <w:pPr>
        <w:pStyle w:val="Heading3"/>
        <w:spacing w:after="120" w:before="240" w:line="312"/>
      </w:pPr>
      <w:bookmarkStart w:id="100028" w:name="_Toc100028"/>
      <w:r>
        <w:rPr>
          <w:rFonts w:ascii="Times New Roman"/>
          <w:b/>
          <w:bCs/>
          <w:color w:val="333333"/>
          <w:sz w:val="24"/>
          <w:szCs w:val="24"/>
        </w:rPr>
        <w:t xml:space="preserve">7.1 Metodologias de Validacao</w:t>
      </w:r>
      <w:bookmarkEnd w:id="100028"/>
    </w:p>
    <w:p>
      <w:pPr>
        <w:spacing w:after="120" w:line="312"/>
        <w:jc w:val="both"/>
      </w:pPr>
      <w:r>
        <w:rPr>
          <w:rFonts w:ascii="Times New Roman"/>
          <w:b/>
          <w:bCs/>
          <w:color w:val="1C1C1C"/>
          <w:sz w:val="22"/>
          <w:szCs w:val="22"/>
        </w:rPr>
        <w:t xml:space="preserve">In-Sample / Out-of-Sample (IS/OOS): </w:t>
      </w:r>
      <w:r>
        <w:rPr>
          <w:rFonts w:ascii="Times New Roman"/>
          <w:color w:val="1C1C1C"/>
          <w:sz w:val="22"/>
          <w:szCs w:val="22"/>
        </w:rPr>
        <w:t xml:space="preserve">Dividir os dados historicos em dois conjuntos: IS para desenvolvimento e otimizacao de parametros, OOS para validacao. A proporcao tipica e 60-70% IS e 30-40% OOS. O desempenho OOS e a estimativa mais honesta de como a estrategia se comportara em operacao real. Se o desempenho IS e excelente mas o OOS e ruim ou negativo, o sistema esta overfitted. Regra pratica: se OOS apresenta &gt; 50% do Sharpe Ratio do IS, a estrategia pode ter robustez.</w:t>
      </w:r>
    </w:p>
    <w:p>
      <w:pPr>
        <w:spacing w:after="120" w:line="312"/>
        <w:jc w:val="both"/>
      </w:pPr>
      <w:r>
        <w:rPr>
          <w:rFonts w:ascii="Times New Roman"/>
          <w:b/>
          <w:bCs/>
          <w:color w:val="1C1C1C"/>
          <w:sz w:val="22"/>
          <w:szCs w:val="22"/>
        </w:rPr>
        <w:t xml:space="preserve">Walk-Forward Analysis: </w:t>
      </w:r>
      <w:r>
        <w:rPr>
          <w:rFonts w:ascii="Times New Roman"/>
          <w:color w:val="1C1C1C"/>
          <w:sz w:val="22"/>
          <w:szCs w:val="22"/>
        </w:rPr>
        <w:t xml:space="preserve">Extensao do IS/OOS que repete a divisao em janelas rolantes. A janela de otimizacao (IS) se move ao longo do tempo, e cada janela e seguida por uma janela de validacao (OOS). Exemplo: otimizar nos meses 1-12, validar nos meses 13-15; otimizar nos meses 4-15, validar nos meses 16-18; e assim por diante. O walk-forward simula mais realisticamente como a estrategia seria operada na pratica (re-otimizacao periodica). O desempenho medio do OOS em todos os passos e a estimativa mais robusta.</w:t>
      </w:r>
    </w:p>
    <w:p>
      <w:pPr>
        <w:spacing w:after="120" w:line="312"/>
        <w:jc w:val="both"/>
      </w:pPr>
      <w:r>
        <w:rPr>
          <w:rFonts w:ascii="Times New Roman"/>
          <w:b/>
          <w:bCs/>
          <w:color w:val="1C1C1C"/>
          <w:sz w:val="22"/>
          <w:szCs w:val="22"/>
        </w:rPr>
        <w:t xml:space="preserve">Monte Carlo Simulation: </w:t>
      </w:r>
      <w:r>
        <w:rPr>
          <w:rFonts w:ascii="Times New Roman"/>
          <w:color w:val="1C1C1C"/>
          <w:sz w:val="22"/>
          <w:szCs w:val="22"/>
        </w:rPr>
        <w:t xml:space="preserve">Gera milhares de cenarios alternativos randomizando a ordem dos trades mantendo as mesmas estatisticas (win rate, payoff ratio, sequencia de perdas). Isto permite estimar a distribuicao de resultados: qual a probabilidade de MDD &gt; X%? Qual a probabilidade de perder dinheiro em N meses? O Monte Carlo revela o range de resultados possiveis, nao apenas o resultado medio. Se o backtest original (ordem cronologica) esta no percentil 95 dos cenarios do Monte Carlo, provavelmente o resultado esta inflado por data snooping.</w:t>
      </w:r>
    </w:p>
    <w:p>
      <w:pPr>
        <w:spacing w:after="120" w:line="312"/>
        <w:jc w:val="both"/>
      </w:pPr>
      <w:r>
        <w:rPr>
          <w:rFonts w:ascii="Times New Roman"/>
          <w:b/>
          <w:bCs/>
          <w:color w:val="1C1C1C"/>
          <w:sz w:val="22"/>
          <w:szCs w:val="22"/>
        </w:rPr>
        <w:t xml:space="preserve">Bootstrap: </w:t>
      </w:r>
      <w:r>
        <w:rPr>
          <w:rFonts w:ascii="Times New Roman"/>
          <w:color w:val="1C1C1C"/>
          <w:sz w:val="22"/>
          <w:szCs w:val="22"/>
        </w:rPr>
        <w:t xml:space="preserve">Similar ao Monte Carlo, mas faz resampling com reposicao dos trades individuais. Permite estimar intervalos de confianca para as metricas da estrategia. Se o intervalo de confianca de 95% para o Sharpe Ratio inclui zero, nao e possivel afirmar com confianca que a estrategia e superior ao buy-and-hold.</w:t>
      </w:r>
    </w:p>
    <w:p>
      <w:pPr>
        <w:spacing w:after="120" w:line="312"/>
        <w:jc w:val="both"/>
      </w:pPr>
      <w:r>
        <w:rPr>
          <w:rFonts w:ascii="Times New Roman"/>
          <w:b/>
          <w:bCs/>
          <w:color w:val="1C1C1C"/>
          <w:sz w:val="22"/>
          <w:szCs w:val="22"/>
        </w:rPr>
        <w:t xml:space="preserve">Parameter Sensitivity: </w:t>
      </w:r>
      <w:r>
        <w:rPr>
          <w:rFonts w:ascii="Times New Roman"/>
          <w:color w:val="1C1C1C"/>
          <w:sz w:val="22"/>
          <w:szCs w:val="22"/>
        </w:rPr>
        <w:t xml:space="preserve">Testa o desempenho da estrategia com pequenas variacoes nos parametros em torno dos valores otimos. Se uma mudanca de 10% no parametro causa queda de 50% no desempenho, o sistema e fragil e provavelmente overfitted. Uma estrategia robusta deve apresentar um platô de desempenho (regiao onde pequenas mudancas de parametros nao afetam significativamente o resultado).</w:t>
      </w:r>
    </w:p>
    <w:p>
      <w:pPr>
        <w:pStyle w:val="Heading3"/>
        <w:spacing w:after="120" w:before="240" w:line="312"/>
      </w:pPr>
      <w:bookmarkStart w:id="100029" w:name="_Toc100029"/>
      <w:r>
        <w:rPr>
          <w:rFonts w:ascii="Times New Roman"/>
          <w:b/>
          <w:bCs/>
          <w:color w:val="333333"/>
          <w:sz w:val="24"/>
          <w:szCs w:val="24"/>
        </w:rPr>
        <w:t xml:space="preserve">7.2 Armadilhas e Vieses</w:t>
      </w:r>
      <w:bookmarkEnd w:id="100029"/>
    </w:p>
    <w:p>
      <w:pPr>
        <w:spacing w:after="120" w:line="312"/>
        <w:jc w:val="both"/>
      </w:pPr>
      <w:r>
        <w:rPr>
          <w:rFonts w:ascii="Times New Roman"/>
          <w:b/>
          <w:bCs/>
          <w:color w:val="1C1C1C"/>
          <w:sz w:val="22"/>
          <w:szCs w:val="22"/>
        </w:rPr>
        <w:t xml:space="preserve">Overfitting (Curve Fitting): </w:t>
      </w:r>
      <w:r>
        <w:rPr>
          <w:rFonts w:ascii="Times New Roman"/>
          <w:color w:val="1C1C1C"/>
          <w:sz w:val="22"/>
          <w:szCs w:val="22"/>
        </w:rPr>
        <w:t xml:space="preserve">Ocorre quando os parametros sao otimizados para se ajustar perfeitamente aos dados historicos, capturando ruido em vez de sinal. Sinais de overfitting: desempenho IS muito superior ao OOS; dependencia extrema de parametros especificos; desempenho cai drasticamente com pequenas mudancas de parametros. Prevencao: IS/OOS rigoroso, walk-forward, simplicidade de parametros, e ceticismo sobre resultados extraordinariamente bons.</w:t>
      </w:r>
    </w:p>
    <w:p>
      <w:pPr>
        <w:spacing w:after="120" w:line="312"/>
        <w:jc w:val="both"/>
      </w:pPr>
      <w:r>
        <w:rPr>
          <w:rFonts w:ascii="Times New Roman"/>
          <w:b/>
          <w:bCs/>
          <w:color w:val="1C1C1C"/>
          <w:sz w:val="22"/>
          <w:szCs w:val="22"/>
        </w:rPr>
        <w:t xml:space="preserve">Look-Ahead Bias: </w:t>
      </w:r>
      <w:r>
        <w:rPr>
          <w:rFonts w:ascii="Times New Roman"/>
          <w:color w:val="1C1C1C"/>
          <w:sz w:val="22"/>
          <w:szCs w:val="22"/>
        </w:rPr>
        <w:t xml:space="preserve">Ocorre quando o backtest utiliza informacao que nao estaria disponivel no momento da decisao. Exemplos: usar o fechamento da barra para tomar decisao na mesma barra; usar dados que so seriam publicados apos o fechamento; incluir dividendos atrasados. Prevencao: garantir que toda decisao utilize apenas dados disponveis ate o momento da barra (t-1), nao incluindo dados da barra atual (t).</w:t>
      </w:r>
    </w:p>
    <w:p>
      <w:pPr>
        <w:spacing w:after="120" w:line="312"/>
        <w:jc w:val="both"/>
      </w:pPr>
      <w:r>
        <w:rPr>
          <w:rFonts w:ascii="Times New Roman"/>
          <w:b/>
          <w:bCs/>
          <w:color w:val="1C1C1C"/>
          <w:sz w:val="22"/>
          <w:szCs w:val="22"/>
        </w:rPr>
        <w:t xml:space="preserve">Survivorship Bias: </w:t>
      </w:r>
      <w:r>
        <w:rPr>
          <w:rFonts w:ascii="Times New Roman"/>
          <w:color w:val="1C1C1C"/>
          <w:sz w:val="22"/>
          <w:szCs w:val="22"/>
        </w:rPr>
        <w:t xml:space="preserve">Ocorre quando o dataset inclui apenas ativos que sobreviveram ate o presente, excluindo aqueles que faliram ou foram delistados. No Forex, o survivorship bias e menos relevante (pares majores raramente desaparecem), mas ainda pode afetar acoes e indices. Prevencao: utilizar datasets que incluem ativos delistados quando aplicavel.</w:t>
      </w:r>
    </w:p>
    <w:p>
      <w:pPr>
        <w:spacing w:after="120" w:line="312"/>
        <w:jc w:val="both"/>
      </w:pPr>
      <w:r>
        <w:rPr>
          <w:rFonts w:ascii="Times New Roman"/>
          <w:b/>
          <w:bCs/>
          <w:color w:val="1C1C1C"/>
          <w:sz w:val="22"/>
          <w:szCs w:val="22"/>
        </w:rPr>
        <w:t xml:space="preserve">Data Snooping / Multiple Testing: </w:t>
      </w:r>
      <w:r>
        <w:rPr>
          <w:rFonts w:ascii="Times New Roman"/>
          <w:color w:val="1C1C1C"/>
          <w:sz w:val="22"/>
          <w:szCs w:val="22"/>
        </w:rPr>
        <w:t xml:space="preserve">Ocorre quando se testa muitas hipoteses nos mesmos dados e reporta apenas as melhores. Com N testes independentes, a probabilidade de encontrar pelo menos um 'significativo' por acaso e 1-(1-alpha)^N. Testando 100 estrategias com alpha=5%, a probabilidade de encontrar pelo menos uma 'significativa' por acaso e 99.4%. Prevencao: ajustar significancia (Bonferroni, Holm), testar apenas hipoteses com fundamento teorico, e validar em dados OOS.</w:t>
      </w:r>
    </w:p>
    <w:p>
      <w:pPr>
        <w:spacing w:after="120" w:line="312"/>
        <w:jc w:val="both"/>
      </w:pPr>
      <w:r>
        <w:rPr>
          <w:rFonts w:ascii="Times New Roman"/>
          <w:b/>
          <w:bCs/>
          <w:color w:val="1C1C1C"/>
          <w:sz w:val="22"/>
          <w:szCs w:val="22"/>
        </w:rPr>
        <w:t xml:space="preserve">Selection Bias: </w:t>
      </w:r>
      <w:r>
        <w:rPr>
          <w:rFonts w:ascii="Times New Roman"/>
          <w:color w:val="1C1C1C"/>
          <w:sz w:val="22"/>
          <w:szCs w:val="22"/>
        </w:rPr>
        <w:t xml:space="preserve">Ocorre quando se escolhe deliberadamente o periodo de backtest que apresenta os melhores resultados. Exemplo: testar de 2020 a 2023 (periodo de tendencia forte) e reportar resultados, omitindo 2014-2019 (periodo de range). Prevencao: testar em periodos longos (minimo 5-10 anos) e reportar resultados para sub-periodos separados.</w:t>
      </w:r>
    </w:p>
    <w:p>
      <w:pPr>
        <w:spacing w:after="120" w:line="312"/>
        <w:jc w:val="both"/>
      </w:pPr>
      <w:r>
        <w:rPr>
          <w:rFonts w:ascii="Times New Roman"/>
          <w:b/>
          <w:bCs/>
          <w:color w:val="1C1C1C"/>
          <w:sz w:val="22"/>
          <w:szCs w:val="22"/>
        </w:rPr>
        <w:t xml:space="preserve">Future Leakage: </w:t>
      </w:r>
      <w:r>
        <w:rPr>
          <w:rFonts w:ascii="Times New Roman"/>
          <w:color w:val="1C1C1C"/>
          <w:sz w:val="22"/>
          <w:szCs w:val="22"/>
        </w:rPr>
        <w:t xml:space="preserve">Forma de look-ahead bias onde o modelo tem acesso a dados futuros de forma sutil. Exemplos: normalizar features usando media/desvio padrao do dataset inteiro (incluindo dados futuros); usar labels que dependem de informacao futura; pre-processar dados antes de dividir em treino/teste. Prevencao: todo pre-processamento deve usar apenas dados do passado em relacao ao ponto de decisao.</w:t>
      </w:r>
    </w:p>
    <w:p>
      <w:pPr>
        <w:pStyle w:val="Heading1"/>
        <w:spacing w:after="200" w:before="480" w:line="312"/>
      </w:pPr>
      <w:bookmarkStart w:id="100030" w:name="_Toc100030"/>
      <w:r>
        <w:rPr>
          <w:rFonts w:ascii="Times New Roman"/>
          <w:b/>
          <w:bCs/>
          <w:color w:val="1A1A1A"/>
          <w:sz w:val="32"/>
          <w:szCs w:val="32"/>
        </w:rPr>
        <w:t xml:space="preserve">PARTE 2 - Estrategias Quantitativas</w:t>
      </w:r>
      <w:bookmarkEnd w:id="100030"/>
    </w:p>
    <w:p>
      <w:pPr>
        <w:pStyle w:val="Heading2"/>
        <w:spacing w:after="160" w:before="360" w:line="312"/>
      </w:pPr>
      <w:bookmarkStart w:id="100031" w:name="_Toc100031"/>
      <w:r>
        <w:rPr>
          <w:rFonts w:ascii="Times New Roman"/>
          <w:b/>
          <w:bCs/>
          <w:color w:val="1A1A1A"/>
          <w:sz w:val="28"/>
          <w:szCs w:val="28"/>
        </w:rPr>
        <w:t xml:space="preserve">1. Familias de Estrategias Quantitativas</w:t>
      </w:r>
      <w:bookmarkEnd w:id="100031"/>
    </w:p>
    <w:p>
      <w:pPr>
        <w:spacing w:after="120" w:line="312"/>
        <w:jc w:val="both"/>
      </w:pPr>
      <w:r>
        <w:rPr>
          <w:rFonts w:ascii="Times New Roman"/>
          <w:color w:val="1C1C1C"/>
          <w:sz w:val="22"/>
          <w:szCs w:val="22"/>
        </w:rPr>
        <w:t xml:space="preserve">Esta secao apresenta as principais familias de estrategias quantitativas aplicaveis ao mercado Forex, analisando a hipotese economica por tras de cada uma, suas condicoes ideais e adversas, e como transformar cada conceito em regras objetivas e programaveis.</w:t>
      </w:r>
    </w:p>
    <w:p>
      <w:pPr>
        <w:pStyle w:val="Heading3"/>
        <w:spacing w:after="120" w:before="240" w:line="312"/>
      </w:pPr>
      <w:bookmarkStart w:id="100032" w:name="_Toc100032"/>
      <w:r>
        <w:rPr>
          <w:rFonts w:ascii="Times New Roman"/>
          <w:b/>
          <w:bCs/>
          <w:color w:val="333333"/>
          <w:sz w:val="24"/>
          <w:szCs w:val="24"/>
        </w:rPr>
        <w:t xml:space="preserve">1.1 Trend Following</w:t>
      </w:r>
      <w:bookmarkEnd w:id="100032"/>
    </w:p>
    <w:p>
      <w:pPr>
        <w:spacing w:after="120" w:line="312"/>
        <w:jc w:val="both"/>
      </w:pPr>
      <w:r>
        <w:rPr>
          <w:rFonts w:ascii="Times New Roman"/>
          <w:b/>
          <w:bCs/>
          <w:color w:val="1C1C1C"/>
          <w:sz w:val="22"/>
          <w:szCs w:val="22"/>
        </w:rPr>
        <w:t xml:space="preserve">Hipotese: </w:t>
      </w:r>
      <w:r>
        <w:rPr>
          <w:rFonts w:ascii="Times New Roman"/>
          <w:color w:val="1C1C1C"/>
          <w:sz w:val="22"/>
          <w:szCs w:val="22"/>
        </w:rPr>
        <w:t xml:space="preserve">Mercados financeiros exibem persistencia de tendencia - movimentos de preco tendem a continuar na mesma direcao por periodos prolongados. Esta hipotese e fundamentada em evidencia academica robusta: o paper seminal 'Returns to Trend Following' de Moskowitz, Ooi e Pedersen (2012) documenta anomalia de momentum em series temporais em mais de 58 mercados, incluindo Forex. A persistencia pode ser atribuida a comportamento gradual de fluxo de informacao, herding behavior, e estruturacao lenta de posicoes institucionais.</w:t>
      </w:r>
    </w:p>
    <w:p>
      <w:pPr>
        <w:spacing w:after="120" w:line="312"/>
        <w:jc w:val="both"/>
      </w:pPr>
      <w:r>
        <w:rPr>
          <w:rFonts w:ascii="Times New Roman"/>
          <w:b/>
          <w:bCs/>
          <w:color w:val="1C1C1C"/>
          <w:sz w:val="22"/>
          <w:szCs w:val="22"/>
        </w:rPr>
        <w:t xml:space="preserve">Condicoes favoraveis: </w:t>
      </w:r>
      <w:r>
        <w:rPr>
          <w:rFonts w:ascii="Times New Roman"/>
          <w:color w:val="1C1C1C"/>
          <w:sz w:val="22"/>
          <w:szCs w:val="22"/>
        </w:rPr>
        <w:t xml:space="preserve">Mercados com tendencia direcional clara (ADX &gt; 25), alta autocorrelacao positiva de retornos, e exposicao prolongada a fatores macroeconomicos unidirecionais como divergencias de politica monetaria. Pares com maior tendencia historica: GBP/JPY, AUD/USD (commodities), USD/JPY.</w:t>
      </w:r>
    </w:p>
    <w:p>
      <w:pPr>
        <w:spacing w:after="120" w:line="312"/>
        <w:jc w:val="both"/>
      </w:pPr>
      <w:r>
        <w:rPr>
          <w:rFonts w:ascii="Times New Roman"/>
          <w:b/>
          <w:bCs/>
          <w:color w:val="1C1C1C"/>
          <w:sz w:val="22"/>
          <w:szCs w:val="22"/>
        </w:rPr>
        <w:t xml:space="preserve">Condicoes adversas: </w:t>
      </w:r>
      <w:r>
        <w:rPr>
          <w:rFonts w:ascii="Times New Roman"/>
          <w:color w:val="1C1C1C"/>
          <w:sz w:val="22"/>
          <w:szCs w:val="22"/>
        </w:rPr>
        <w:t xml:space="preserve">Mercados laterais (ADX &lt; 20), reversoes de tendencia (regime changes), e periodos de intervencao de bancos centrais que distorcem precos. O principal risco e o whipsaw: sinais de entrada em falsas tendencias geram multiplas perdas consecutivas.</w:t>
      </w:r>
    </w:p>
    <w:p>
      <w:pPr>
        <w:spacing w:after="120" w:line="312"/>
        <w:jc w:val="both"/>
      </w:pPr>
      <w:r>
        <w:rPr>
          <w:rFonts w:ascii="Times New Roman"/>
          <w:b/>
          <w:bCs/>
          <w:color w:val="1C1C1C"/>
          <w:sz w:val="22"/>
          <w:szCs w:val="22"/>
        </w:rPr>
        <w:t xml:space="preserve">Implementacao: </w:t>
      </w:r>
      <w:r>
        <w:rPr>
          <w:rFonts w:ascii="Times New Roman"/>
          <w:color w:val="1C1C1C"/>
          <w:sz w:val="22"/>
          <w:szCs w:val="22"/>
        </w:rPr>
        <w:t xml:space="preserve">Regra de entrada: Close[i] &gt; EMA(50) E EMA(50) &gt; EMA(200) E ADX(14) &gt; 25 (compra); inverso para venda. Stop loss: 2 * ATR(14) abaixo/acima da entrada. Take profit: trailing stop de 3 * ATR(14). Filtros: MACD histograma positivo, volatilidade nao extrema (ATR &lt; percentil 80). Timeframes: H1, H4, Daily. Pares: majors com alta liquidez.</w:t>
      </w:r>
    </w:p>
    <w:p>
      <w:pPr>
        <w:pStyle w:val="Heading3"/>
        <w:spacing w:after="120" w:before="240" w:line="312"/>
      </w:pPr>
      <w:bookmarkStart w:id="100033" w:name="_Toc100033"/>
      <w:r>
        <w:rPr>
          <w:rFonts w:ascii="Times New Roman"/>
          <w:b/>
          <w:bCs/>
          <w:color w:val="333333"/>
          <w:sz w:val="24"/>
          <w:szCs w:val="24"/>
        </w:rPr>
        <w:t xml:space="preserve">1.2 Momentum</w:t>
      </w:r>
      <w:bookmarkEnd w:id="100033"/>
    </w:p>
    <w:p>
      <w:pPr>
        <w:spacing w:after="120" w:line="312"/>
        <w:jc w:val="both"/>
      </w:pPr>
      <w:r>
        <w:rPr>
          <w:rFonts w:ascii="Times New Roman"/>
          <w:b/>
          <w:bCs/>
          <w:color w:val="1C1C1C"/>
          <w:sz w:val="22"/>
          <w:szCs w:val="22"/>
        </w:rPr>
        <w:t xml:space="preserve">Hipotese: </w:t>
      </w:r>
      <w:r>
        <w:rPr>
          <w:rFonts w:ascii="Times New Roman"/>
          <w:color w:val="1C1C1C"/>
          <w:sz w:val="22"/>
          <w:szCs w:val="22"/>
        </w:rPr>
        <w:t xml:space="preserve">Ativos que performaram bem em periodos recentes tendem a continuar performando bem, e vice-versa. No Forex, o momentum de series temporais (time-series momentum) e mais relevante que momentum cross-sectional, pois nao ha 'selecao' de ativos na mesma forma que em acoes. O paper de Menkhoff, Sarno, Schmeling e Schrimpf (2012) documenta momentum em 48 pares de moedas, encontrando retornos anualizados de 3-10% apos custos.</w:t>
      </w:r>
    </w:p>
    <w:p>
      <w:pPr>
        <w:spacing w:after="120" w:line="312"/>
        <w:jc w:val="both"/>
      </w:pPr>
      <w:r>
        <w:rPr>
          <w:rFonts w:ascii="Times New Roman"/>
          <w:b/>
          <w:bCs/>
          <w:color w:val="1C1C1C"/>
          <w:sz w:val="22"/>
          <w:szCs w:val="22"/>
        </w:rPr>
        <w:t xml:space="preserve">Implementacao: </w:t>
      </w:r>
      <w:r>
        <w:rPr>
          <w:rFonts w:ascii="Times New Roman"/>
          <w:color w:val="1C1C1C"/>
          <w:sz w:val="22"/>
          <w:szCs w:val="22"/>
        </w:rPr>
        <w:t xml:space="preserve">Entrada: retorno dos ultimos 3-12 meses &gt; 0 (compra); &lt; 0 (venda). Regra objetiva: sign(soma(returns[i], i = t-12 ate t)) &gt; 0. Stop: 2-3 ATR. Take profit: sem target fixo; usar trailing stop. Filtros: momentum apenas em pares com volatilidade moderada; evitar durante eventos macrocriticos. Timeframe: Daily ou H4.</w:t>
      </w:r>
    </w:p>
    <w:p>
      <w:pPr>
        <w:pStyle w:val="Heading3"/>
        <w:spacing w:after="120" w:before="240" w:line="312"/>
      </w:pPr>
      <w:bookmarkStart w:id="100034" w:name="_Toc100034"/>
      <w:r>
        <w:rPr>
          <w:rFonts w:ascii="Times New Roman"/>
          <w:b/>
          <w:bCs/>
          <w:color w:val="333333"/>
          <w:sz w:val="24"/>
          <w:szCs w:val="24"/>
        </w:rPr>
        <w:t xml:space="preserve">1.3 Mean Reversion</w:t>
      </w:r>
      <w:bookmarkEnd w:id="100034"/>
    </w:p>
    <w:p>
      <w:pPr>
        <w:spacing w:after="120" w:line="312"/>
        <w:jc w:val="both"/>
      </w:pPr>
      <w:r>
        <w:rPr>
          <w:rFonts w:ascii="Times New Roman"/>
          <w:b/>
          <w:bCs/>
          <w:color w:val="1C1C1C"/>
          <w:sz w:val="22"/>
          <w:szCs w:val="22"/>
        </w:rPr>
        <w:t xml:space="preserve">Hipotese: </w:t>
      </w:r>
      <w:r>
        <w:rPr>
          <w:rFonts w:ascii="Times New Roman"/>
          <w:color w:val="1C1C1C"/>
          <w:sz w:val="22"/>
          <w:szCs w:val="22"/>
        </w:rPr>
        <w:t xml:space="preserve">Precos tendem a reverter a sua media (ou valor justo) ao longo do tempo. No Forex, a mean reversion e parcialmente fundamentada pela Paridade do Poder de Compra (PPP), que sugere que taxas de cambio tendem a reverter para niveis que equalizam poder de compra entre paises. No curto prazo, overreaction de mercado a noticias gera desvios temporarios que tendem a corrigir-se. Evidencia academica: Menkhoff et al. (2012) e Burnside et al. (2011).</w:t>
      </w:r>
    </w:p>
    <w:p>
      <w:pPr>
        <w:spacing w:after="120" w:line="312"/>
        <w:jc w:val="both"/>
      </w:pPr>
      <w:r>
        <w:rPr>
          <w:rFonts w:ascii="Times New Roman"/>
          <w:b/>
          <w:bCs/>
          <w:color w:val="1C1C1C"/>
          <w:sz w:val="22"/>
          <w:szCs w:val="22"/>
        </w:rPr>
        <w:t xml:space="preserve">Condicoes favoraveis: </w:t>
      </w:r>
      <w:r>
        <w:rPr>
          <w:rFonts w:ascii="Times New Roman"/>
          <w:color w:val="1C1C1C"/>
          <w:sz w:val="22"/>
          <w:szCs w:val="22"/>
        </w:rPr>
        <w:t xml:space="preserve">Mercados laterais com ADX &lt; 20, precos afastados da media (Bollinger Band extremes), RSI em sobrecompra/sobrevenda extrema (&gt; 70 ou &lt; 30). Pares com intervencoes de banco central podem apresentar reversoes mais rapidas.</w:t>
      </w:r>
    </w:p>
    <w:p>
      <w:pPr>
        <w:spacing w:after="120" w:line="312"/>
        <w:jc w:val="both"/>
      </w:pPr>
      <w:r>
        <w:rPr>
          <w:rFonts w:ascii="Times New Roman"/>
          <w:b/>
          <w:bCs/>
          <w:color w:val="1C1C1C"/>
          <w:sz w:val="22"/>
          <w:szCs w:val="22"/>
        </w:rPr>
        <w:t xml:space="preserve">Risco de overfitting: </w:t>
      </w:r>
      <w:r>
        <w:rPr>
          <w:rFonts w:ascii="Times New Roman"/>
          <w:color w:val="1C1C1C"/>
          <w:sz w:val="22"/>
          <w:szCs w:val="22"/>
        </w:rPr>
        <w:t xml:space="preserve">Alto. Mean reversion requer definicao clara de 'quao longe da media' e 'quanto tempo para reverter'. Parametros muito especificos para these thresholds tendem a overfit. Robustez exige testar multiplos thresholds e verificar consistencia.</w:t>
      </w:r>
    </w:p>
    <w:p>
      <w:pPr>
        <w:pStyle w:val="Heading3"/>
        <w:spacing w:after="120" w:before="240" w:line="312"/>
      </w:pPr>
      <w:bookmarkStart w:id="100035" w:name="_Toc100035"/>
      <w:r>
        <w:rPr>
          <w:rFonts w:ascii="Times New Roman"/>
          <w:b/>
          <w:bCs/>
          <w:color w:val="333333"/>
          <w:sz w:val="24"/>
          <w:szCs w:val="24"/>
        </w:rPr>
        <w:t xml:space="preserve">1.4 Breakout</w:t>
      </w:r>
      <w:bookmarkEnd w:id="100035"/>
    </w:p>
    <w:p>
      <w:pPr>
        <w:spacing w:after="120" w:line="312"/>
        <w:jc w:val="both"/>
      </w:pPr>
      <w:r>
        <w:rPr>
          <w:rFonts w:ascii="Times New Roman"/>
          <w:b/>
          <w:bCs/>
          <w:color w:val="1C1C1C"/>
          <w:sz w:val="22"/>
          <w:szCs w:val="22"/>
        </w:rPr>
        <w:t xml:space="preserve">Hipotese: </w:t>
      </w:r>
      <w:r>
        <w:rPr>
          <w:rFonts w:ascii="Times New Roman"/>
          <w:color w:val="1C1C1C"/>
          <w:sz w:val="22"/>
          <w:szCs w:val="22"/>
        </w:rPr>
        <w:t xml:space="preserve">Quando o preco ultrapassa um nivel significativo (maxima/minima recente), ha maior probabilidade de continuidade do que de reversao, especialmente apos periodos de compressao de volatilidade. O paper de 'Volatility Breakout' e fundamentado na observacao de que compressao seguida de expansao tende a gerar movimentos direcionais significativos.</w:t>
      </w:r>
    </w:p>
    <w:p>
      <w:pPr>
        <w:spacing w:after="120" w:line="312"/>
        <w:jc w:val="both"/>
      </w:pPr>
      <w:r>
        <w:rPr>
          <w:rFonts w:ascii="Times New Roman"/>
          <w:b/>
          <w:bCs/>
          <w:color w:val="1C1C1C"/>
          <w:sz w:val="22"/>
          <w:szCs w:val="22"/>
        </w:rPr>
        <w:t xml:space="preserve">Condicoes ideais: </w:t>
      </w:r>
      <w:r>
        <w:rPr>
          <w:rFonts w:ascii="Times New Roman"/>
          <w:color w:val="1C1C1C"/>
          <w:sz w:val="22"/>
          <w:szCs w:val="22"/>
        </w:rPr>
        <w:t xml:space="preserve">Volatilidade em compressao (ATR baixo, Bollinger Band Width em percentil &lt; 20), seguida por expansao. Breakouts na abertura de sessoes importantes (Londres, Nova York) tendem a ter mais significado. Breakouts em timeframes mais altos (H4, Daily) sao mais significativos que em M5.</w:t>
      </w:r>
    </w:p>
    <w:p>
      <w:pPr>
        <w:spacing w:after="120" w:line="312"/>
        <w:jc w:val="both"/>
      </w:pPr>
      <w:r>
        <w:rPr>
          <w:rFonts w:ascii="Times New Roman"/>
          <w:b/>
          <w:bCs/>
          <w:color w:val="1C1C1C"/>
          <w:sz w:val="22"/>
          <w:szCs w:val="22"/>
        </w:rPr>
        <w:t xml:space="preserve">Implementacao: </w:t>
      </w:r>
      <w:r>
        <w:rPr>
          <w:rFonts w:ascii="Times New Roman"/>
          <w:color w:val="1C1C1C"/>
          <w:sz w:val="22"/>
          <w:szCs w:val="22"/>
        </w:rPr>
        <w:t xml:space="preserve">Entrada: Close[i] &gt; High[i-20..i-1] (breakout de 20 barras). Filtro: ATR[14] &lt; 0.7 * ATR[50] (pre-breakout compression). Stop: entrada - 1.5 * ATR(14). TP: 3 * ATR(14). Variacoes: breakout de 10, 20, 50 barras com filtros de volatilidade. Hipotese testavel: breakouts apos compressao apresentam expectativa positiva.</w:t>
      </w:r>
    </w:p>
    <w:p>
      <w:pPr>
        <w:pStyle w:val="Heading3"/>
        <w:spacing w:after="120" w:before="240" w:line="312"/>
      </w:pPr>
      <w:bookmarkStart w:id="100036" w:name="_Toc100036"/>
      <w:r>
        <w:rPr>
          <w:rFonts w:ascii="Times New Roman"/>
          <w:b/>
          <w:bCs/>
          <w:color w:val="333333"/>
          <w:sz w:val="24"/>
          <w:szCs w:val="24"/>
        </w:rPr>
        <w:t xml:space="preserve">1.5 Carry Trade</w:t>
      </w:r>
      <w:bookmarkEnd w:id="100036"/>
    </w:p>
    <w:p>
      <w:pPr>
        <w:spacing w:after="120" w:line="312"/>
        <w:jc w:val="both"/>
      </w:pPr>
      <w:r>
        <w:rPr>
          <w:rFonts w:ascii="Times New Roman"/>
          <w:b/>
          <w:bCs/>
          <w:color w:val="1C1C1C"/>
          <w:sz w:val="22"/>
          <w:szCs w:val="22"/>
        </w:rPr>
        <w:t xml:space="preserve">Hipotese: </w:t>
      </w:r>
      <w:r>
        <w:rPr>
          <w:rFonts w:ascii="Times New Roman"/>
          <w:color w:val="1C1C1C"/>
          <w:sz w:val="22"/>
          <w:szCs w:val="22"/>
        </w:rPr>
        <w:t xml:space="preserve">Moedas com taxas de juros mais altas tendem a se apreciar em relacao a moedas com taxas mais baixas, compensando o investidor pelo diferencial de juros. Esta e uma das anomalias mais bem documentadas em finanzas internacionais. O paper de Burnside et al. (2006) documenta o 'forward premium puzzle': moedas de alta taxa de juros tendem a se apreciar, contradizendo a Covered Interest Parity em termos esperados. Evidencia empirica: o carry trade gerou retornos positivos na maioria dos periodos de 30 anos analisados, mas com drawdowns severos ocasionais (crises de 2008, por exemplo).</w:t>
      </w:r>
    </w:p>
    <w:p>
      <w:pPr>
        <w:spacing w:after="120" w:line="312"/>
        <w:jc w:val="both"/>
      </w:pPr>
      <w:r>
        <w:rPr>
          <w:rFonts w:ascii="Times New Roman"/>
          <w:b/>
          <w:bCs/>
          <w:color w:val="1C1C1C"/>
          <w:sz w:val="22"/>
          <w:szCs w:val="22"/>
        </w:rPr>
        <w:t xml:space="preserve">Riscos: </w:t>
      </w:r>
      <w:r>
        <w:rPr>
          <w:rFonts w:ascii="Times New Roman"/>
          <w:color w:val="1C1C1C"/>
          <w:sz w:val="22"/>
          <w:szCs w:val="22"/>
        </w:rPr>
        <w:t xml:space="preserve">O principal risco e 'unwinding' abrupto: quando aversao ao risco aumenta globalmente, carry trades sao liquidados em massa, causando apreciacao abrupta das moedas de funding (baixo juros). Este tail risk e subestimado por metricas tradicionais como Sharpe Ratio. O carry trade tem distribuicao de retornos com skewness negativa (perdas raras mas grandes) e curtose positiva.</w:t>
      </w:r>
    </w:p>
    <w:p>
      <w:pPr>
        <w:spacing w:after="120" w:line="312"/>
        <w:jc w:val="both"/>
      </w:pPr>
      <w:r>
        <w:rPr>
          <w:rFonts w:ascii="Times New Roman"/>
          <w:b/>
          <w:bCs/>
          <w:color w:val="1C1C1C"/>
          <w:sz w:val="22"/>
          <w:szCs w:val="22"/>
        </w:rPr>
        <w:t xml:space="preserve">Implementacao: </w:t>
      </w:r>
      <w:r>
        <w:rPr>
          <w:rFonts w:ascii="Times New Roman"/>
          <w:color w:val="1C1C1C"/>
          <w:sz w:val="22"/>
          <w:szCs w:val="22"/>
        </w:rPr>
        <w:t xml:space="preserve">Identificar pares com diferencial de juros significativo (&gt; 2%). Entrar na direcao do diferencial (comprar moeda de alta taxa, vender de baixa). Stop loss: amplo (3-5% do preco). Posicao: longa duracao (semanas a meses). Filtros: volatilidade implicita, VIX, aversao ao risco global.</w:t>
      </w:r>
    </w:p>
    <w:p>
      <w:pPr>
        <w:pStyle w:val="Heading3"/>
        <w:spacing w:after="120" w:before="240" w:line="312"/>
      </w:pPr>
      <w:bookmarkStart w:id="100037" w:name="_Toc100037"/>
      <w:r>
        <w:rPr>
          <w:rFonts w:ascii="Times New Roman"/>
          <w:b/>
          <w:bCs/>
          <w:color w:val="333333"/>
          <w:sz w:val="24"/>
          <w:szCs w:val="24"/>
        </w:rPr>
        <w:t xml:space="preserve">1.6 Session Breakout (London / Asian Range / Opening Range)</w:t>
      </w:r>
      <w:bookmarkEnd w:id="100037"/>
    </w:p>
    <w:p>
      <w:pPr>
        <w:spacing w:after="120" w:line="312"/>
        <w:jc w:val="both"/>
      </w:pPr>
      <w:r>
        <w:rPr>
          <w:rFonts w:ascii="Times New Roman"/>
          <w:b/>
          <w:bCs/>
          <w:color w:val="1C1C1C"/>
          <w:sz w:val="22"/>
          <w:szCs w:val="22"/>
        </w:rPr>
        <w:t xml:space="preserve">Hipotese: </w:t>
      </w:r>
      <w:r>
        <w:rPr>
          <w:rFonts w:ascii="Times New Roman"/>
          <w:color w:val="1C1C1C"/>
          <w:sz w:val="22"/>
          <w:szCs w:val="22"/>
        </w:rPr>
        <w:t xml:space="preserve">Diferentes sessoes de negociacao tem caracteristicas de volatilidade distintas. A sessao asiatica tende a formar um range relativamente estreito. A abertura de Londres frequentemente 'breaks' o range asiatico, gerando movimento direcional. Este padrao e um dos mais citados entre traders de Forex intraday.</w:t>
      </w:r>
    </w:p>
    <w:p>
      <w:pPr>
        <w:spacing w:after="120" w:line="312"/>
        <w:jc w:val="both"/>
      </w:pPr>
      <w:r>
        <w:rPr>
          <w:rFonts w:ascii="Times New Roman"/>
          <w:b/>
          <w:bCs/>
          <w:color w:val="1C1C1C"/>
          <w:sz w:val="22"/>
          <w:szCs w:val="22"/>
        </w:rPr>
        <w:t xml:space="preserve">Asian Range Breakout: </w:t>
      </w:r>
      <w:r>
        <w:rPr>
          <w:rFonts w:ascii="Times New Roman"/>
          <w:color w:val="1C1C1C"/>
          <w:sz w:val="22"/>
          <w:szCs w:val="22"/>
        </w:rPr>
        <w:t xml:space="preserve">Definir o range (High e Low) da sessao asiatica (tipicamente 22:00-06:00 GMT). Quando o preco ultrapassa o range asiatico na abertura de Londres, operar na direcao do breakout. Filtro: range asiatico &lt; ATR medio (range compressao). Stop: entrada - altura do range. TP: 1-2 vezes a altura do range.</w:t>
      </w:r>
    </w:p>
    <w:p>
      <w:pPr>
        <w:spacing w:after="120" w:line="312"/>
        <w:jc w:val="both"/>
      </w:pPr>
      <w:r>
        <w:rPr>
          <w:rFonts w:ascii="Times New Roman"/>
          <w:b/>
          <w:bCs/>
          <w:color w:val="1C1C1C"/>
          <w:sz w:val="22"/>
          <w:szCs w:val="22"/>
        </w:rPr>
        <w:t xml:space="preserve">Evidencia empirica: </w:t>
      </w:r>
      <w:r>
        <w:rPr>
          <w:rFonts w:ascii="Times New Roman"/>
          <w:color w:val="1C1C1C"/>
          <w:sz w:val="22"/>
          <w:szCs w:val="22"/>
        </w:rPr>
        <w:t xml:space="preserve">Estudos de bancos e pesquisadores quantitativos documentam que o Asian Range Breakout apresenta edge estatistico em pares como GBP/USD, EUR/USD e EUR/GBP. Porem, o edge diminuiu significativamente nos ultimos anos a medida que o padrao se tornou mais conhecido. Hipotese testavel: o edge permanece significativo apos custos transacionais.</w:t>
      </w:r>
    </w:p>
    <w:p>
      <w:pPr>
        <w:pStyle w:val="Heading3"/>
        <w:spacing w:after="120" w:before="240" w:line="312"/>
      </w:pPr>
      <w:bookmarkStart w:id="100038" w:name="_Toc100038"/>
      <w:r>
        <w:rPr>
          <w:rFonts w:ascii="Times New Roman"/>
          <w:b/>
          <w:bCs/>
          <w:color w:val="333333"/>
          <w:sz w:val="24"/>
          <w:szCs w:val="24"/>
        </w:rPr>
        <w:t xml:space="preserve">1.7 Volatility Expansion / Contraction</w:t>
      </w:r>
      <w:bookmarkEnd w:id="100038"/>
    </w:p>
    <w:p>
      <w:pPr>
        <w:spacing w:after="120" w:line="312"/>
        <w:jc w:val="both"/>
      </w:pPr>
      <w:r>
        <w:rPr>
          <w:rFonts w:ascii="Times New Roman"/>
          <w:b/>
          <w:bCs/>
          <w:color w:val="1C1C1C"/>
          <w:sz w:val="22"/>
          <w:szCs w:val="22"/>
        </w:rPr>
        <w:t xml:space="preserve">Hipotese: </w:t>
      </w:r>
      <w:r>
        <w:rPr>
          <w:rFonts w:ascii="Times New Roman"/>
          <w:color w:val="1C1C1C"/>
          <w:sz w:val="22"/>
          <w:szCs w:val="22"/>
        </w:rPr>
        <w:t xml:space="preserve">Periodos de volatilidade baixa (contracao) tendem a ser seguidos por periodos de volatilidade alta (expansao), e vice-versa. Este comportamento, conhecido como 'volatility clustering', e uma das propriedades mais bem documentadas em series temporais financeiras (GARCH models de Engle, 1982 e Bollerslev, 1986).</w:t>
      </w:r>
    </w:p>
    <w:p>
      <w:pPr>
        <w:spacing w:after="120" w:line="312"/>
        <w:jc w:val="both"/>
      </w:pPr>
      <w:r>
        <w:rPr>
          <w:rFonts w:ascii="Times New Roman"/>
          <w:b/>
          <w:bCs/>
          <w:color w:val="1C1C1C"/>
          <w:sz w:val="22"/>
          <w:szCs w:val="22"/>
        </w:rPr>
        <w:t xml:space="preserve">Implementacao: </w:t>
      </w:r>
      <w:r>
        <w:rPr>
          <w:rFonts w:ascii="Times New Roman"/>
          <w:color w:val="1C1C1C"/>
          <w:sz w:val="22"/>
          <w:szCs w:val="22"/>
        </w:rPr>
        <w:t xml:space="preserve">Medir volatilidade (ATR ou desvio padrao de retornos) em janela curta (10 periodos) e longa (50 periodos). Quando vol_curta &lt; 0.7 * vol_longa (contracao extrema), preparar para expansao. Estrategia: breakout apos contracao, ou straddle de volatilidade (limitado em Forex spot). A transicao contracao-expansao e um dos eventos mais previsveis em mercados financeiros.</w:t>
      </w:r>
    </w:p>
    <w:p>
      <w:pPr>
        <w:pStyle w:val="Heading3"/>
        <w:spacing w:after="120" w:before="240" w:line="312"/>
      </w:pPr>
      <w:bookmarkStart w:id="100039" w:name="_Toc100039"/>
      <w:r>
        <w:rPr>
          <w:rFonts w:ascii="Times New Roman"/>
          <w:b/>
          <w:bCs/>
          <w:color w:val="333333"/>
          <w:sz w:val="24"/>
          <w:szCs w:val="24"/>
        </w:rPr>
        <w:t xml:space="preserve">1.8 Statistical Arbitrage</w:t>
      </w:r>
      <w:bookmarkEnd w:id="100039"/>
    </w:p>
    <w:p>
      <w:pPr>
        <w:spacing w:after="120" w:line="312"/>
        <w:jc w:val="both"/>
      </w:pPr>
      <w:r>
        <w:rPr>
          <w:rFonts w:ascii="Times New Roman"/>
          <w:b/>
          <w:bCs/>
          <w:color w:val="1C1C1C"/>
          <w:sz w:val="22"/>
          <w:szCs w:val="22"/>
        </w:rPr>
        <w:t xml:space="preserve">Hipotese: </w:t>
      </w:r>
      <w:r>
        <w:rPr>
          <w:rFonts w:ascii="Times New Roman"/>
          <w:color w:val="1C1C1C"/>
          <w:sz w:val="22"/>
          <w:szCs w:val="22"/>
        </w:rPr>
        <w:t xml:space="preserve">Pares de moedas altamente correlacionados devem manter uma relacao de equilibrio a longo prazo. Desvios significativos deste equilibrio (co-integracao) tendem a ser temporarios e representam oportunidades de arbitragem estatistica. A co-integracao (Engle e Granger, 1987) e o conceito fundamental: dois ativos sao co-integrados se existe uma combinacao linear estacionaria entre eles.</w:t>
      </w:r>
    </w:p>
    <w:p>
      <w:pPr>
        <w:spacing w:after="120" w:line="312"/>
        <w:jc w:val="both"/>
      </w:pPr>
      <w:r>
        <w:rPr>
          <w:rFonts w:ascii="Times New Roman"/>
          <w:b/>
          <w:bCs/>
          <w:color w:val="1C1C1C"/>
          <w:sz w:val="22"/>
          <w:szCs w:val="22"/>
        </w:rPr>
        <w:t xml:space="preserve">Implementacao: </w:t>
      </w:r>
      <w:r>
        <w:rPr>
          <w:rFonts w:ascii="Times New Roman"/>
          <w:color w:val="1C1C1C"/>
          <w:sz w:val="22"/>
          <w:szCs w:val="22"/>
        </w:rPr>
        <w:t xml:space="preserve">Identificar pares co-integrados (ex: EUR/USD e GBP/USD). Calcular o spread (z-score): z = (spread - media) / desvio_padrao. Quando z &gt; 2, vender o par dominante e comprar o fraco; quando z &lt; -2, operar na direcao oposta. Fechar posicao quando z reverte para zero. Requer regeneracao periodica do modelo de co-integracao.</w:t>
      </w:r>
    </w:p>
    <w:p>
      <w:pPr>
        <w:pStyle w:val="Heading3"/>
        <w:spacing w:after="120" w:before="240" w:line="312"/>
      </w:pPr>
      <w:bookmarkStart w:id="100040" w:name="_Toc100040"/>
      <w:r>
        <w:rPr>
          <w:rFonts w:ascii="Times New Roman"/>
          <w:b/>
          <w:bCs/>
          <w:color w:val="333333"/>
          <w:sz w:val="24"/>
          <w:szCs w:val="24"/>
        </w:rPr>
        <w:t xml:space="preserve">1.9 Multi-Timeframe Strategy</w:t>
      </w:r>
      <w:bookmarkEnd w:id="100040"/>
    </w:p>
    <w:p>
      <w:pPr>
        <w:spacing w:after="120" w:line="312"/>
        <w:jc w:val="both"/>
      </w:pPr>
      <w:r>
        <w:rPr>
          <w:rFonts w:ascii="Times New Roman"/>
          <w:b/>
          <w:bCs/>
          <w:color w:val="1C1C1C"/>
          <w:sz w:val="22"/>
          <w:szCs w:val="22"/>
        </w:rPr>
        <w:t xml:space="preserve">Hipotese: </w:t>
      </w:r>
      <w:r>
        <w:rPr>
          <w:rFonts w:ascii="Times New Roman"/>
          <w:color w:val="1C1C1C"/>
          <w:sz w:val="22"/>
          <w:szCs w:val="22"/>
        </w:rPr>
        <w:t xml:space="preserve">Alinhar sinais de multiplos timeframes aumenta a probabilidade de acerto. Por exemplo, tendencia de alta no Daily + pullback ao suporte no H4 + sinal de entrada no H1. Esta abordagem e fundamentada na observacao de que movimentos em timeframes superiores tendem a prevalecer sobre movimentos em timeframes inferiores.</w:t>
      </w:r>
    </w:p>
    <w:p>
      <w:pPr>
        <w:spacing w:after="120" w:line="312"/>
        <w:jc w:val="both"/>
      </w:pPr>
      <w:r>
        <w:rPr>
          <w:rFonts w:ascii="Times New Roman"/>
          <w:b/>
          <w:bCs/>
          <w:color w:val="1C1C1C"/>
          <w:sz w:val="22"/>
          <w:szCs w:val="22"/>
        </w:rPr>
        <w:t xml:space="preserve">Implementacao: </w:t>
      </w:r>
      <w:r>
        <w:rPr>
          <w:rFonts w:ascii="Times New Roman"/>
          <w:color w:val="1C1C1C"/>
          <w:sz w:val="22"/>
          <w:szCs w:val="22"/>
        </w:rPr>
        <w:t xml:space="preserve">Definir tendencia no timeframe superior (ex: EMA50 &gt; EMA200 no Daily). Identificar pullback no timeframe medio (ex: RSI &lt; 30 no H4). Gerar sinal de entrada no timeframe inferior (ex: reversao de candle no M15). Cada timeframe fornece um filtro adicional que reduz falsos sinais.</w:t>
      </w:r>
    </w:p>
    <w:p>
      <w:pPr>
        <w:pStyle w:val="Heading3"/>
        <w:spacing w:after="120" w:before="240" w:line="312"/>
      </w:pPr>
      <w:bookmarkStart w:id="100041" w:name="_Toc100041"/>
      <w:r>
        <w:rPr>
          <w:rFonts w:ascii="Times New Roman"/>
          <w:b/>
          <w:bCs/>
          <w:color w:val="333333"/>
          <w:sz w:val="24"/>
          <w:szCs w:val="24"/>
        </w:rPr>
        <w:t xml:space="preserve">1.10 Tabela Comparativa de Estrategias</w:t>
      </w:r>
      <w:bookmarkEnd w:id="100041"/>
    </w:p>
    <w:p>
      <w:pPr>
        <w:keepNext/>
        <w:spacing w:after="80"/>
      </w:pPr>
      <w:r>
        <w:rPr>
          <w:rFonts w:ascii="Times New Roman"/>
          <w:b/>
          <w:bCs/>
          <w:i/>
          <w:iCs/>
          <w:color w:val="555555"/>
          <w:sz w:val="20"/>
          <w:szCs w:val="20"/>
        </w:rPr>
        <w:t xml:space="preserve">Tabela 4: Comparativo de familias de estrategias quantitativas</w:t>
      </w:r>
    </w:p>
    <w:tbl>
      <w:tblPr>
        <w:tblW w:type="pct" w:w="100%"/>
        <w:tblBorders>
          <w:top w:val="single" w:color="C9A84C" w:sz="2"/>
          <w:left w:val="none"/>
          <w:bottom w:val="single" w:color="C9A84C" w:sz="2"/>
          <w:right w:val="none"/>
          <w:insideH w:val="single" w:color="DDD5C0" w:sz="1"/>
          <w:insideV w:val="none"/>
        </w:tblBorders>
      </w:tblPr>
      <w:tblGrid>
        <w:gridCol w:w="100"/>
        <w:gridCol w:w="100"/>
        <w:gridCol w:w="100"/>
        <w:gridCol w:w="100"/>
        <w:gridCol w:w="100"/>
        <w:gridCol w:w="100"/>
      </w:tblGrid>
      <w:tr>
        <w:trPr>
          <w:cantSplit/>
          <w:tblHeader/>
        </w:trPr>
        <w:tc>
          <w:tcPr>
            <w:tcW w:type="pct" w:w="16%"/>
            <w:shd w:fill="C9A84C" w:val="clear"/>
            <w:tcMar>
              <w:top w:type="dxa" w:w="50"/>
              <w:left w:type="dxa" w:w="100"/>
              <w:bottom w:type="dxa" w:w="50"/>
              <w:right w:type="dxa" w:w="100"/>
            </w:tcMar>
          </w:tcPr>
          <w:p>
            <w:pPr>
              <w:jc w:val="center"/>
            </w:pPr>
            <w:r>
              <w:rPr>
                <w:rFonts w:ascii="Calibri"/>
                <w:b/>
                <w:bCs/>
                <w:color w:val="1A1A1A"/>
                <w:sz w:val="20"/>
                <w:szCs w:val="20"/>
              </w:rPr>
              <w:t xml:space="preserve">Estrategia</w:t>
            </w:r>
          </w:p>
        </w:tc>
        <w:tc>
          <w:tcPr>
            <w:tcW w:type="pct" w:w="16%"/>
            <w:shd w:fill="C9A84C" w:val="clear"/>
            <w:tcMar>
              <w:top w:type="dxa" w:w="50"/>
              <w:left w:type="dxa" w:w="100"/>
              <w:bottom w:type="dxa" w:w="50"/>
              <w:right w:type="dxa" w:w="100"/>
            </w:tcMar>
          </w:tcPr>
          <w:p>
            <w:pPr>
              <w:jc w:val="center"/>
            </w:pPr>
            <w:r>
              <w:rPr>
                <w:rFonts w:ascii="Calibri"/>
                <w:b/>
                <w:bCs/>
                <w:color w:val="1A1A1A"/>
                <w:sz w:val="20"/>
                <w:szCs w:val="20"/>
              </w:rPr>
              <w:t xml:space="preserve">Hipotese</w:t>
            </w:r>
          </w:p>
        </w:tc>
        <w:tc>
          <w:tcPr>
            <w:tcW w:type="pct" w:w="16%"/>
            <w:shd w:fill="C9A84C" w:val="clear"/>
            <w:tcMar>
              <w:top w:type="dxa" w:w="50"/>
              <w:left w:type="dxa" w:w="100"/>
              <w:bottom w:type="dxa" w:w="50"/>
              <w:right w:type="dxa" w:w="100"/>
            </w:tcMar>
          </w:tcPr>
          <w:p>
            <w:pPr>
              <w:jc w:val="center"/>
            </w:pPr>
            <w:r>
              <w:rPr>
                <w:rFonts w:ascii="Calibri"/>
                <w:b/>
                <w:bCs/>
                <w:color w:val="1A1A1A"/>
                <w:sz w:val="20"/>
                <w:szCs w:val="20"/>
              </w:rPr>
              <w:t xml:space="preserve">Complexidade</w:t>
            </w:r>
          </w:p>
        </w:tc>
        <w:tc>
          <w:tcPr>
            <w:tcW w:type="pct" w:w="16%"/>
            <w:shd w:fill="C9A84C" w:val="clear"/>
            <w:tcMar>
              <w:top w:type="dxa" w:w="50"/>
              <w:left w:type="dxa" w:w="100"/>
              <w:bottom w:type="dxa" w:w="50"/>
              <w:right w:type="dxa" w:w="100"/>
            </w:tcMar>
          </w:tcPr>
          <w:p>
            <w:pPr>
              <w:jc w:val="center"/>
            </w:pPr>
            <w:r>
              <w:rPr>
                <w:rFonts w:ascii="Calibri"/>
                <w:b/>
                <w:bCs/>
                <w:color w:val="1A1A1A"/>
                <w:sz w:val="20"/>
                <w:szCs w:val="20"/>
              </w:rPr>
              <w:t xml:space="preserve">Overfitting</w:t>
            </w:r>
          </w:p>
        </w:tc>
        <w:tc>
          <w:tcPr>
            <w:tcW w:type="pct" w:w="16%"/>
            <w:shd w:fill="C9A84C" w:val="clear"/>
            <w:tcMar>
              <w:top w:type="dxa" w:w="50"/>
              <w:left w:type="dxa" w:w="100"/>
              <w:bottom w:type="dxa" w:w="50"/>
              <w:right w:type="dxa" w:w="100"/>
            </w:tcMar>
          </w:tcPr>
          <w:p>
            <w:pPr>
              <w:jc w:val="center"/>
            </w:pPr>
            <w:r>
              <w:rPr>
                <w:rFonts w:ascii="Calibri"/>
                <w:b/>
                <w:bCs/>
                <w:color w:val="1A1A1A"/>
                <w:sz w:val="20"/>
                <w:szCs w:val="20"/>
              </w:rPr>
              <w:t xml:space="preserve">Evidencia</w:t>
            </w:r>
          </w:p>
        </w:tc>
        <w:tc>
          <w:tcPr>
            <w:tcW w:type="pct" w:w="16%"/>
            <w:shd w:fill="C9A84C" w:val="clear"/>
            <w:tcMar>
              <w:top w:type="dxa" w:w="50"/>
              <w:left w:type="dxa" w:w="100"/>
              <w:bottom w:type="dxa" w:w="50"/>
              <w:right w:type="dxa" w:w="100"/>
            </w:tcMar>
          </w:tcPr>
          <w:p>
            <w:pPr>
              <w:jc w:val="center"/>
            </w:pPr>
            <w:r>
              <w:rPr>
                <w:rFonts w:ascii="Calibri"/>
                <w:b/>
                <w:bCs/>
                <w:color w:val="1A1A1A"/>
                <w:sz w:val="20"/>
                <w:szCs w:val="20"/>
              </w:rPr>
              <w:t xml:space="preserve">Custos</w:t>
            </w:r>
          </w:p>
        </w:tc>
      </w:tr>
      <w:tr>
        <w:trPr>
          <w:cantSplit/>
        </w:trPr>
        <w:tc>
          <w:tcPr>
            <w:tcW w:type="pct" w:w="16%"/>
            <w:shd w:fill="F5F2E8" w:val="clear"/>
            <w:tcMar>
              <w:top w:type="dxa" w:w="40"/>
              <w:left w:type="dxa" w:w="100"/>
              <w:bottom w:type="dxa" w:w="40"/>
              <w:right w:type="dxa" w:w="100"/>
            </w:tcMar>
          </w:tcPr>
          <w:p>
            <w:pPr>
              <w:spacing w:after="40"/>
            </w:pPr>
            <w:r>
              <w:rPr>
                <w:rFonts w:ascii="Calibri"/>
                <w:color w:val="1C1C1C"/>
                <w:sz w:val="20"/>
                <w:szCs w:val="20"/>
              </w:rPr>
              <w:t xml:space="preserve">Trend Following</w:t>
            </w:r>
          </w:p>
        </w:tc>
        <w:tc>
          <w:tcPr>
            <w:tcW w:type="pct" w:w="16%"/>
            <w:shd w:fill="F5F2E8" w:val="clear"/>
            <w:tcMar>
              <w:top w:type="dxa" w:w="40"/>
              <w:left w:type="dxa" w:w="100"/>
              <w:bottom w:type="dxa" w:w="40"/>
              <w:right w:type="dxa" w:w="100"/>
            </w:tcMar>
          </w:tcPr>
          <w:p>
            <w:pPr>
              <w:spacing w:after="40"/>
            </w:pPr>
            <w:r>
              <w:rPr>
                <w:rFonts w:ascii="Calibri"/>
                <w:color w:val="1C1C1C"/>
                <w:sz w:val="20"/>
                <w:szCs w:val="20"/>
              </w:rPr>
              <w:t xml:space="preserve">Persistencia de tendencia</w:t>
            </w:r>
          </w:p>
        </w:tc>
        <w:tc>
          <w:tcPr>
            <w:tcW w:type="pct" w:w="16%"/>
            <w:shd w:fill="F5F2E8" w:val="clear"/>
            <w:tcMar>
              <w:top w:type="dxa" w:w="40"/>
              <w:left w:type="dxa" w:w="100"/>
              <w:bottom w:type="dxa" w:w="40"/>
              <w:right w:type="dxa" w:w="100"/>
            </w:tcMar>
          </w:tcPr>
          <w:p>
            <w:pPr>
              <w:spacing w:after="40"/>
            </w:pPr>
            <w:r>
              <w:rPr>
                <w:rFonts w:ascii="Calibri"/>
                <w:color w:val="1C1C1C"/>
                <w:sz w:val="20"/>
                <w:szCs w:val="20"/>
              </w:rPr>
              <w:t xml:space="preserve">Media</w:t>
            </w:r>
          </w:p>
        </w:tc>
        <w:tc>
          <w:tcPr>
            <w:tcW w:type="pct" w:w="16%"/>
            <w:shd w:fill="F5F2E8" w:val="clear"/>
            <w:tcMar>
              <w:top w:type="dxa" w:w="40"/>
              <w:left w:type="dxa" w:w="100"/>
              <w:bottom w:type="dxa" w:w="40"/>
              <w:right w:type="dxa" w:w="100"/>
            </w:tcMar>
          </w:tcPr>
          <w:p>
            <w:pPr>
              <w:spacing w:after="40"/>
            </w:pPr>
            <w:r>
              <w:rPr>
                <w:rFonts w:ascii="Calibri"/>
                <w:color w:val="1C1C1C"/>
                <w:sz w:val="20"/>
                <w:szCs w:val="20"/>
              </w:rPr>
              <w:t xml:space="preserve">4/10</w:t>
            </w:r>
          </w:p>
        </w:tc>
        <w:tc>
          <w:tcPr>
            <w:tcW w:type="pct" w:w="16%"/>
            <w:shd w:fill="F5F2E8" w:val="clear"/>
            <w:tcMar>
              <w:top w:type="dxa" w:w="40"/>
              <w:left w:type="dxa" w:w="100"/>
              <w:bottom w:type="dxa" w:w="40"/>
              <w:right w:type="dxa" w:w="100"/>
            </w:tcMar>
          </w:tcPr>
          <w:p>
            <w:pPr>
              <w:spacing w:after="40"/>
            </w:pPr>
            <w:r>
              <w:rPr>
                <w:rFonts w:ascii="Calibri"/>
                <w:color w:val="1C1C1C"/>
                <w:sz w:val="20"/>
                <w:szCs w:val="20"/>
              </w:rPr>
              <w:t xml:space="preserve">7/10</w:t>
            </w:r>
          </w:p>
        </w:tc>
        <w:tc>
          <w:tcPr>
            <w:tcW w:type="pct" w:w="16%"/>
            <w:shd w:fill="F5F2E8" w:val="clear"/>
            <w:tcMar>
              <w:top w:type="dxa" w:w="40"/>
              <w:left w:type="dxa" w:w="100"/>
              <w:bottom w:type="dxa" w:w="40"/>
              <w:right w:type="dxa" w:w="100"/>
            </w:tcMar>
          </w:tcPr>
          <w:p>
            <w:pPr>
              <w:spacing w:after="40"/>
            </w:pPr>
            <w:r>
              <w:rPr>
                <w:rFonts w:ascii="Calibri"/>
                <w:color w:val="1C1C1C"/>
                <w:sz w:val="20"/>
                <w:szCs w:val="20"/>
              </w:rPr>
              <w:t xml:space="preserve">Baixo</w:t>
            </w:r>
          </w:p>
        </w:tc>
      </w:tr>
      <w:tr>
        <w:trPr>
          <w:cantSplit/>
        </w:trPr>
        <w:tc>
          <w:tcPr>
            <w:tcW w:type="pct" w:w="16%"/>
            <w:shd w:fill="FFFFFF" w:val="clear"/>
            <w:tcMar>
              <w:top w:type="dxa" w:w="40"/>
              <w:left w:type="dxa" w:w="100"/>
              <w:bottom w:type="dxa" w:w="40"/>
              <w:right w:type="dxa" w:w="100"/>
            </w:tcMar>
          </w:tcPr>
          <w:p>
            <w:pPr>
              <w:spacing w:after="40"/>
            </w:pPr>
            <w:r>
              <w:rPr>
                <w:rFonts w:ascii="Calibri"/>
                <w:color w:val="1C1C1C"/>
                <w:sz w:val="20"/>
                <w:szCs w:val="20"/>
              </w:rPr>
              <w:t xml:space="preserve">Momentum</w:t>
            </w:r>
          </w:p>
        </w:tc>
        <w:tc>
          <w:tcPr>
            <w:tcW w:type="pct" w:w="16%"/>
            <w:shd w:fill="FFFFFF" w:val="clear"/>
            <w:tcMar>
              <w:top w:type="dxa" w:w="40"/>
              <w:left w:type="dxa" w:w="100"/>
              <w:bottom w:type="dxa" w:w="40"/>
              <w:right w:type="dxa" w:w="100"/>
            </w:tcMar>
          </w:tcPr>
          <w:p>
            <w:pPr>
              <w:spacing w:after="40"/>
            </w:pPr>
            <w:r>
              <w:rPr>
                <w:rFonts w:ascii="Calibri"/>
                <w:color w:val="1C1C1C"/>
                <w:sz w:val="20"/>
                <w:szCs w:val="20"/>
              </w:rPr>
              <w:t xml:space="preserve">Retornos recentes preveem futuros</w:t>
            </w:r>
          </w:p>
        </w:tc>
        <w:tc>
          <w:tcPr>
            <w:tcW w:type="pct" w:w="16%"/>
            <w:shd w:fill="FFFFFF" w:val="clear"/>
            <w:tcMar>
              <w:top w:type="dxa" w:w="40"/>
              <w:left w:type="dxa" w:w="100"/>
              <w:bottom w:type="dxa" w:w="40"/>
              <w:right w:type="dxa" w:w="100"/>
            </w:tcMar>
          </w:tcPr>
          <w:p>
            <w:pPr>
              <w:spacing w:after="40"/>
            </w:pPr>
            <w:r>
              <w:rPr>
                <w:rFonts w:ascii="Calibri"/>
                <w:color w:val="1C1C1C"/>
                <w:sz w:val="20"/>
                <w:szCs w:val="20"/>
              </w:rPr>
              <w:t xml:space="preserve">Baixa</w:t>
            </w:r>
          </w:p>
        </w:tc>
        <w:tc>
          <w:tcPr>
            <w:tcW w:type="pct" w:w="16%"/>
            <w:shd w:fill="FFFFFF" w:val="clear"/>
            <w:tcMar>
              <w:top w:type="dxa" w:w="40"/>
              <w:left w:type="dxa" w:w="100"/>
              <w:bottom w:type="dxa" w:w="40"/>
              <w:right w:type="dxa" w:w="100"/>
            </w:tcMar>
          </w:tcPr>
          <w:p>
            <w:pPr>
              <w:spacing w:after="40"/>
            </w:pPr>
            <w:r>
              <w:rPr>
                <w:rFonts w:ascii="Calibri"/>
                <w:color w:val="1C1C1C"/>
                <w:sz w:val="20"/>
                <w:szCs w:val="20"/>
              </w:rPr>
              <w:t xml:space="preserve">3/10</w:t>
            </w:r>
          </w:p>
        </w:tc>
        <w:tc>
          <w:tcPr>
            <w:tcW w:type="pct" w:w="16%"/>
            <w:shd w:fill="FFFFFF" w:val="clear"/>
            <w:tcMar>
              <w:top w:type="dxa" w:w="40"/>
              <w:left w:type="dxa" w:w="100"/>
              <w:bottom w:type="dxa" w:w="40"/>
              <w:right w:type="dxa" w:w="100"/>
            </w:tcMar>
          </w:tcPr>
          <w:p>
            <w:pPr>
              <w:spacing w:after="40"/>
            </w:pPr>
            <w:r>
              <w:rPr>
                <w:rFonts w:ascii="Calibri"/>
                <w:color w:val="1C1C1C"/>
                <w:sz w:val="20"/>
                <w:szCs w:val="20"/>
              </w:rPr>
              <w:t xml:space="preserve">8/10</w:t>
            </w:r>
          </w:p>
        </w:tc>
        <w:tc>
          <w:tcPr>
            <w:tcW w:type="pct" w:w="16%"/>
            <w:shd w:fill="FFFFFF" w:val="clear"/>
            <w:tcMar>
              <w:top w:type="dxa" w:w="40"/>
              <w:left w:type="dxa" w:w="100"/>
              <w:bottom w:type="dxa" w:w="40"/>
              <w:right w:type="dxa" w:w="100"/>
            </w:tcMar>
          </w:tcPr>
          <w:p>
            <w:pPr>
              <w:spacing w:after="40"/>
            </w:pPr>
            <w:r>
              <w:rPr>
                <w:rFonts w:ascii="Calibri"/>
                <w:color w:val="1C1C1C"/>
                <w:sz w:val="20"/>
                <w:szCs w:val="20"/>
              </w:rPr>
              <w:t xml:space="preserve">Baixo</w:t>
            </w:r>
          </w:p>
        </w:tc>
      </w:tr>
      <w:tr>
        <w:trPr>
          <w:cantSplit/>
        </w:trPr>
        <w:tc>
          <w:tcPr>
            <w:tcW w:type="pct" w:w="16%"/>
            <w:shd w:fill="F5F2E8" w:val="clear"/>
            <w:tcMar>
              <w:top w:type="dxa" w:w="40"/>
              <w:left w:type="dxa" w:w="100"/>
              <w:bottom w:type="dxa" w:w="40"/>
              <w:right w:type="dxa" w:w="100"/>
            </w:tcMar>
          </w:tcPr>
          <w:p>
            <w:pPr>
              <w:spacing w:after="40"/>
            </w:pPr>
            <w:r>
              <w:rPr>
                <w:rFonts w:ascii="Calibri"/>
                <w:color w:val="1C1C1C"/>
                <w:sz w:val="20"/>
                <w:szCs w:val="20"/>
              </w:rPr>
              <w:t xml:space="preserve">Mean Reversion</w:t>
            </w:r>
          </w:p>
        </w:tc>
        <w:tc>
          <w:tcPr>
            <w:tcW w:type="pct" w:w="16%"/>
            <w:shd w:fill="F5F2E8" w:val="clear"/>
            <w:tcMar>
              <w:top w:type="dxa" w:w="40"/>
              <w:left w:type="dxa" w:w="100"/>
              <w:bottom w:type="dxa" w:w="40"/>
              <w:right w:type="dxa" w:w="100"/>
            </w:tcMar>
          </w:tcPr>
          <w:p>
            <w:pPr>
              <w:spacing w:after="40"/>
            </w:pPr>
            <w:r>
              <w:rPr>
                <w:rFonts w:ascii="Calibri"/>
                <w:color w:val="1C1C1C"/>
                <w:sz w:val="20"/>
                <w:szCs w:val="20"/>
              </w:rPr>
              <w:t xml:space="preserve">Reversao a media</w:t>
            </w:r>
          </w:p>
        </w:tc>
        <w:tc>
          <w:tcPr>
            <w:tcW w:type="pct" w:w="16%"/>
            <w:shd w:fill="F5F2E8" w:val="clear"/>
            <w:tcMar>
              <w:top w:type="dxa" w:w="40"/>
              <w:left w:type="dxa" w:w="100"/>
              <w:bottom w:type="dxa" w:w="40"/>
              <w:right w:type="dxa" w:w="100"/>
            </w:tcMar>
          </w:tcPr>
          <w:p>
            <w:pPr>
              <w:spacing w:after="40"/>
            </w:pPr>
            <w:r>
              <w:rPr>
                <w:rFonts w:ascii="Calibri"/>
                <w:color w:val="1C1C1C"/>
                <w:sz w:val="20"/>
                <w:szCs w:val="20"/>
              </w:rPr>
              <w:t xml:space="preserve">Media</w:t>
            </w:r>
          </w:p>
        </w:tc>
        <w:tc>
          <w:tcPr>
            <w:tcW w:type="pct" w:w="16%"/>
            <w:shd w:fill="F5F2E8" w:val="clear"/>
            <w:tcMar>
              <w:top w:type="dxa" w:w="40"/>
              <w:left w:type="dxa" w:w="100"/>
              <w:bottom w:type="dxa" w:w="40"/>
              <w:right w:type="dxa" w:w="100"/>
            </w:tcMar>
          </w:tcPr>
          <w:p>
            <w:pPr>
              <w:spacing w:after="40"/>
            </w:pPr>
            <w:r>
              <w:rPr>
                <w:rFonts w:ascii="Calibri"/>
                <w:color w:val="1C1C1C"/>
                <w:sz w:val="20"/>
                <w:szCs w:val="20"/>
              </w:rPr>
              <w:t xml:space="preserve">7/10</w:t>
            </w:r>
          </w:p>
        </w:tc>
        <w:tc>
          <w:tcPr>
            <w:tcW w:type="pct" w:w="16%"/>
            <w:shd w:fill="F5F2E8" w:val="clear"/>
            <w:tcMar>
              <w:top w:type="dxa" w:w="40"/>
              <w:left w:type="dxa" w:w="100"/>
              <w:bottom w:type="dxa" w:w="40"/>
              <w:right w:type="dxa" w:w="100"/>
            </w:tcMar>
          </w:tcPr>
          <w:p>
            <w:pPr>
              <w:spacing w:after="40"/>
            </w:pPr>
            <w:r>
              <w:rPr>
                <w:rFonts w:ascii="Calibri"/>
                <w:color w:val="1C1C1C"/>
                <w:sz w:val="20"/>
                <w:szCs w:val="20"/>
              </w:rPr>
              <w:t xml:space="preserve">5/10</w:t>
            </w:r>
          </w:p>
        </w:tc>
        <w:tc>
          <w:tcPr>
            <w:tcW w:type="pct" w:w="16%"/>
            <w:shd w:fill="F5F2E8" w:val="clear"/>
            <w:tcMar>
              <w:top w:type="dxa" w:w="40"/>
              <w:left w:type="dxa" w:w="100"/>
              <w:bottom w:type="dxa" w:w="40"/>
              <w:right w:type="dxa" w:w="100"/>
            </w:tcMar>
          </w:tcPr>
          <w:p>
            <w:pPr>
              <w:spacing w:after="40"/>
            </w:pPr>
            <w:r>
              <w:rPr>
                <w:rFonts w:ascii="Calibri"/>
                <w:color w:val="1C1C1C"/>
                <w:sz w:val="20"/>
                <w:szCs w:val="20"/>
              </w:rPr>
              <w:t xml:space="preserve">Baixo</w:t>
            </w:r>
          </w:p>
        </w:tc>
      </w:tr>
      <w:tr>
        <w:trPr>
          <w:cantSplit/>
        </w:trPr>
        <w:tc>
          <w:tcPr>
            <w:tcW w:type="pct" w:w="16%"/>
            <w:shd w:fill="FFFFFF" w:val="clear"/>
            <w:tcMar>
              <w:top w:type="dxa" w:w="40"/>
              <w:left w:type="dxa" w:w="100"/>
              <w:bottom w:type="dxa" w:w="40"/>
              <w:right w:type="dxa" w:w="100"/>
            </w:tcMar>
          </w:tcPr>
          <w:p>
            <w:pPr>
              <w:spacing w:after="40"/>
            </w:pPr>
            <w:r>
              <w:rPr>
                <w:rFonts w:ascii="Calibri"/>
                <w:color w:val="1C1C1C"/>
                <w:sz w:val="20"/>
                <w:szCs w:val="20"/>
              </w:rPr>
              <w:t xml:space="preserve">Breakout</w:t>
            </w:r>
          </w:p>
        </w:tc>
        <w:tc>
          <w:tcPr>
            <w:tcW w:type="pct" w:w="16%"/>
            <w:shd w:fill="FFFFFF" w:val="clear"/>
            <w:tcMar>
              <w:top w:type="dxa" w:w="40"/>
              <w:left w:type="dxa" w:w="100"/>
              <w:bottom w:type="dxa" w:w="40"/>
              <w:right w:type="dxa" w:w="100"/>
            </w:tcMar>
          </w:tcPr>
          <w:p>
            <w:pPr>
              <w:spacing w:after="40"/>
            </w:pPr>
            <w:r>
              <w:rPr>
                <w:rFonts w:ascii="Calibri"/>
                <w:color w:val="1C1C1C"/>
                <w:sz w:val="20"/>
                <w:szCs w:val="20"/>
              </w:rPr>
              <w:t xml:space="preserve">Expansao apos contracao</w:t>
            </w:r>
          </w:p>
        </w:tc>
        <w:tc>
          <w:tcPr>
            <w:tcW w:type="pct" w:w="16%"/>
            <w:shd w:fill="FFFFFF" w:val="clear"/>
            <w:tcMar>
              <w:top w:type="dxa" w:w="40"/>
              <w:left w:type="dxa" w:w="100"/>
              <w:bottom w:type="dxa" w:w="40"/>
              <w:right w:type="dxa" w:w="100"/>
            </w:tcMar>
          </w:tcPr>
          <w:p>
            <w:pPr>
              <w:spacing w:after="40"/>
            </w:pPr>
            <w:r>
              <w:rPr>
                <w:rFonts w:ascii="Calibri"/>
                <w:color w:val="1C1C1C"/>
                <w:sz w:val="20"/>
                <w:szCs w:val="20"/>
              </w:rPr>
              <w:t xml:space="preserve">Baixa</w:t>
            </w:r>
          </w:p>
        </w:tc>
        <w:tc>
          <w:tcPr>
            <w:tcW w:type="pct" w:w="16%"/>
            <w:shd w:fill="FFFFFF" w:val="clear"/>
            <w:tcMar>
              <w:top w:type="dxa" w:w="40"/>
              <w:left w:type="dxa" w:w="100"/>
              <w:bottom w:type="dxa" w:w="40"/>
              <w:right w:type="dxa" w:w="100"/>
            </w:tcMar>
          </w:tcPr>
          <w:p>
            <w:pPr>
              <w:spacing w:after="40"/>
            </w:pPr>
            <w:r>
              <w:rPr>
                <w:rFonts w:ascii="Calibri"/>
                <w:color w:val="1C1C1C"/>
                <w:sz w:val="20"/>
                <w:szCs w:val="20"/>
              </w:rPr>
              <w:t xml:space="preserve">5/10</w:t>
            </w:r>
          </w:p>
        </w:tc>
        <w:tc>
          <w:tcPr>
            <w:tcW w:type="pct" w:w="16%"/>
            <w:shd w:fill="FFFFFF" w:val="clear"/>
            <w:tcMar>
              <w:top w:type="dxa" w:w="40"/>
              <w:left w:type="dxa" w:w="100"/>
              <w:bottom w:type="dxa" w:w="40"/>
              <w:right w:type="dxa" w:w="100"/>
            </w:tcMar>
          </w:tcPr>
          <w:p>
            <w:pPr>
              <w:spacing w:after="40"/>
            </w:pPr>
            <w:r>
              <w:rPr>
                <w:rFonts w:ascii="Calibri"/>
                <w:color w:val="1C1C1C"/>
                <w:sz w:val="20"/>
                <w:szCs w:val="20"/>
              </w:rPr>
              <w:t xml:space="preserve">6/10</w:t>
            </w:r>
          </w:p>
        </w:tc>
        <w:tc>
          <w:tcPr>
            <w:tcW w:type="pct" w:w="16%"/>
            <w:shd w:fill="FFFFFF" w:val="clear"/>
            <w:tcMar>
              <w:top w:type="dxa" w:w="40"/>
              <w:left w:type="dxa" w:w="100"/>
              <w:bottom w:type="dxa" w:w="40"/>
              <w:right w:type="dxa" w:w="100"/>
            </w:tcMar>
          </w:tcPr>
          <w:p>
            <w:pPr>
              <w:spacing w:after="40"/>
            </w:pPr>
            <w:r>
              <w:rPr>
                <w:rFonts w:ascii="Calibri"/>
                <w:color w:val="1C1C1C"/>
                <w:sz w:val="20"/>
                <w:szCs w:val="20"/>
              </w:rPr>
              <w:t xml:space="preserve">Baixo</w:t>
            </w:r>
          </w:p>
        </w:tc>
      </w:tr>
      <w:tr>
        <w:trPr>
          <w:cantSplit/>
        </w:trPr>
        <w:tc>
          <w:tcPr>
            <w:tcW w:type="pct" w:w="16%"/>
            <w:shd w:fill="F5F2E8" w:val="clear"/>
            <w:tcMar>
              <w:top w:type="dxa" w:w="40"/>
              <w:left w:type="dxa" w:w="100"/>
              <w:bottom w:type="dxa" w:w="40"/>
              <w:right w:type="dxa" w:w="100"/>
            </w:tcMar>
          </w:tcPr>
          <w:p>
            <w:pPr>
              <w:spacing w:after="40"/>
            </w:pPr>
            <w:r>
              <w:rPr>
                <w:rFonts w:ascii="Calibri"/>
                <w:color w:val="1C1C1C"/>
                <w:sz w:val="20"/>
                <w:szCs w:val="20"/>
              </w:rPr>
              <w:t xml:space="preserve">Carry Trade</w:t>
            </w:r>
          </w:p>
        </w:tc>
        <w:tc>
          <w:tcPr>
            <w:tcW w:type="pct" w:w="16%"/>
            <w:shd w:fill="F5F2E8" w:val="clear"/>
            <w:tcMar>
              <w:top w:type="dxa" w:w="40"/>
              <w:left w:type="dxa" w:w="100"/>
              <w:bottom w:type="dxa" w:w="40"/>
              <w:right w:type="dxa" w:w="100"/>
            </w:tcMar>
          </w:tcPr>
          <w:p>
            <w:pPr>
              <w:spacing w:after="40"/>
            </w:pPr>
            <w:r>
              <w:rPr>
                <w:rFonts w:ascii="Calibri"/>
                <w:color w:val="1C1C1C"/>
                <w:sz w:val="20"/>
                <w:szCs w:val="20"/>
              </w:rPr>
              <w:t xml:space="preserve">Diferencial de juros</w:t>
            </w:r>
          </w:p>
        </w:tc>
        <w:tc>
          <w:tcPr>
            <w:tcW w:type="pct" w:w="16%"/>
            <w:shd w:fill="F5F2E8" w:val="clear"/>
            <w:tcMar>
              <w:top w:type="dxa" w:w="40"/>
              <w:left w:type="dxa" w:w="100"/>
              <w:bottom w:type="dxa" w:w="40"/>
              <w:right w:type="dxa" w:w="100"/>
            </w:tcMar>
          </w:tcPr>
          <w:p>
            <w:pPr>
              <w:spacing w:after="40"/>
            </w:pPr>
            <w:r>
              <w:rPr>
                <w:rFonts w:ascii="Calibri"/>
                <w:color w:val="1C1C1C"/>
                <w:sz w:val="20"/>
                <w:szCs w:val="20"/>
              </w:rPr>
              <w:t xml:space="preserve">Media</w:t>
            </w:r>
          </w:p>
        </w:tc>
        <w:tc>
          <w:tcPr>
            <w:tcW w:type="pct" w:w="16%"/>
            <w:shd w:fill="F5F2E8" w:val="clear"/>
            <w:tcMar>
              <w:top w:type="dxa" w:w="40"/>
              <w:left w:type="dxa" w:w="100"/>
              <w:bottom w:type="dxa" w:w="40"/>
              <w:right w:type="dxa" w:w="100"/>
            </w:tcMar>
          </w:tcPr>
          <w:p>
            <w:pPr>
              <w:spacing w:after="40"/>
            </w:pPr>
            <w:r>
              <w:rPr>
                <w:rFonts w:ascii="Calibri"/>
                <w:color w:val="1C1C1C"/>
                <w:sz w:val="20"/>
                <w:szCs w:val="20"/>
              </w:rPr>
              <w:t xml:space="preserve">3/10</w:t>
            </w:r>
          </w:p>
        </w:tc>
        <w:tc>
          <w:tcPr>
            <w:tcW w:type="pct" w:w="16%"/>
            <w:shd w:fill="F5F2E8" w:val="clear"/>
            <w:tcMar>
              <w:top w:type="dxa" w:w="40"/>
              <w:left w:type="dxa" w:w="100"/>
              <w:bottom w:type="dxa" w:w="40"/>
              <w:right w:type="dxa" w:w="100"/>
            </w:tcMar>
          </w:tcPr>
          <w:p>
            <w:pPr>
              <w:spacing w:after="40"/>
            </w:pPr>
            <w:r>
              <w:rPr>
                <w:rFonts w:ascii="Calibri"/>
                <w:color w:val="1C1C1C"/>
                <w:sz w:val="20"/>
                <w:szCs w:val="20"/>
              </w:rPr>
              <w:t xml:space="preserve">9/10</w:t>
            </w:r>
          </w:p>
        </w:tc>
        <w:tc>
          <w:tcPr>
            <w:tcW w:type="pct" w:w="16%"/>
            <w:shd w:fill="F5F2E8" w:val="clear"/>
            <w:tcMar>
              <w:top w:type="dxa" w:w="40"/>
              <w:left w:type="dxa" w:w="100"/>
              <w:bottom w:type="dxa" w:w="40"/>
              <w:right w:type="dxa" w:w="100"/>
            </w:tcMar>
          </w:tcPr>
          <w:p>
            <w:pPr>
              <w:spacing w:after="40"/>
            </w:pPr>
            <w:r>
              <w:rPr>
                <w:rFonts w:ascii="Calibri"/>
                <w:color w:val="1C1C1C"/>
                <w:sz w:val="20"/>
                <w:szCs w:val="20"/>
              </w:rPr>
              <w:t xml:space="preserve">Medio</w:t>
            </w:r>
          </w:p>
        </w:tc>
      </w:tr>
      <w:tr>
        <w:trPr>
          <w:cantSplit/>
        </w:trPr>
        <w:tc>
          <w:tcPr>
            <w:tcW w:type="pct" w:w="16%"/>
            <w:shd w:fill="FFFFFF" w:val="clear"/>
            <w:tcMar>
              <w:top w:type="dxa" w:w="40"/>
              <w:left w:type="dxa" w:w="100"/>
              <w:bottom w:type="dxa" w:w="40"/>
              <w:right w:type="dxa" w:w="100"/>
            </w:tcMar>
          </w:tcPr>
          <w:p>
            <w:pPr>
              <w:spacing w:after="40"/>
            </w:pPr>
            <w:r>
              <w:rPr>
                <w:rFonts w:ascii="Calibri"/>
                <w:color w:val="1C1C1C"/>
                <w:sz w:val="20"/>
                <w:szCs w:val="20"/>
              </w:rPr>
              <w:t xml:space="preserve">Session Breakout</w:t>
            </w:r>
          </w:p>
        </w:tc>
        <w:tc>
          <w:tcPr>
            <w:tcW w:type="pct" w:w="16%"/>
            <w:shd w:fill="FFFFFF" w:val="clear"/>
            <w:tcMar>
              <w:top w:type="dxa" w:w="40"/>
              <w:left w:type="dxa" w:w="100"/>
              <w:bottom w:type="dxa" w:w="40"/>
              <w:right w:type="dxa" w:w="100"/>
            </w:tcMar>
          </w:tcPr>
          <w:p>
            <w:pPr>
              <w:spacing w:after="40"/>
            </w:pPr>
            <w:r>
              <w:rPr>
                <w:rFonts w:ascii="Calibri"/>
                <w:color w:val="1C1C1C"/>
                <w:sz w:val="20"/>
                <w:szCs w:val="20"/>
              </w:rPr>
              <w:t xml:space="preserve">Sessao gera direcao</w:t>
            </w:r>
          </w:p>
        </w:tc>
        <w:tc>
          <w:tcPr>
            <w:tcW w:type="pct" w:w="16%"/>
            <w:shd w:fill="FFFFFF" w:val="clear"/>
            <w:tcMar>
              <w:top w:type="dxa" w:w="40"/>
              <w:left w:type="dxa" w:w="100"/>
              <w:bottom w:type="dxa" w:w="40"/>
              <w:right w:type="dxa" w:w="100"/>
            </w:tcMar>
          </w:tcPr>
          <w:p>
            <w:pPr>
              <w:spacing w:after="40"/>
            </w:pPr>
            <w:r>
              <w:rPr>
                <w:rFonts w:ascii="Calibri"/>
                <w:color w:val="1C1C1C"/>
                <w:sz w:val="20"/>
                <w:szCs w:val="20"/>
              </w:rPr>
              <w:t xml:space="preserve">Baixa</w:t>
            </w:r>
          </w:p>
        </w:tc>
        <w:tc>
          <w:tcPr>
            <w:tcW w:type="pct" w:w="16%"/>
            <w:shd w:fill="FFFFFF" w:val="clear"/>
            <w:tcMar>
              <w:top w:type="dxa" w:w="40"/>
              <w:left w:type="dxa" w:w="100"/>
              <w:bottom w:type="dxa" w:w="40"/>
              <w:right w:type="dxa" w:w="100"/>
            </w:tcMar>
          </w:tcPr>
          <w:p>
            <w:pPr>
              <w:spacing w:after="40"/>
            </w:pPr>
            <w:r>
              <w:rPr>
                <w:rFonts w:ascii="Calibri"/>
                <w:color w:val="1C1C1C"/>
                <w:sz w:val="20"/>
                <w:szCs w:val="20"/>
              </w:rPr>
              <w:t xml:space="preserve">6/10</w:t>
            </w:r>
          </w:p>
        </w:tc>
        <w:tc>
          <w:tcPr>
            <w:tcW w:type="pct" w:w="16%"/>
            <w:shd w:fill="FFFFFF" w:val="clear"/>
            <w:tcMar>
              <w:top w:type="dxa" w:w="40"/>
              <w:left w:type="dxa" w:w="100"/>
              <w:bottom w:type="dxa" w:w="40"/>
              <w:right w:type="dxa" w:w="100"/>
            </w:tcMar>
          </w:tcPr>
          <w:p>
            <w:pPr>
              <w:spacing w:after="40"/>
            </w:pPr>
            <w:r>
              <w:rPr>
                <w:rFonts w:ascii="Calibri"/>
                <w:color w:val="1C1C1C"/>
                <w:sz w:val="20"/>
                <w:szCs w:val="20"/>
              </w:rPr>
              <w:t xml:space="preserve">5/10</w:t>
            </w:r>
          </w:p>
        </w:tc>
        <w:tc>
          <w:tcPr>
            <w:tcW w:type="pct" w:w="16%"/>
            <w:shd w:fill="FFFFFF" w:val="clear"/>
            <w:tcMar>
              <w:top w:type="dxa" w:w="40"/>
              <w:left w:type="dxa" w:w="100"/>
              <w:bottom w:type="dxa" w:w="40"/>
              <w:right w:type="dxa" w:w="100"/>
            </w:tcMar>
          </w:tcPr>
          <w:p>
            <w:pPr>
              <w:spacing w:after="40"/>
            </w:pPr>
            <w:r>
              <w:rPr>
                <w:rFonts w:ascii="Calibri"/>
                <w:color w:val="1C1C1C"/>
                <w:sz w:val="20"/>
                <w:szCs w:val="20"/>
              </w:rPr>
              <w:t xml:space="preserve">Baixo</w:t>
            </w:r>
          </w:p>
        </w:tc>
      </w:tr>
      <w:tr>
        <w:trPr>
          <w:cantSplit/>
        </w:trPr>
        <w:tc>
          <w:tcPr>
            <w:tcW w:type="pct" w:w="16%"/>
            <w:shd w:fill="F5F2E8" w:val="clear"/>
            <w:tcMar>
              <w:top w:type="dxa" w:w="40"/>
              <w:left w:type="dxa" w:w="100"/>
              <w:bottom w:type="dxa" w:w="40"/>
              <w:right w:type="dxa" w:w="100"/>
            </w:tcMar>
          </w:tcPr>
          <w:p>
            <w:pPr>
              <w:spacing w:after="40"/>
            </w:pPr>
            <w:r>
              <w:rPr>
                <w:rFonts w:ascii="Calibri"/>
                <w:color w:val="1C1C1C"/>
                <w:sz w:val="20"/>
                <w:szCs w:val="20"/>
              </w:rPr>
              <w:t xml:space="preserve">Stat. Arbitrage</w:t>
            </w:r>
          </w:p>
        </w:tc>
        <w:tc>
          <w:tcPr>
            <w:tcW w:type="pct" w:w="16%"/>
            <w:shd w:fill="F5F2E8" w:val="clear"/>
            <w:tcMar>
              <w:top w:type="dxa" w:w="40"/>
              <w:left w:type="dxa" w:w="100"/>
              <w:bottom w:type="dxa" w:w="40"/>
              <w:right w:type="dxa" w:w="100"/>
            </w:tcMar>
          </w:tcPr>
          <w:p>
            <w:pPr>
              <w:spacing w:after="40"/>
            </w:pPr>
            <w:r>
              <w:rPr>
                <w:rFonts w:ascii="Calibri"/>
                <w:color w:val="1C1C1C"/>
                <w:sz w:val="20"/>
                <w:szCs w:val="20"/>
              </w:rPr>
              <w:t xml:space="preserve">Co-integracao de pares</w:t>
            </w:r>
          </w:p>
        </w:tc>
        <w:tc>
          <w:tcPr>
            <w:tcW w:type="pct" w:w="16%"/>
            <w:shd w:fill="F5F2E8" w:val="clear"/>
            <w:tcMar>
              <w:top w:type="dxa" w:w="40"/>
              <w:left w:type="dxa" w:w="100"/>
              <w:bottom w:type="dxa" w:w="40"/>
              <w:right w:type="dxa" w:w="100"/>
            </w:tcMar>
          </w:tcPr>
          <w:p>
            <w:pPr>
              <w:spacing w:after="40"/>
            </w:pPr>
            <w:r>
              <w:rPr>
                <w:rFonts w:ascii="Calibri"/>
                <w:color w:val="1C1C1C"/>
                <w:sz w:val="20"/>
                <w:szCs w:val="20"/>
              </w:rPr>
              <w:t xml:space="preserve">Alta</w:t>
            </w:r>
          </w:p>
        </w:tc>
        <w:tc>
          <w:tcPr>
            <w:tcW w:type="pct" w:w="16%"/>
            <w:shd w:fill="F5F2E8" w:val="clear"/>
            <w:tcMar>
              <w:top w:type="dxa" w:w="40"/>
              <w:left w:type="dxa" w:w="100"/>
              <w:bottom w:type="dxa" w:w="40"/>
              <w:right w:type="dxa" w:w="100"/>
            </w:tcMar>
          </w:tcPr>
          <w:p>
            <w:pPr>
              <w:spacing w:after="40"/>
            </w:pPr>
            <w:r>
              <w:rPr>
                <w:rFonts w:ascii="Calibri"/>
                <w:color w:val="1C1C1C"/>
                <w:sz w:val="20"/>
                <w:szCs w:val="20"/>
              </w:rPr>
              <w:t xml:space="preserve">8/10</w:t>
            </w:r>
          </w:p>
        </w:tc>
        <w:tc>
          <w:tcPr>
            <w:tcW w:type="pct" w:w="16%"/>
            <w:shd w:fill="F5F2E8" w:val="clear"/>
            <w:tcMar>
              <w:top w:type="dxa" w:w="40"/>
              <w:left w:type="dxa" w:w="100"/>
              <w:bottom w:type="dxa" w:w="40"/>
              <w:right w:type="dxa" w:w="100"/>
            </w:tcMar>
          </w:tcPr>
          <w:p>
            <w:pPr>
              <w:spacing w:after="40"/>
            </w:pPr>
            <w:r>
              <w:rPr>
                <w:rFonts w:ascii="Calibri"/>
                <w:color w:val="1C1C1C"/>
                <w:sz w:val="20"/>
                <w:szCs w:val="20"/>
              </w:rPr>
              <w:t xml:space="preserve">6/10</w:t>
            </w:r>
          </w:p>
        </w:tc>
        <w:tc>
          <w:tcPr>
            <w:tcW w:type="pct" w:w="16%"/>
            <w:shd w:fill="F5F2E8" w:val="clear"/>
            <w:tcMar>
              <w:top w:type="dxa" w:w="40"/>
              <w:left w:type="dxa" w:w="100"/>
              <w:bottom w:type="dxa" w:w="40"/>
              <w:right w:type="dxa" w:w="100"/>
            </w:tcMar>
          </w:tcPr>
          <w:p>
            <w:pPr>
              <w:spacing w:after="40"/>
            </w:pPr>
            <w:r>
              <w:rPr>
                <w:rFonts w:ascii="Calibri"/>
                <w:color w:val="1C1C1C"/>
                <w:sz w:val="20"/>
                <w:szCs w:val="20"/>
              </w:rPr>
              <w:t xml:space="preserve">Medio</w:t>
            </w:r>
          </w:p>
        </w:tc>
      </w:tr>
      <w:tr>
        <w:trPr>
          <w:cantSplit/>
        </w:trPr>
        <w:tc>
          <w:tcPr>
            <w:tcW w:type="pct" w:w="16%"/>
            <w:shd w:fill="FFFFFF" w:val="clear"/>
            <w:tcMar>
              <w:top w:type="dxa" w:w="40"/>
              <w:left w:type="dxa" w:w="100"/>
              <w:bottom w:type="dxa" w:w="40"/>
              <w:right w:type="dxa" w:w="100"/>
            </w:tcMar>
          </w:tcPr>
          <w:p>
            <w:pPr>
              <w:spacing w:after="40"/>
            </w:pPr>
            <w:r>
              <w:rPr>
                <w:rFonts w:ascii="Calibri"/>
                <w:color w:val="1C1C1C"/>
                <w:sz w:val="20"/>
                <w:szCs w:val="20"/>
              </w:rPr>
              <w:t xml:space="preserve">Multi-TF</w:t>
            </w:r>
          </w:p>
        </w:tc>
        <w:tc>
          <w:tcPr>
            <w:tcW w:type="pct" w:w="16%"/>
            <w:shd w:fill="FFFFFF" w:val="clear"/>
            <w:tcMar>
              <w:top w:type="dxa" w:w="40"/>
              <w:left w:type="dxa" w:w="100"/>
              <w:bottom w:type="dxa" w:w="40"/>
              <w:right w:type="dxa" w:w="100"/>
            </w:tcMar>
          </w:tcPr>
          <w:p>
            <w:pPr>
              <w:spacing w:after="40"/>
            </w:pPr>
            <w:r>
              <w:rPr>
                <w:rFonts w:ascii="Calibri"/>
                <w:color w:val="1C1C1C"/>
                <w:sz w:val="20"/>
                <w:szCs w:val="20"/>
              </w:rPr>
              <w:t xml:space="preserve">Alinhamento de timeframes</w:t>
            </w:r>
          </w:p>
        </w:tc>
        <w:tc>
          <w:tcPr>
            <w:tcW w:type="pct" w:w="16%"/>
            <w:shd w:fill="FFFFFF" w:val="clear"/>
            <w:tcMar>
              <w:top w:type="dxa" w:w="40"/>
              <w:left w:type="dxa" w:w="100"/>
              <w:bottom w:type="dxa" w:w="40"/>
              <w:right w:type="dxa" w:w="100"/>
            </w:tcMar>
          </w:tcPr>
          <w:p>
            <w:pPr>
              <w:spacing w:after="40"/>
            </w:pPr>
            <w:r>
              <w:rPr>
                <w:rFonts w:ascii="Calibri"/>
                <w:color w:val="1C1C1C"/>
                <w:sz w:val="20"/>
                <w:szCs w:val="20"/>
              </w:rPr>
              <w:t xml:space="preserve">Media</w:t>
            </w:r>
          </w:p>
        </w:tc>
        <w:tc>
          <w:tcPr>
            <w:tcW w:type="pct" w:w="16%"/>
            <w:shd w:fill="FFFFFF" w:val="clear"/>
            <w:tcMar>
              <w:top w:type="dxa" w:w="40"/>
              <w:left w:type="dxa" w:w="100"/>
              <w:bottom w:type="dxa" w:w="40"/>
              <w:right w:type="dxa" w:w="100"/>
            </w:tcMar>
          </w:tcPr>
          <w:p>
            <w:pPr>
              <w:spacing w:after="40"/>
            </w:pPr>
            <w:r>
              <w:rPr>
                <w:rFonts w:ascii="Calibri"/>
                <w:color w:val="1C1C1C"/>
                <w:sz w:val="20"/>
                <w:szCs w:val="20"/>
              </w:rPr>
              <w:t xml:space="preserve">5/10</w:t>
            </w:r>
          </w:p>
        </w:tc>
        <w:tc>
          <w:tcPr>
            <w:tcW w:type="pct" w:w="16%"/>
            <w:shd w:fill="FFFFFF" w:val="clear"/>
            <w:tcMar>
              <w:top w:type="dxa" w:w="40"/>
              <w:left w:type="dxa" w:w="100"/>
              <w:bottom w:type="dxa" w:w="40"/>
              <w:right w:type="dxa" w:w="100"/>
            </w:tcMar>
          </w:tcPr>
          <w:p>
            <w:pPr>
              <w:spacing w:after="40"/>
            </w:pPr>
            <w:r>
              <w:rPr>
                <w:rFonts w:ascii="Calibri"/>
                <w:color w:val="1C1C1C"/>
                <w:sz w:val="20"/>
                <w:szCs w:val="20"/>
              </w:rPr>
              <w:t xml:space="preserve">5/10</w:t>
            </w:r>
          </w:p>
        </w:tc>
        <w:tc>
          <w:tcPr>
            <w:tcW w:type="pct" w:w="16%"/>
            <w:shd w:fill="FFFFFF" w:val="clear"/>
            <w:tcMar>
              <w:top w:type="dxa" w:w="40"/>
              <w:left w:type="dxa" w:w="100"/>
              <w:bottom w:type="dxa" w:w="40"/>
              <w:right w:type="dxa" w:w="100"/>
            </w:tcMar>
          </w:tcPr>
          <w:p>
            <w:pPr>
              <w:spacing w:after="40"/>
            </w:pPr>
            <w:r>
              <w:rPr>
                <w:rFonts w:ascii="Calibri"/>
                <w:color w:val="1C1C1C"/>
                <w:sz w:val="20"/>
                <w:szCs w:val="20"/>
              </w:rPr>
              <w:t xml:space="preserve">Baixo</w:t>
            </w:r>
          </w:p>
        </w:tc>
      </w:tr>
      <w:tr>
        <w:trPr>
          <w:cantSplit/>
        </w:trPr>
        <w:tc>
          <w:tcPr>
            <w:tcW w:type="pct" w:w="16%"/>
            <w:shd w:fill="F5F2E8" w:val="clear"/>
            <w:tcMar>
              <w:top w:type="dxa" w:w="40"/>
              <w:left w:type="dxa" w:w="100"/>
              <w:bottom w:type="dxa" w:w="40"/>
              <w:right w:type="dxa" w:w="100"/>
            </w:tcMar>
          </w:tcPr>
          <w:p>
            <w:pPr>
              <w:spacing w:after="40"/>
            </w:pPr>
            <w:r>
              <w:rPr>
                <w:rFonts w:ascii="Calibri"/>
                <w:color w:val="1C1C1C"/>
                <w:sz w:val="20"/>
                <w:szCs w:val="20"/>
              </w:rPr>
              <w:t xml:space="preserve">Vol. Expansion</w:t>
            </w:r>
          </w:p>
        </w:tc>
        <w:tc>
          <w:tcPr>
            <w:tcW w:type="pct" w:w="16%"/>
            <w:shd w:fill="F5F2E8" w:val="clear"/>
            <w:tcMar>
              <w:top w:type="dxa" w:w="40"/>
              <w:left w:type="dxa" w:w="100"/>
              <w:bottom w:type="dxa" w:w="40"/>
              <w:right w:type="dxa" w:w="100"/>
            </w:tcMar>
          </w:tcPr>
          <w:p>
            <w:pPr>
              <w:spacing w:after="40"/>
            </w:pPr>
            <w:r>
              <w:rPr>
                <w:rFonts w:ascii="Calibri"/>
                <w:color w:val="1C1C1C"/>
                <w:sz w:val="20"/>
                <w:szCs w:val="20"/>
              </w:rPr>
              <w:t xml:space="preserve">Clustering de volatilidade</w:t>
            </w:r>
          </w:p>
        </w:tc>
        <w:tc>
          <w:tcPr>
            <w:tcW w:type="pct" w:w="16%"/>
            <w:shd w:fill="F5F2E8" w:val="clear"/>
            <w:tcMar>
              <w:top w:type="dxa" w:w="40"/>
              <w:left w:type="dxa" w:w="100"/>
              <w:bottom w:type="dxa" w:w="40"/>
              <w:right w:type="dxa" w:w="100"/>
            </w:tcMar>
          </w:tcPr>
          <w:p>
            <w:pPr>
              <w:spacing w:after="40"/>
            </w:pPr>
            <w:r>
              <w:rPr>
                <w:rFonts w:ascii="Calibri"/>
                <w:color w:val="1C1C1C"/>
                <w:sz w:val="20"/>
                <w:szCs w:val="20"/>
              </w:rPr>
              <w:t xml:space="preserve">Media</w:t>
            </w:r>
          </w:p>
        </w:tc>
        <w:tc>
          <w:tcPr>
            <w:tcW w:type="pct" w:w="16%"/>
            <w:shd w:fill="F5F2E8" w:val="clear"/>
            <w:tcMar>
              <w:top w:type="dxa" w:w="40"/>
              <w:left w:type="dxa" w:w="100"/>
              <w:bottom w:type="dxa" w:w="40"/>
              <w:right w:type="dxa" w:w="100"/>
            </w:tcMar>
          </w:tcPr>
          <w:p>
            <w:pPr>
              <w:spacing w:after="40"/>
            </w:pPr>
            <w:r>
              <w:rPr>
                <w:rFonts w:ascii="Calibri"/>
                <w:color w:val="1C1C1C"/>
                <w:sz w:val="20"/>
                <w:szCs w:val="20"/>
              </w:rPr>
              <w:t xml:space="preserve">4/10</w:t>
            </w:r>
          </w:p>
        </w:tc>
        <w:tc>
          <w:tcPr>
            <w:tcW w:type="pct" w:w="16%"/>
            <w:shd w:fill="F5F2E8" w:val="clear"/>
            <w:tcMar>
              <w:top w:type="dxa" w:w="40"/>
              <w:left w:type="dxa" w:w="100"/>
              <w:bottom w:type="dxa" w:w="40"/>
              <w:right w:type="dxa" w:w="100"/>
            </w:tcMar>
          </w:tcPr>
          <w:p>
            <w:pPr>
              <w:spacing w:after="40"/>
            </w:pPr>
            <w:r>
              <w:rPr>
                <w:rFonts w:ascii="Calibri"/>
                <w:color w:val="1C1C1C"/>
                <w:sz w:val="20"/>
                <w:szCs w:val="20"/>
              </w:rPr>
              <w:t xml:space="preserve">7/10</w:t>
            </w:r>
          </w:p>
        </w:tc>
        <w:tc>
          <w:tcPr>
            <w:tcW w:type="pct" w:w="16%"/>
            <w:shd w:fill="F5F2E8" w:val="clear"/>
            <w:tcMar>
              <w:top w:type="dxa" w:w="40"/>
              <w:left w:type="dxa" w:w="100"/>
              <w:bottom w:type="dxa" w:w="40"/>
              <w:right w:type="dxa" w:w="100"/>
            </w:tcMar>
          </w:tcPr>
          <w:p>
            <w:pPr>
              <w:spacing w:after="40"/>
            </w:pPr>
            <w:r>
              <w:rPr>
                <w:rFonts w:ascii="Calibri"/>
                <w:color w:val="1C1C1C"/>
                <w:sz w:val="20"/>
                <w:szCs w:val="20"/>
              </w:rPr>
              <w:t xml:space="preserve">Medio</w:t>
            </w:r>
          </w:p>
        </w:tc>
      </w:tr>
    </w:tbl>
    <w:p>
      <w:pPr>
        <w:spacing w:after="60"/>
      </w:pPr>
    </w:p>
    <w:p>
      <w:pPr>
        <w:pStyle w:val="Heading1"/>
        <w:spacing w:after="200" w:before="480" w:line="312"/>
      </w:pPr>
      <w:bookmarkStart w:id="100042" w:name="_Toc100042"/>
      <w:r>
        <w:rPr>
          <w:rFonts w:ascii="Times New Roman"/>
          <w:b/>
          <w:bCs/>
          <w:color w:val="1A1A1A"/>
          <w:sz w:val="32"/>
          <w:szCs w:val="32"/>
        </w:rPr>
        <w:t xml:space="preserve">PARTE 3 - Evidencias e Ambiente de Mercado</w:t>
      </w:r>
      <w:bookmarkEnd w:id="100042"/>
    </w:p>
    <w:p>
      <w:pPr>
        <w:pStyle w:val="Heading2"/>
        <w:spacing w:after="160" w:before="360" w:line="312"/>
      </w:pPr>
      <w:bookmarkStart w:id="100043" w:name="_Toc100043"/>
      <w:r>
        <w:rPr>
          <w:rFonts w:ascii="Times New Roman"/>
          <w:b/>
          <w:bCs/>
          <w:color w:val="1A1A1A"/>
          <w:sz w:val="28"/>
          <w:szCs w:val="28"/>
        </w:rPr>
        <w:t xml:space="preserve">8. Sessoes de Negociacao no Forex</w:t>
      </w:r>
      <w:bookmarkEnd w:id="100043"/>
    </w:p>
    <w:p>
      <w:pPr>
        <w:spacing w:after="120" w:line="312"/>
        <w:jc w:val="both"/>
      </w:pPr>
      <w:r>
        <w:rPr>
          <w:rFonts w:ascii="Times New Roman"/>
          <w:color w:val="1C1C1C"/>
          <w:sz w:val="22"/>
          <w:szCs w:val="22"/>
        </w:rPr>
        <w:t xml:space="preserve">O mercado Forex opera 24 horas por dia, 5 dias por semana, com diferentes sessoes apresentando caracteristicas distintas de volatilidade, liquidez e comportamento de precos.</w:t>
      </w:r>
    </w:p>
    <w:p>
      <w:pPr>
        <w:pStyle w:val="Heading3"/>
        <w:spacing w:after="120" w:before="240" w:line="312"/>
      </w:pPr>
      <w:bookmarkStart w:id="100044" w:name="_Toc100044"/>
      <w:r>
        <w:rPr>
          <w:rFonts w:ascii="Times New Roman"/>
          <w:b/>
          <w:bCs/>
          <w:color w:val="333333"/>
          <w:sz w:val="24"/>
          <w:szCs w:val="24"/>
        </w:rPr>
        <w:t xml:space="preserve">8.1 Caracteristicas das Sessoes</w:t>
      </w:r>
      <w:bookmarkEnd w:id="100044"/>
    </w:p>
    <w:p>
      <w:pPr>
        <w:spacing w:after="120" w:line="312"/>
        <w:jc w:val="both"/>
      </w:pPr>
      <w:r>
        <w:rPr>
          <w:rFonts w:ascii="Times New Roman"/>
          <w:b/>
          <w:bCs/>
          <w:color w:val="1C1C1C"/>
          <w:sz w:val="22"/>
          <w:szCs w:val="22"/>
        </w:rPr>
        <w:t xml:space="preserve">Sessao de Sydney (22:00-07:00 GMT): </w:t>
      </w:r>
      <w:r>
        <w:rPr>
          <w:rFonts w:ascii="Times New Roman"/>
          <w:color w:val="1C1C1C"/>
          <w:sz w:val="22"/>
          <w:szCs w:val="22"/>
        </w:rPr>
        <w:t xml:space="preserve">Menor volatilidade das tres sessoes principais. Tipicamente forma ranges estreitos. Pares AUD e NZD podem apresentar movimentos mais significativos. Spreads podem ser ligeiramente mais largos que nas sessoes europeias. Util para identificar range que sera utilizado pela estrategia de Asian Range Breakout.</w:t>
      </w:r>
    </w:p>
    <w:p>
      <w:pPr>
        <w:spacing w:after="120" w:line="312"/>
        <w:jc w:val="both"/>
      </w:pPr>
      <w:r>
        <w:rPr>
          <w:rFonts w:ascii="Times New Roman"/>
          <w:b/>
          <w:bCs/>
          <w:color w:val="1C1C1C"/>
          <w:sz w:val="22"/>
          <w:szCs w:val="22"/>
        </w:rPr>
        <w:t xml:space="preserve">Sessao de Toquio (00:00-09:00 GMT): </w:t>
      </w:r>
      <w:r>
        <w:rPr>
          <w:rFonts w:ascii="Times New Roman"/>
          <w:color w:val="1C1C1C"/>
          <w:sz w:val="22"/>
          <w:szCs w:val="22"/>
        </w:rPr>
        <w:t xml:space="preserve">Volatilidade moderada, com foco em pares JPY (USD/JPY, EUR/JPY, GBP/JPY). Sobreposicao com Sydney gera atividade moderada no Pacifico. BoJ interventions, se ocorrerem, tipicamente acontecem nesta sessao. Pares JPY tendem a respeitar niveis tecnicos nesta sessao.</w:t>
      </w:r>
    </w:p>
    <w:p>
      <w:pPr>
        <w:spacing w:after="120" w:line="312"/>
        <w:jc w:val="both"/>
      </w:pPr>
      <w:r>
        <w:rPr>
          <w:rFonts w:ascii="Times New Roman"/>
          <w:b/>
          <w:bCs/>
          <w:color w:val="1C1C1C"/>
          <w:sz w:val="22"/>
          <w:szCs w:val="22"/>
        </w:rPr>
        <w:t xml:space="preserve">Sessao de Londres (08:00-17:00 GMT): </w:t>
      </w:r>
      <w:r>
        <w:rPr>
          <w:rFonts w:ascii="Times New Roman"/>
          <w:color w:val="1C1C1C"/>
          <w:sz w:val="22"/>
          <w:szCs w:val="22"/>
        </w:rPr>
        <w:t xml:space="preserve">Sessao mais volatil e liquida. Cerca de 35% do volume diario de Forex e transacionado na sessao de Londres. A abertura (08:00 GMT) gera movimentos significativos, especialmente breakouts do range asiatico. Sobreposicao Londres-Nova York (13:00-17:00 GMT) e o periodo mais ativo e volatil do dia. Pares EUR e GBP dominam.</w:t>
      </w:r>
    </w:p>
    <w:p>
      <w:pPr>
        <w:spacing w:after="120" w:line="312"/>
        <w:jc w:val="both"/>
      </w:pPr>
      <w:r>
        <w:rPr>
          <w:rFonts w:ascii="Times New Roman"/>
          <w:b/>
          <w:bCs/>
          <w:color w:val="1C1C1C"/>
          <w:sz w:val="22"/>
          <w:szCs w:val="22"/>
        </w:rPr>
        <w:t xml:space="preserve">Sessao de Nova York (13:00-22:00 GMT): </w:t>
      </w:r>
      <w:r>
        <w:rPr>
          <w:rFonts w:ascii="Times New Roman"/>
          <w:color w:val="1C1C1C"/>
          <w:sz w:val="22"/>
          <w:szCs w:val="22"/>
        </w:rPr>
        <w:t xml:space="preserve">Segunda sessao mais volatil. Abertura (13:00 GMT) coincide com publicacao de dados economicos americanos (NFP, CPI, FOMC). Movimentos abruptos sao comuns durante publicacoes. Sobreposicao com Londres gera pico de atividade. Apos o fechamento de Londres, volatilidade diminui progressivamente. Pares USD dominam.</w:t>
      </w:r>
    </w:p>
    <w:p>
      <w:pPr>
        <w:pStyle w:val="Heading3"/>
        <w:spacing w:after="120" w:before="240" w:line="312"/>
      </w:pPr>
      <w:bookmarkStart w:id="100045" w:name="_Toc100045"/>
      <w:r>
        <w:rPr>
          <w:rFonts w:ascii="Times New Roman"/>
          <w:b/>
          <w:bCs/>
          <w:color w:val="333333"/>
          <w:sz w:val="24"/>
          <w:szCs w:val="24"/>
        </w:rPr>
        <w:t xml:space="preserve">8.2 Sobreposicao London-New York</w:t>
      </w:r>
      <w:bookmarkEnd w:id="100045"/>
    </w:p>
    <w:p>
      <w:pPr>
        <w:spacing w:after="120" w:line="312"/>
        <w:jc w:val="both"/>
      </w:pPr>
      <w:r>
        <w:rPr>
          <w:rFonts w:ascii="Times New Roman"/>
          <w:color w:val="1C1C1C"/>
          <w:sz w:val="22"/>
          <w:szCs w:val="22"/>
        </w:rPr>
        <w:t xml:space="preserve">O periodo de sobreposicao entre Londres e Nova York (13:00-17:00 GMT) e responsavel por aproximadamente 30-40% do volume diario total do Forex. Este periodo apresenta: spreads mais estreitos (maxima liquidez), movimentos direcionais mais definidos, maior probabilidade de breakouts significativos, e melhor execucao de ordens. E tambem o periodo com maior risco de movimentos induzidos por noticias macroeconomicas. Estrategias de breakout e trend following tendem a performar melhor neste periodo.</w:t>
      </w:r>
    </w:p>
    <w:p>
      <w:pPr>
        <w:pStyle w:val="Heading3"/>
        <w:spacing w:after="120" w:before="240" w:line="312"/>
      </w:pPr>
      <w:bookmarkStart w:id="100046" w:name="_Toc100046"/>
      <w:r>
        <w:rPr>
          <w:rFonts w:ascii="Times New Roman"/>
          <w:b/>
          <w:bCs/>
          <w:color w:val="333333"/>
          <w:sz w:val="24"/>
          <w:szCs w:val="24"/>
        </w:rPr>
        <w:t xml:space="preserve">8.3 Asian Range e London Open</w:t>
      </w:r>
      <w:bookmarkEnd w:id="100046"/>
    </w:p>
    <w:p>
      <w:pPr>
        <w:spacing w:after="120" w:line="312"/>
        <w:jc w:val="both"/>
      </w:pPr>
      <w:r>
        <w:rPr>
          <w:rFonts w:ascii="Times New Roman"/>
          <w:color w:val="1C1C1C"/>
          <w:sz w:val="22"/>
          <w:szCs w:val="22"/>
        </w:rPr>
        <w:t xml:space="preserve">O Asian Range (periodo 22:00-06:00 GMT) tipicamente forma um range relativamente compacto. A abertura de Londres frequentemente testa os limites deste range antes de determinar direcao. Estudos empiricos sugerem que: (1) ranges asiaticos mais estreitos tendem a gerar breakouts mais significativos na abertura de Londres; (2) breakouts na direcao do trend diario tendem a ter mais sucesso que breakouts contra o trend; (3) false breakouts do range asiatico (preco ultrapassa o range mas reverte) geram sinais contrarios potencialmente lucrativos.</w:t>
      </w:r>
    </w:p>
    <w:p>
      <w:pPr>
        <w:pStyle w:val="Heading3"/>
        <w:spacing w:after="120" w:before="240" w:line="312"/>
      </w:pPr>
      <w:bookmarkStart w:id="100047" w:name="_Toc100047"/>
      <w:r>
        <w:rPr>
          <w:rFonts w:ascii="Times New Roman"/>
          <w:b/>
          <w:bCs/>
          <w:color w:val="333333"/>
          <w:sz w:val="24"/>
          <w:szCs w:val="24"/>
        </w:rPr>
        <w:t xml:space="preserve">8.4 Horarios de Spread e Rollover</w:t>
      </w:r>
      <w:bookmarkEnd w:id="100047"/>
    </w:p>
    <w:p>
      <w:pPr>
        <w:spacing w:after="120" w:line="312"/>
        <w:jc w:val="both"/>
      </w:pPr>
      <w:r>
        <w:rPr>
          <w:rFonts w:ascii="Times New Roman"/>
          <w:color w:val="1C1C1C"/>
          <w:sz w:val="22"/>
          <w:szCs w:val="22"/>
        </w:rPr>
        <w:t xml:space="preserve">Spreads tendem a ser mais largos durante: abertura de domingo (gap), inicio da sessao asiatica (baixa liquidez), e imediatamente antes do rollover (tipicamente 17:00 EST). O rollover (swap) e debitado/creditado diariamente, e em quartas-feiras o triplo rollover compensa o fim de semana. Para posicoes de longo prazo, o custo de swap acumulado pode ser significativo, especialmente em carry trades adversos.</w:t>
      </w:r>
    </w:p>
    <w:p>
      <w:pPr>
        <w:keepNext/>
        <w:spacing w:after="80"/>
      </w:pPr>
      <w:r>
        <w:rPr>
          <w:rFonts w:ascii="Times New Roman"/>
          <w:b/>
          <w:bCs/>
          <w:i/>
          <w:iCs/>
          <w:color w:val="555555"/>
          <w:sz w:val="20"/>
          <w:szCs w:val="20"/>
        </w:rPr>
        <w:t xml:space="preserve">Tabela 5: Caracteristicas das sessoes de negociacao Forex</w:t>
      </w:r>
    </w:p>
    <w:tbl>
      <w:tblPr>
        <w:tblW w:type="pct" w:w="100%"/>
        <w:tblBorders>
          <w:top w:val="single" w:color="C9A84C" w:sz="2"/>
          <w:left w:val="none"/>
          <w:bottom w:val="single" w:color="C9A84C" w:sz="2"/>
          <w:right w:val="none"/>
          <w:insideH w:val="single" w:color="DDD5C0" w:sz="1"/>
          <w:insideV w:val="none"/>
        </w:tblBorders>
      </w:tblPr>
      <w:tblGrid>
        <w:gridCol w:w="100"/>
        <w:gridCol w:w="100"/>
        <w:gridCol w:w="100"/>
        <w:gridCol w:w="100"/>
        <w:gridCol w:w="100"/>
      </w:tblGrid>
      <w:tr>
        <w:trPr>
          <w:cantSplit/>
          <w:tblHeader/>
        </w:trPr>
        <w:tc>
          <w:tcPr>
            <w:tcW w:type="pct" w:w="20%"/>
            <w:shd w:fill="C9A84C" w:val="clear"/>
            <w:tcMar>
              <w:top w:type="dxa" w:w="50"/>
              <w:left w:type="dxa" w:w="100"/>
              <w:bottom w:type="dxa" w:w="50"/>
              <w:right w:type="dxa" w:w="100"/>
            </w:tcMar>
          </w:tcPr>
          <w:p>
            <w:pPr>
              <w:jc w:val="center"/>
            </w:pPr>
            <w:r>
              <w:rPr>
                <w:rFonts w:ascii="Calibri"/>
                <w:b/>
                <w:bCs/>
                <w:color w:val="1A1A1A"/>
                <w:sz w:val="20"/>
                <w:szCs w:val="20"/>
              </w:rPr>
              <w:t xml:space="preserve">Sessao</w:t>
            </w:r>
          </w:p>
        </w:tc>
        <w:tc>
          <w:tcPr>
            <w:tcW w:type="pct" w:w="20%"/>
            <w:shd w:fill="C9A84C" w:val="clear"/>
            <w:tcMar>
              <w:top w:type="dxa" w:w="50"/>
              <w:left w:type="dxa" w:w="100"/>
              <w:bottom w:type="dxa" w:w="50"/>
              <w:right w:type="dxa" w:w="100"/>
            </w:tcMar>
          </w:tcPr>
          <w:p>
            <w:pPr>
              <w:jc w:val="center"/>
            </w:pPr>
            <w:r>
              <w:rPr>
                <w:rFonts w:ascii="Calibri"/>
                <w:b/>
                <w:bCs/>
                <w:color w:val="1A1A1A"/>
                <w:sz w:val="20"/>
                <w:szCs w:val="20"/>
              </w:rPr>
              <w:t xml:space="preserve">Horario GMT</w:t>
            </w:r>
          </w:p>
        </w:tc>
        <w:tc>
          <w:tcPr>
            <w:tcW w:type="pct" w:w="20%"/>
            <w:shd w:fill="C9A84C" w:val="clear"/>
            <w:tcMar>
              <w:top w:type="dxa" w:w="50"/>
              <w:left w:type="dxa" w:w="100"/>
              <w:bottom w:type="dxa" w:w="50"/>
              <w:right w:type="dxa" w:w="100"/>
            </w:tcMar>
          </w:tcPr>
          <w:p>
            <w:pPr>
              <w:jc w:val="center"/>
            </w:pPr>
            <w:r>
              <w:rPr>
                <w:rFonts w:ascii="Calibri"/>
                <w:b/>
                <w:bCs/>
                <w:color w:val="1A1A1A"/>
                <w:sz w:val="20"/>
                <w:szCs w:val="20"/>
              </w:rPr>
              <w:t xml:space="preserve">Volatilidade</w:t>
            </w:r>
          </w:p>
        </w:tc>
        <w:tc>
          <w:tcPr>
            <w:tcW w:type="pct" w:w="20%"/>
            <w:shd w:fill="C9A84C" w:val="clear"/>
            <w:tcMar>
              <w:top w:type="dxa" w:w="50"/>
              <w:left w:type="dxa" w:w="100"/>
              <w:bottom w:type="dxa" w:w="50"/>
              <w:right w:type="dxa" w:w="100"/>
            </w:tcMar>
          </w:tcPr>
          <w:p>
            <w:pPr>
              <w:jc w:val="center"/>
            </w:pPr>
            <w:r>
              <w:rPr>
                <w:rFonts w:ascii="Calibri"/>
                <w:b/>
                <w:bCs/>
                <w:color w:val="1A1A1A"/>
                <w:sz w:val="20"/>
                <w:szCs w:val="20"/>
              </w:rPr>
              <w:t xml:space="preserve">Liquidez</w:t>
            </w:r>
          </w:p>
        </w:tc>
        <w:tc>
          <w:tcPr>
            <w:tcW w:type="pct" w:w="20%"/>
            <w:shd w:fill="C9A84C" w:val="clear"/>
            <w:tcMar>
              <w:top w:type="dxa" w:w="50"/>
              <w:left w:type="dxa" w:w="100"/>
              <w:bottom w:type="dxa" w:w="50"/>
              <w:right w:type="dxa" w:w="100"/>
            </w:tcMar>
          </w:tcPr>
          <w:p>
            <w:pPr>
              <w:jc w:val="center"/>
            </w:pPr>
            <w:r>
              <w:rPr>
                <w:rFonts w:ascii="Calibri"/>
                <w:b/>
                <w:bCs/>
                <w:color w:val="1A1A1A"/>
                <w:sz w:val="20"/>
                <w:szCs w:val="20"/>
              </w:rPr>
              <w:t xml:space="preserve">Pares Ativos</w:t>
            </w:r>
          </w:p>
        </w:tc>
      </w:tr>
      <w:tr>
        <w:trPr>
          <w:cantSplit/>
        </w:trPr>
        <w:tc>
          <w:tcPr>
            <w:tcW w:type="pct" w:w="20%"/>
            <w:shd w:fill="F5F2E8" w:val="clear"/>
            <w:tcMar>
              <w:top w:type="dxa" w:w="40"/>
              <w:left w:type="dxa" w:w="100"/>
              <w:bottom w:type="dxa" w:w="40"/>
              <w:right w:type="dxa" w:w="100"/>
            </w:tcMar>
          </w:tcPr>
          <w:p>
            <w:pPr>
              <w:spacing w:after="40"/>
            </w:pPr>
            <w:r>
              <w:rPr>
                <w:rFonts w:ascii="Calibri"/>
                <w:color w:val="1C1C1C"/>
                <w:sz w:val="20"/>
                <w:szCs w:val="20"/>
              </w:rPr>
              <w:t xml:space="preserve">Sydney</w:t>
            </w:r>
          </w:p>
        </w:tc>
        <w:tc>
          <w:tcPr>
            <w:tcW w:type="pct" w:w="20%"/>
            <w:shd w:fill="F5F2E8" w:val="clear"/>
            <w:tcMar>
              <w:top w:type="dxa" w:w="40"/>
              <w:left w:type="dxa" w:w="100"/>
              <w:bottom w:type="dxa" w:w="40"/>
              <w:right w:type="dxa" w:w="100"/>
            </w:tcMar>
          </w:tcPr>
          <w:p>
            <w:pPr>
              <w:spacing w:after="40"/>
            </w:pPr>
            <w:r>
              <w:rPr>
                <w:rFonts w:ascii="Calibri"/>
                <w:color w:val="1C1C1C"/>
                <w:sz w:val="20"/>
                <w:szCs w:val="20"/>
              </w:rPr>
              <w:t xml:space="preserve">22:00-07:00</w:t>
            </w:r>
          </w:p>
        </w:tc>
        <w:tc>
          <w:tcPr>
            <w:tcW w:type="pct" w:w="20%"/>
            <w:shd w:fill="F5F2E8" w:val="clear"/>
            <w:tcMar>
              <w:top w:type="dxa" w:w="40"/>
              <w:left w:type="dxa" w:w="100"/>
              <w:bottom w:type="dxa" w:w="40"/>
              <w:right w:type="dxa" w:w="100"/>
            </w:tcMar>
          </w:tcPr>
          <w:p>
            <w:pPr>
              <w:spacing w:after="40"/>
            </w:pPr>
            <w:r>
              <w:rPr>
                <w:rFonts w:ascii="Calibri"/>
                <w:color w:val="1C1C1C"/>
                <w:sz w:val="20"/>
                <w:szCs w:val="20"/>
              </w:rPr>
              <w:t xml:space="preserve">Baixa</w:t>
            </w:r>
          </w:p>
        </w:tc>
        <w:tc>
          <w:tcPr>
            <w:tcW w:type="pct" w:w="20%"/>
            <w:shd w:fill="F5F2E8" w:val="clear"/>
            <w:tcMar>
              <w:top w:type="dxa" w:w="40"/>
              <w:left w:type="dxa" w:w="100"/>
              <w:bottom w:type="dxa" w:w="40"/>
              <w:right w:type="dxa" w:w="100"/>
            </w:tcMar>
          </w:tcPr>
          <w:p>
            <w:pPr>
              <w:spacing w:after="40"/>
            </w:pPr>
            <w:r>
              <w:rPr>
                <w:rFonts w:ascii="Calibri"/>
                <w:color w:val="1C1C1C"/>
                <w:sz w:val="20"/>
                <w:szCs w:val="20"/>
              </w:rPr>
              <w:t xml:space="preserve">Baixa</w:t>
            </w:r>
          </w:p>
        </w:tc>
        <w:tc>
          <w:tcPr>
            <w:tcW w:type="pct" w:w="20%"/>
            <w:shd w:fill="F5F2E8" w:val="clear"/>
            <w:tcMar>
              <w:top w:type="dxa" w:w="40"/>
              <w:left w:type="dxa" w:w="100"/>
              <w:bottom w:type="dxa" w:w="40"/>
              <w:right w:type="dxa" w:w="100"/>
            </w:tcMar>
          </w:tcPr>
          <w:p>
            <w:pPr>
              <w:spacing w:after="40"/>
            </w:pPr>
            <w:r>
              <w:rPr>
                <w:rFonts w:ascii="Calibri"/>
                <w:color w:val="1C1C1C"/>
                <w:sz w:val="20"/>
                <w:szCs w:val="20"/>
              </w:rPr>
              <w:t xml:space="preserve">AUD, NZD</w:t>
            </w:r>
          </w:p>
        </w:tc>
      </w:tr>
      <w:tr>
        <w:trPr>
          <w:cantSplit/>
        </w:trPr>
        <w:tc>
          <w:tcPr>
            <w:tcW w:type="pct" w:w="20%"/>
            <w:shd w:fill="FFFFFF" w:val="clear"/>
            <w:tcMar>
              <w:top w:type="dxa" w:w="40"/>
              <w:left w:type="dxa" w:w="100"/>
              <w:bottom w:type="dxa" w:w="40"/>
              <w:right w:type="dxa" w:w="100"/>
            </w:tcMar>
          </w:tcPr>
          <w:p>
            <w:pPr>
              <w:spacing w:after="40"/>
            </w:pPr>
            <w:r>
              <w:rPr>
                <w:rFonts w:ascii="Calibri"/>
                <w:color w:val="1C1C1C"/>
                <w:sz w:val="20"/>
                <w:szCs w:val="20"/>
              </w:rPr>
              <w:t xml:space="preserve">Toquio</w:t>
            </w:r>
          </w:p>
        </w:tc>
        <w:tc>
          <w:tcPr>
            <w:tcW w:type="pct" w:w="20%"/>
            <w:shd w:fill="FFFFFF" w:val="clear"/>
            <w:tcMar>
              <w:top w:type="dxa" w:w="40"/>
              <w:left w:type="dxa" w:w="100"/>
              <w:bottom w:type="dxa" w:w="40"/>
              <w:right w:type="dxa" w:w="100"/>
            </w:tcMar>
          </w:tcPr>
          <w:p>
            <w:pPr>
              <w:spacing w:after="40"/>
            </w:pPr>
            <w:r>
              <w:rPr>
                <w:rFonts w:ascii="Calibri"/>
                <w:color w:val="1C1C1C"/>
                <w:sz w:val="20"/>
                <w:szCs w:val="20"/>
              </w:rPr>
              <w:t xml:space="preserve">00:00-09:00</w:t>
            </w:r>
          </w:p>
        </w:tc>
        <w:tc>
          <w:tcPr>
            <w:tcW w:type="pct" w:w="20%"/>
            <w:shd w:fill="FFFFFF" w:val="clear"/>
            <w:tcMar>
              <w:top w:type="dxa" w:w="40"/>
              <w:left w:type="dxa" w:w="100"/>
              <w:bottom w:type="dxa" w:w="40"/>
              <w:right w:type="dxa" w:w="100"/>
            </w:tcMar>
          </w:tcPr>
          <w:p>
            <w:pPr>
              <w:spacing w:after="40"/>
            </w:pPr>
            <w:r>
              <w:rPr>
                <w:rFonts w:ascii="Calibri"/>
                <w:color w:val="1C1C1C"/>
                <w:sz w:val="20"/>
                <w:szCs w:val="20"/>
              </w:rPr>
              <w:t xml:space="preserve">Moderada</w:t>
            </w:r>
          </w:p>
        </w:tc>
        <w:tc>
          <w:tcPr>
            <w:tcW w:type="pct" w:w="20%"/>
            <w:shd w:fill="FFFFFF" w:val="clear"/>
            <w:tcMar>
              <w:top w:type="dxa" w:w="40"/>
              <w:left w:type="dxa" w:w="100"/>
              <w:bottom w:type="dxa" w:w="40"/>
              <w:right w:type="dxa" w:w="100"/>
            </w:tcMar>
          </w:tcPr>
          <w:p>
            <w:pPr>
              <w:spacing w:after="40"/>
            </w:pPr>
            <w:r>
              <w:rPr>
                <w:rFonts w:ascii="Calibri"/>
                <w:color w:val="1C1C1C"/>
                <w:sz w:val="20"/>
                <w:szCs w:val="20"/>
              </w:rPr>
              <w:t xml:space="preserve">Moderada</w:t>
            </w:r>
          </w:p>
        </w:tc>
        <w:tc>
          <w:tcPr>
            <w:tcW w:type="pct" w:w="20%"/>
            <w:shd w:fill="FFFFFF" w:val="clear"/>
            <w:tcMar>
              <w:top w:type="dxa" w:w="40"/>
              <w:left w:type="dxa" w:w="100"/>
              <w:bottom w:type="dxa" w:w="40"/>
              <w:right w:type="dxa" w:w="100"/>
            </w:tcMar>
          </w:tcPr>
          <w:p>
            <w:pPr>
              <w:spacing w:after="40"/>
            </w:pPr>
            <w:r>
              <w:rPr>
                <w:rFonts w:ascii="Calibri"/>
                <w:color w:val="1C1C1C"/>
                <w:sz w:val="20"/>
                <w:szCs w:val="20"/>
              </w:rPr>
              <w:t xml:space="preserve">JPY crosses</w:t>
            </w:r>
          </w:p>
        </w:tc>
      </w:tr>
      <w:tr>
        <w:trPr>
          <w:cantSplit/>
        </w:trPr>
        <w:tc>
          <w:tcPr>
            <w:tcW w:type="pct" w:w="20%"/>
            <w:shd w:fill="F5F2E8" w:val="clear"/>
            <w:tcMar>
              <w:top w:type="dxa" w:w="40"/>
              <w:left w:type="dxa" w:w="100"/>
              <w:bottom w:type="dxa" w:w="40"/>
              <w:right w:type="dxa" w:w="100"/>
            </w:tcMar>
          </w:tcPr>
          <w:p>
            <w:pPr>
              <w:spacing w:after="40"/>
            </w:pPr>
            <w:r>
              <w:rPr>
                <w:rFonts w:ascii="Calibri"/>
                <w:color w:val="1C1C1C"/>
                <w:sz w:val="20"/>
                <w:szCs w:val="20"/>
              </w:rPr>
              <w:t xml:space="preserve">Londres</w:t>
            </w:r>
          </w:p>
        </w:tc>
        <w:tc>
          <w:tcPr>
            <w:tcW w:type="pct" w:w="20%"/>
            <w:shd w:fill="F5F2E8" w:val="clear"/>
            <w:tcMar>
              <w:top w:type="dxa" w:w="40"/>
              <w:left w:type="dxa" w:w="100"/>
              <w:bottom w:type="dxa" w:w="40"/>
              <w:right w:type="dxa" w:w="100"/>
            </w:tcMar>
          </w:tcPr>
          <w:p>
            <w:pPr>
              <w:spacing w:after="40"/>
            </w:pPr>
            <w:r>
              <w:rPr>
                <w:rFonts w:ascii="Calibri"/>
                <w:color w:val="1C1C1C"/>
                <w:sz w:val="20"/>
                <w:szCs w:val="20"/>
              </w:rPr>
              <w:t xml:space="preserve">08:00-17:00</w:t>
            </w:r>
          </w:p>
        </w:tc>
        <w:tc>
          <w:tcPr>
            <w:tcW w:type="pct" w:w="20%"/>
            <w:shd w:fill="F5F2E8" w:val="clear"/>
            <w:tcMar>
              <w:top w:type="dxa" w:w="40"/>
              <w:left w:type="dxa" w:w="100"/>
              <w:bottom w:type="dxa" w:w="40"/>
              <w:right w:type="dxa" w:w="100"/>
            </w:tcMar>
          </w:tcPr>
          <w:p>
            <w:pPr>
              <w:spacing w:after="40"/>
            </w:pPr>
            <w:r>
              <w:rPr>
                <w:rFonts w:ascii="Calibri"/>
                <w:color w:val="1C1C1C"/>
                <w:sz w:val="20"/>
                <w:szCs w:val="20"/>
              </w:rPr>
              <w:t xml:space="preserve">Alta</w:t>
            </w:r>
          </w:p>
        </w:tc>
        <w:tc>
          <w:tcPr>
            <w:tcW w:type="pct" w:w="20%"/>
            <w:shd w:fill="F5F2E8" w:val="clear"/>
            <w:tcMar>
              <w:top w:type="dxa" w:w="40"/>
              <w:left w:type="dxa" w:w="100"/>
              <w:bottom w:type="dxa" w:w="40"/>
              <w:right w:type="dxa" w:w="100"/>
            </w:tcMar>
          </w:tcPr>
          <w:p>
            <w:pPr>
              <w:spacing w:after="40"/>
            </w:pPr>
            <w:r>
              <w:rPr>
                <w:rFonts w:ascii="Calibri"/>
                <w:color w:val="1C1C1C"/>
                <w:sz w:val="20"/>
                <w:szCs w:val="20"/>
              </w:rPr>
              <w:t xml:space="preserve">Muito alta</w:t>
            </w:r>
          </w:p>
        </w:tc>
        <w:tc>
          <w:tcPr>
            <w:tcW w:type="pct" w:w="20%"/>
            <w:shd w:fill="F5F2E8" w:val="clear"/>
            <w:tcMar>
              <w:top w:type="dxa" w:w="40"/>
              <w:left w:type="dxa" w:w="100"/>
              <w:bottom w:type="dxa" w:w="40"/>
              <w:right w:type="dxa" w:w="100"/>
            </w:tcMar>
          </w:tcPr>
          <w:p>
            <w:pPr>
              <w:spacing w:after="40"/>
            </w:pPr>
            <w:r>
              <w:rPr>
                <w:rFonts w:ascii="Calibri"/>
                <w:color w:val="1C1C1C"/>
                <w:sz w:val="20"/>
                <w:szCs w:val="20"/>
              </w:rPr>
              <w:t xml:space="preserve">EUR, GBP</w:t>
            </w:r>
          </w:p>
        </w:tc>
      </w:tr>
      <w:tr>
        <w:trPr>
          <w:cantSplit/>
        </w:trPr>
        <w:tc>
          <w:tcPr>
            <w:tcW w:type="pct" w:w="20%"/>
            <w:shd w:fill="FFFFFF" w:val="clear"/>
            <w:tcMar>
              <w:top w:type="dxa" w:w="40"/>
              <w:left w:type="dxa" w:w="100"/>
              <w:bottom w:type="dxa" w:w="40"/>
              <w:right w:type="dxa" w:w="100"/>
            </w:tcMar>
          </w:tcPr>
          <w:p>
            <w:pPr>
              <w:spacing w:after="40"/>
            </w:pPr>
            <w:r>
              <w:rPr>
                <w:rFonts w:ascii="Calibri"/>
                <w:color w:val="1C1C1C"/>
                <w:sz w:val="20"/>
                <w:szCs w:val="20"/>
              </w:rPr>
              <w:t xml:space="preserve">Nova York</w:t>
            </w:r>
          </w:p>
        </w:tc>
        <w:tc>
          <w:tcPr>
            <w:tcW w:type="pct" w:w="20%"/>
            <w:shd w:fill="FFFFFF" w:val="clear"/>
            <w:tcMar>
              <w:top w:type="dxa" w:w="40"/>
              <w:left w:type="dxa" w:w="100"/>
              <w:bottom w:type="dxa" w:w="40"/>
              <w:right w:type="dxa" w:w="100"/>
            </w:tcMar>
          </w:tcPr>
          <w:p>
            <w:pPr>
              <w:spacing w:after="40"/>
            </w:pPr>
            <w:r>
              <w:rPr>
                <w:rFonts w:ascii="Calibri"/>
                <w:color w:val="1C1C1C"/>
                <w:sz w:val="20"/>
                <w:szCs w:val="20"/>
              </w:rPr>
              <w:t xml:space="preserve">13:00-22:00</w:t>
            </w:r>
          </w:p>
        </w:tc>
        <w:tc>
          <w:tcPr>
            <w:tcW w:type="pct" w:w="20%"/>
            <w:shd w:fill="FFFFFF" w:val="clear"/>
            <w:tcMar>
              <w:top w:type="dxa" w:w="40"/>
              <w:left w:type="dxa" w:w="100"/>
              <w:bottom w:type="dxa" w:w="40"/>
              <w:right w:type="dxa" w:w="100"/>
            </w:tcMar>
          </w:tcPr>
          <w:p>
            <w:pPr>
              <w:spacing w:after="40"/>
            </w:pPr>
            <w:r>
              <w:rPr>
                <w:rFonts w:ascii="Calibri"/>
                <w:color w:val="1C1C1C"/>
                <w:sz w:val="20"/>
                <w:szCs w:val="20"/>
              </w:rPr>
              <w:t xml:space="preserve">Alta</w:t>
            </w:r>
          </w:p>
        </w:tc>
        <w:tc>
          <w:tcPr>
            <w:tcW w:type="pct" w:w="20%"/>
            <w:shd w:fill="FFFFFF" w:val="clear"/>
            <w:tcMar>
              <w:top w:type="dxa" w:w="40"/>
              <w:left w:type="dxa" w:w="100"/>
              <w:bottom w:type="dxa" w:w="40"/>
              <w:right w:type="dxa" w:w="100"/>
            </w:tcMar>
          </w:tcPr>
          <w:p>
            <w:pPr>
              <w:spacing w:after="40"/>
            </w:pPr>
            <w:r>
              <w:rPr>
                <w:rFonts w:ascii="Calibri"/>
                <w:color w:val="1C1C1C"/>
                <w:sz w:val="20"/>
                <w:szCs w:val="20"/>
              </w:rPr>
              <w:t xml:space="preserve">Alta</w:t>
            </w:r>
          </w:p>
        </w:tc>
        <w:tc>
          <w:tcPr>
            <w:tcW w:type="pct" w:w="20%"/>
            <w:shd w:fill="FFFFFF" w:val="clear"/>
            <w:tcMar>
              <w:top w:type="dxa" w:w="40"/>
              <w:left w:type="dxa" w:w="100"/>
              <w:bottom w:type="dxa" w:w="40"/>
              <w:right w:type="dxa" w:w="100"/>
            </w:tcMar>
          </w:tcPr>
          <w:p>
            <w:pPr>
              <w:spacing w:after="40"/>
            </w:pPr>
            <w:r>
              <w:rPr>
                <w:rFonts w:ascii="Calibri"/>
                <w:color w:val="1C1C1C"/>
                <w:sz w:val="20"/>
                <w:szCs w:val="20"/>
              </w:rPr>
              <w:t xml:space="preserve">USD crosses</w:t>
            </w:r>
          </w:p>
        </w:tc>
      </w:tr>
      <w:tr>
        <w:trPr>
          <w:cantSplit/>
        </w:trPr>
        <w:tc>
          <w:tcPr>
            <w:tcW w:type="pct" w:w="20%"/>
            <w:shd w:fill="F5F2E8" w:val="clear"/>
            <w:tcMar>
              <w:top w:type="dxa" w:w="40"/>
              <w:left w:type="dxa" w:w="100"/>
              <w:bottom w:type="dxa" w:w="40"/>
              <w:right w:type="dxa" w:w="100"/>
            </w:tcMar>
          </w:tcPr>
          <w:p>
            <w:pPr>
              <w:spacing w:after="40"/>
            </w:pPr>
            <w:r>
              <w:rPr>
                <w:rFonts w:ascii="Calibri"/>
                <w:color w:val="1C1C1C"/>
                <w:sz w:val="20"/>
                <w:szCs w:val="20"/>
              </w:rPr>
              <w:t xml:space="preserve">Londres + NY</w:t>
            </w:r>
          </w:p>
        </w:tc>
        <w:tc>
          <w:tcPr>
            <w:tcW w:type="pct" w:w="20%"/>
            <w:shd w:fill="F5F2E8" w:val="clear"/>
            <w:tcMar>
              <w:top w:type="dxa" w:w="40"/>
              <w:left w:type="dxa" w:w="100"/>
              <w:bottom w:type="dxa" w:w="40"/>
              <w:right w:type="dxa" w:w="100"/>
            </w:tcMar>
          </w:tcPr>
          <w:p>
            <w:pPr>
              <w:spacing w:after="40"/>
            </w:pPr>
            <w:r>
              <w:rPr>
                <w:rFonts w:ascii="Calibri"/>
                <w:color w:val="1C1C1C"/>
                <w:sz w:val="20"/>
                <w:szCs w:val="20"/>
              </w:rPr>
              <w:t xml:space="preserve">13:00-17:00</w:t>
            </w:r>
          </w:p>
        </w:tc>
        <w:tc>
          <w:tcPr>
            <w:tcW w:type="pct" w:w="20%"/>
            <w:shd w:fill="F5F2E8" w:val="clear"/>
            <w:tcMar>
              <w:top w:type="dxa" w:w="40"/>
              <w:left w:type="dxa" w:w="100"/>
              <w:bottom w:type="dxa" w:w="40"/>
              <w:right w:type="dxa" w:w="100"/>
            </w:tcMar>
          </w:tcPr>
          <w:p>
            <w:pPr>
              <w:spacing w:after="40"/>
            </w:pPr>
            <w:r>
              <w:rPr>
                <w:rFonts w:ascii="Calibri"/>
                <w:color w:val="1C1C1C"/>
                <w:sz w:val="20"/>
                <w:szCs w:val="20"/>
              </w:rPr>
              <w:t xml:space="preserve">Muito alta</w:t>
            </w:r>
          </w:p>
        </w:tc>
        <w:tc>
          <w:tcPr>
            <w:tcW w:type="pct" w:w="20%"/>
            <w:shd w:fill="F5F2E8" w:val="clear"/>
            <w:tcMar>
              <w:top w:type="dxa" w:w="40"/>
              <w:left w:type="dxa" w:w="100"/>
              <w:bottom w:type="dxa" w:w="40"/>
              <w:right w:type="dxa" w:w="100"/>
            </w:tcMar>
          </w:tcPr>
          <w:p>
            <w:pPr>
              <w:spacing w:after="40"/>
            </w:pPr>
            <w:r>
              <w:rPr>
                <w:rFonts w:ascii="Calibri"/>
                <w:color w:val="1C1C1C"/>
                <w:sz w:val="20"/>
                <w:szCs w:val="20"/>
              </w:rPr>
              <w:t xml:space="preserve">Maxima</w:t>
            </w:r>
          </w:p>
        </w:tc>
        <w:tc>
          <w:tcPr>
            <w:tcW w:type="pct" w:w="20%"/>
            <w:shd w:fill="F5F2E8" w:val="clear"/>
            <w:tcMar>
              <w:top w:type="dxa" w:w="40"/>
              <w:left w:type="dxa" w:w="100"/>
              <w:bottom w:type="dxa" w:w="40"/>
              <w:right w:type="dxa" w:w="100"/>
            </w:tcMar>
          </w:tcPr>
          <w:p>
            <w:pPr>
              <w:spacing w:after="40"/>
            </w:pPr>
            <w:r>
              <w:rPr>
                <w:rFonts w:ascii="Calibri"/>
                <w:color w:val="1C1C1C"/>
                <w:sz w:val="20"/>
                <w:szCs w:val="20"/>
              </w:rPr>
              <w:t xml:space="preserve">Todos majors</w:t>
            </w:r>
          </w:p>
        </w:tc>
      </w:tr>
    </w:tbl>
    <w:p>
      <w:pPr>
        <w:spacing w:after="60"/>
      </w:pPr>
    </w:p>
    <w:p>
      <w:pPr>
        <w:pStyle w:val="Heading2"/>
        <w:spacing w:after="160" w:before="360" w:line="312"/>
      </w:pPr>
      <w:bookmarkStart w:id="100048" w:name="_Toc100048"/>
      <w:r>
        <w:rPr>
          <w:rFonts w:ascii="Times New Roman"/>
          <w:b/>
          <w:bCs/>
          <w:color w:val="1A1A1A"/>
          <w:sz w:val="28"/>
          <w:szCs w:val="28"/>
        </w:rPr>
        <w:t xml:space="preserve">9. Pares Forex: Analise Individual</w:t>
      </w:r>
      <w:bookmarkEnd w:id="100048"/>
    </w:p>
    <w:p>
      <w:pPr>
        <w:spacing w:after="120" w:line="312"/>
        <w:jc w:val="both"/>
      </w:pPr>
      <w:r>
        <w:rPr>
          <w:rFonts w:ascii="Times New Roman"/>
          <w:color w:val="1C1C1C"/>
          <w:sz w:val="22"/>
          <w:szCs w:val="22"/>
        </w:rPr>
        <w:t xml:space="preserve">A escolha dos pares de moedas e uma decisao fundamental que afeta volatilidade, custos, liquidez e comportamento do sistema. Cada par tem suas proprias caracteristicas e deve ser selecionado com base na estrategia pretendida.</w:t>
      </w:r>
    </w:p>
    <w:p>
      <w:pPr>
        <w:keepNext/>
        <w:spacing w:after="80"/>
      </w:pPr>
      <w:r>
        <w:rPr>
          <w:rFonts w:ascii="Times New Roman"/>
          <w:b/>
          <w:bCs/>
          <w:i/>
          <w:iCs/>
          <w:color w:val="555555"/>
          <w:sz w:val="20"/>
          <w:szCs w:val="20"/>
        </w:rPr>
        <w:t xml:space="preserve">Tabela 6: Caracteristicas dos principais pares Forex</w:t>
      </w:r>
    </w:p>
    <w:tbl>
      <w:tblPr>
        <w:tblW w:type="pct" w:w="100%"/>
        <w:tblBorders>
          <w:top w:val="single" w:color="C9A84C" w:sz="2"/>
          <w:left w:val="none"/>
          <w:bottom w:val="single" w:color="C9A84C" w:sz="2"/>
          <w:right w:val="none"/>
          <w:insideH w:val="single" w:color="DDD5C0" w:sz="1"/>
          <w:insideV w:val="none"/>
        </w:tblBorders>
      </w:tblPr>
      <w:tblGrid>
        <w:gridCol w:w="100"/>
        <w:gridCol w:w="100"/>
        <w:gridCol w:w="100"/>
        <w:gridCol w:w="100"/>
        <w:gridCol w:w="100"/>
        <w:gridCol w:w="100"/>
      </w:tblGrid>
      <w:tr>
        <w:trPr>
          <w:cantSplit/>
          <w:tblHeader/>
        </w:trPr>
        <w:tc>
          <w:tcPr>
            <w:tcW w:type="pct" w:w="16%"/>
            <w:shd w:fill="C9A84C" w:val="clear"/>
            <w:tcMar>
              <w:top w:type="dxa" w:w="50"/>
              <w:left w:type="dxa" w:w="100"/>
              <w:bottom w:type="dxa" w:w="50"/>
              <w:right w:type="dxa" w:w="100"/>
            </w:tcMar>
          </w:tcPr>
          <w:p>
            <w:pPr>
              <w:jc w:val="center"/>
            </w:pPr>
            <w:r>
              <w:rPr>
                <w:rFonts w:ascii="Calibri"/>
                <w:b/>
                <w:bCs/>
                <w:color w:val="1A1A1A"/>
                <w:sz w:val="20"/>
                <w:szCs w:val="20"/>
              </w:rPr>
              <w:t xml:space="preserve">Par</w:t>
            </w:r>
          </w:p>
        </w:tc>
        <w:tc>
          <w:tcPr>
            <w:tcW w:type="pct" w:w="16%"/>
            <w:shd w:fill="C9A84C" w:val="clear"/>
            <w:tcMar>
              <w:top w:type="dxa" w:w="50"/>
              <w:left w:type="dxa" w:w="100"/>
              <w:bottom w:type="dxa" w:w="50"/>
              <w:right w:type="dxa" w:w="100"/>
            </w:tcMar>
          </w:tcPr>
          <w:p>
            <w:pPr>
              <w:jc w:val="center"/>
            </w:pPr>
            <w:r>
              <w:rPr>
                <w:rFonts w:ascii="Calibri"/>
                <w:b/>
                <w:bCs/>
                <w:color w:val="1A1A1A"/>
                <w:sz w:val="20"/>
                <w:szCs w:val="20"/>
              </w:rPr>
              <w:t xml:space="preserve">Volatilidade</w:t>
            </w:r>
          </w:p>
        </w:tc>
        <w:tc>
          <w:tcPr>
            <w:tcW w:type="pct" w:w="16%"/>
            <w:shd w:fill="C9A84C" w:val="clear"/>
            <w:tcMar>
              <w:top w:type="dxa" w:w="50"/>
              <w:left w:type="dxa" w:w="100"/>
              <w:bottom w:type="dxa" w:w="50"/>
              <w:right w:type="dxa" w:w="100"/>
            </w:tcMar>
          </w:tcPr>
          <w:p>
            <w:pPr>
              <w:jc w:val="center"/>
            </w:pPr>
            <w:r>
              <w:rPr>
                <w:rFonts w:ascii="Calibri"/>
                <w:b/>
                <w:bCs/>
                <w:color w:val="1A1A1A"/>
                <w:sz w:val="20"/>
                <w:szCs w:val="20"/>
              </w:rPr>
              <w:t xml:space="preserve">Spread Tipico</w:t>
            </w:r>
          </w:p>
        </w:tc>
        <w:tc>
          <w:tcPr>
            <w:tcW w:type="pct" w:w="16%"/>
            <w:shd w:fill="C9A84C" w:val="clear"/>
            <w:tcMar>
              <w:top w:type="dxa" w:w="50"/>
              <w:left w:type="dxa" w:w="100"/>
              <w:bottom w:type="dxa" w:w="50"/>
              <w:right w:type="dxa" w:w="100"/>
            </w:tcMar>
          </w:tcPr>
          <w:p>
            <w:pPr>
              <w:jc w:val="center"/>
            </w:pPr>
            <w:r>
              <w:rPr>
                <w:rFonts w:ascii="Calibri"/>
                <w:b/>
                <w:bCs/>
                <w:color w:val="1A1A1A"/>
                <w:sz w:val="20"/>
                <w:szCs w:val="20"/>
              </w:rPr>
              <w:t xml:space="preserve">Liquidez</w:t>
            </w:r>
          </w:p>
        </w:tc>
        <w:tc>
          <w:tcPr>
            <w:tcW w:type="pct" w:w="16%"/>
            <w:shd w:fill="C9A84C" w:val="clear"/>
            <w:tcMar>
              <w:top w:type="dxa" w:w="50"/>
              <w:left w:type="dxa" w:w="100"/>
              <w:bottom w:type="dxa" w:w="50"/>
              <w:right w:type="dxa" w:w="100"/>
            </w:tcMar>
          </w:tcPr>
          <w:p>
            <w:pPr>
              <w:jc w:val="center"/>
            </w:pPr>
            <w:r>
              <w:rPr>
                <w:rFonts w:ascii="Calibri"/>
                <w:b/>
                <w:bCs/>
                <w:color w:val="1A1A1A"/>
                <w:sz w:val="20"/>
                <w:szCs w:val="20"/>
              </w:rPr>
              <w:t xml:space="preserve">Sessoes Ativas</w:t>
            </w:r>
          </w:p>
        </w:tc>
        <w:tc>
          <w:tcPr>
            <w:tcW w:type="pct" w:w="16%"/>
            <w:shd w:fill="C9A84C" w:val="clear"/>
            <w:tcMar>
              <w:top w:type="dxa" w:w="50"/>
              <w:left w:type="dxa" w:w="100"/>
              <w:bottom w:type="dxa" w:w="50"/>
              <w:right w:type="dxa" w:w="100"/>
            </w:tcMar>
          </w:tcPr>
          <w:p>
            <w:pPr>
              <w:jc w:val="center"/>
            </w:pPr>
            <w:r>
              <w:rPr>
                <w:rFonts w:ascii="Calibri"/>
                <w:b/>
                <w:bCs/>
                <w:color w:val="1A1A1A"/>
                <w:sz w:val="20"/>
                <w:szCs w:val="20"/>
              </w:rPr>
              <w:t xml:space="preserve">Caracteristicas</w:t>
            </w:r>
          </w:p>
        </w:tc>
      </w:tr>
      <w:tr>
        <w:trPr>
          <w:cantSplit/>
        </w:trPr>
        <w:tc>
          <w:tcPr>
            <w:tcW w:type="pct" w:w="16%"/>
            <w:shd w:fill="F5F2E8" w:val="clear"/>
            <w:tcMar>
              <w:top w:type="dxa" w:w="40"/>
              <w:left w:type="dxa" w:w="100"/>
              <w:bottom w:type="dxa" w:w="40"/>
              <w:right w:type="dxa" w:w="100"/>
            </w:tcMar>
          </w:tcPr>
          <w:p>
            <w:pPr>
              <w:spacing w:after="40"/>
            </w:pPr>
            <w:r>
              <w:rPr>
                <w:rFonts w:ascii="Calibri"/>
                <w:color w:val="1C1C1C"/>
                <w:sz w:val="20"/>
                <w:szCs w:val="20"/>
              </w:rPr>
              <w:t xml:space="preserve">EUR/USD</w:t>
            </w:r>
          </w:p>
        </w:tc>
        <w:tc>
          <w:tcPr>
            <w:tcW w:type="pct" w:w="16%"/>
            <w:shd w:fill="F5F2E8" w:val="clear"/>
            <w:tcMar>
              <w:top w:type="dxa" w:w="40"/>
              <w:left w:type="dxa" w:w="100"/>
              <w:bottom w:type="dxa" w:w="40"/>
              <w:right w:type="dxa" w:w="100"/>
            </w:tcMar>
          </w:tcPr>
          <w:p>
            <w:pPr>
              <w:spacing w:after="40"/>
            </w:pPr>
            <w:r>
              <w:rPr>
                <w:rFonts w:ascii="Calibri"/>
                <w:color w:val="1C1C1C"/>
                <w:sz w:val="20"/>
                <w:szCs w:val="20"/>
              </w:rPr>
              <w:t xml:space="preserve">Media</w:t>
            </w:r>
          </w:p>
        </w:tc>
        <w:tc>
          <w:tcPr>
            <w:tcW w:type="pct" w:w="16%"/>
            <w:shd w:fill="F5F2E8" w:val="clear"/>
            <w:tcMar>
              <w:top w:type="dxa" w:w="40"/>
              <w:left w:type="dxa" w:w="100"/>
              <w:bottom w:type="dxa" w:w="40"/>
              <w:right w:type="dxa" w:w="100"/>
            </w:tcMar>
          </w:tcPr>
          <w:p>
            <w:pPr>
              <w:spacing w:after="40"/>
            </w:pPr>
            <w:r>
              <w:rPr>
                <w:rFonts w:ascii="Calibri"/>
                <w:color w:val="1C1C1C"/>
                <w:sz w:val="20"/>
                <w:szCs w:val="20"/>
              </w:rPr>
              <w:t xml:space="preserve">0.5-1.0 pip</w:t>
            </w:r>
          </w:p>
        </w:tc>
        <w:tc>
          <w:tcPr>
            <w:tcW w:type="pct" w:w="16%"/>
            <w:shd w:fill="F5F2E8" w:val="clear"/>
            <w:tcMar>
              <w:top w:type="dxa" w:w="40"/>
              <w:left w:type="dxa" w:w="100"/>
              <w:bottom w:type="dxa" w:w="40"/>
              <w:right w:type="dxa" w:w="100"/>
            </w:tcMar>
          </w:tcPr>
          <w:p>
            <w:pPr>
              <w:spacing w:after="40"/>
            </w:pPr>
            <w:r>
              <w:rPr>
                <w:rFonts w:ascii="Calibri"/>
                <w:color w:val="1C1C1C"/>
                <w:sz w:val="20"/>
                <w:szCs w:val="20"/>
              </w:rPr>
              <w:t xml:space="preserve">Maxima</w:t>
            </w:r>
          </w:p>
        </w:tc>
        <w:tc>
          <w:tcPr>
            <w:tcW w:type="pct" w:w="16%"/>
            <w:shd w:fill="F5F2E8" w:val="clear"/>
            <w:tcMar>
              <w:top w:type="dxa" w:w="40"/>
              <w:left w:type="dxa" w:w="100"/>
              <w:bottom w:type="dxa" w:w="40"/>
              <w:right w:type="dxa" w:w="100"/>
            </w:tcMar>
          </w:tcPr>
          <w:p>
            <w:pPr>
              <w:spacing w:after="40"/>
            </w:pPr>
            <w:r>
              <w:rPr>
                <w:rFonts w:ascii="Calibri"/>
                <w:color w:val="1C1C1C"/>
                <w:sz w:val="20"/>
                <w:szCs w:val="20"/>
              </w:rPr>
              <w:t xml:space="preserve">Londres, NY</w:t>
            </w:r>
          </w:p>
        </w:tc>
        <w:tc>
          <w:tcPr>
            <w:tcW w:type="pct" w:w="16%"/>
            <w:shd w:fill="F5F2E8" w:val="clear"/>
            <w:tcMar>
              <w:top w:type="dxa" w:w="40"/>
              <w:left w:type="dxa" w:w="100"/>
              <w:bottom w:type="dxa" w:w="40"/>
              <w:right w:type="dxa" w:w="100"/>
            </w:tcMar>
          </w:tcPr>
          <w:p>
            <w:pPr>
              <w:spacing w:after="40"/>
            </w:pPr>
            <w:r>
              <w:rPr>
                <w:rFonts w:ascii="Calibri"/>
                <w:color w:val="1C1C1C"/>
                <w:sz w:val="20"/>
                <w:szCs w:val="20"/>
              </w:rPr>
              <w:t xml:space="preserve">Menos volatil, spreads minimos</w:t>
            </w:r>
          </w:p>
        </w:tc>
      </w:tr>
      <w:tr>
        <w:trPr>
          <w:cantSplit/>
        </w:trPr>
        <w:tc>
          <w:tcPr>
            <w:tcW w:type="pct" w:w="16%"/>
            <w:shd w:fill="FFFFFF" w:val="clear"/>
            <w:tcMar>
              <w:top w:type="dxa" w:w="40"/>
              <w:left w:type="dxa" w:w="100"/>
              <w:bottom w:type="dxa" w:w="40"/>
              <w:right w:type="dxa" w:w="100"/>
            </w:tcMar>
          </w:tcPr>
          <w:p>
            <w:pPr>
              <w:spacing w:after="40"/>
            </w:pPr>
            <w:r>
              <w:rPr>
                <w:rFonts w:ascii="Calibri"/>
                <w:color w:val="1C1C1C"/>
                <w:sz w:val="20"/>
                <w:szCs w:val="20"/>
              </w:rPr>
              <w:t xml:space="preserve">GBP/USD</w:t>
            </w:r>
          </w:p>
        </w:tc>
        <w:tc>
          <w:tcPr>
            <w:tcW w:type="pct" w:w="16%"/>
            <w:shd w:fill="FFFFFF" w:val="clear"/>
            <w:tcMar>
              <w:top w:type="dxa" w:w="40"/>
              <w:left w:type="dxa" w:w="100"/>
              <w:bottom w:type="dxa" w:w="40"/>
              <w:right w:type="dxa" w:w="100"/>
            </w:tcMar>
          </w:tcPr>
          <w:p>
            <w:pPr>
              <w:spacing w:after="40"/>
            </w:pPr>
            <w:r>
              <w:rPr>
                <w:rFonts w:ascii="Calibri"/>
                <w:color w:val="1C1C1C"/>
                <w:sz w:val="20"/>
                <w:szCs w:val="20"/>
              </w:rPr>
              <w:t xml:space="preserve">Alta</w:t>
            </w:r>
          </w:p>
        </w:tc>
        <w:tc>
          <w:tcPr>
            <w:tcW w:type="pct" w:w="16%"/>
            <w:shd w:fill="FFFFFF" w:val="clear"/>
            <w:tcMar>
              <w:top w:type="dxa" w:w="40"/>
              <w:left w:type="dxa" w:w="100"/>
              <w:bottom w:type="dxa" w:w="40"/>
              <w:right w:type="dxa" w:w="100"/>
            </w:tcMar>
          </w:tcPr>
          <w:p>
            <w:pPr>
              <w:spacing w:after="40"/>
            </w:pPr>
            <w:r>
              <w:rPr>
                <w:rFonts w:ascii="Calibri"/>
                <w:color w:val="1C1C1C"/>
                <w:sz w:val="20"/>
                <w:szCs w:val="20"/>
              </w:rPr>
              <w:t xml:space="preserve">0.8-1.5 pip</w:t>
            </w:r>
          </w:p>
        </w:tc>
        <w:tc>
          <w:tcPr>
            <w:tcW w:type="pct" w:w="16%"/>
            <w:shd w:fill="FFFFFF" w:val="clear"/>
            <w:tcMar>
              <w:top w:type="dxa" w:w="40"/>
              <w:left w:type="dxa" w:w="100"/>
              <w:bottom w:type="dxa" w:w="40"/>
              <w:right w:type="dxa" w:w="100"/>
            </w:tcMar>
          </w:tcPr>
          <w:p>
            <w:pPr>
              <w:spacing w:after="40"/>
            </w:pPr>
            <w:r>
              <w:rPr>
                <w:rFonts w:ascii="Calibri"/>
                <w:color w:val="1C1C1C"/>
                <w:sz w:val="20"/>
                <w:szCs w:val="20"/>
              </w:rPr>
              <w:t xml:space="preserve">Alta</w:t>
            </w:r>
          </w:p>
        </w:tc>
        <w:tc>
          <w:tcPr>
            <w:tcW w:type="pct" w:w="16%"/>
            <w:shd w:fill="FFFFFF" w:val="clear"/>
            <w:tcMar>
              <w:top w:type="dxa" w:w="40"/>
              <w:left w:type="dxa" w:w="100"/>
              <w:bottom w:type="dxa" w:w="40"/>
              <w:right w:type="dxa" w:w="100"/>
            </w:tcMar>
          </w:tcPr>
          <w:p>
            <w:pPr>
              <w:spacing w:after="40"/>
            </w:pPr>
            <w:r>
              <w:rPr>
                <w:rFonts w:ascii="Calibri"/>
                <w:color w:val="1C1C1C"/>
                <w:sz w:val="20"/>
                <w:szCs w:val="20"/>
              </w:rPr>
              <w:t xml:space="preserve">Londres</w:t>
            </w:r>
          </w:p>
        </w:tc>
        <w:tc>
          <w:tcPr>
            <w:tcW w:type="pct" w:w="16%"/>
            <w:shd w:fill="FFFFFF" w:val="clear"/>
            <w:tcMar>
              <w:top w:type="dxa" w:w="40"/>
              <w:left w:type="dxa" w:w="100"/>
              <w:bottom w:type="dxa" w:w="40"/>
              <w:right w:type="dxa" w:w="100"/>
            </w:tcMar>
          </w:tcPr>
          <w:p>
            <w:pPr>
              <w:spacing w:after="40"/>
            </w:pPr>
            <w:r>
              <w:rPr>
                <w:rFonts w:ascii="Calibri"/>
                <w:color w:val="1C1C1C"/>
                <w:sz w:val="20"/>
                <w:szCs w:val="20"/>
              </w:rPr>
              <w:t xml:space="preserve">Tendencias fortes, reativo a dados UK</w:t>
            </w:r>
          </w:p>
        </w:tc>
      </w:tr>
      <w:tr>
        <w:trPr>
          <w:cantSplit/>
        </w:trPr>
        <w:tc>
          <w:tcPr>
            <w:tcW w:type="pct" w:w="16%"/>
            <w:shd w:fill="F5F2E8" w:val="clear"/>
            <w:tcMar>
              <w:top w:type="dxa" w:w="40"/>
              <w:left w:type="dxa" w:w="100"/>
              <w:bottom w:type="dxa" w:w="40"/>
              <w:right w:type="dxa" w:w="100"/>
            </w:tcMar>
          </w:tcPr>
          <w:p>
            <w:pPr>
              <w:spacing w:after="40"/>
            </w:pPr>
            <w:r>
              <w:rPr>
                <w:rFonts w:ascii="Calibri"/>
                <w:color w:val="1C1C1C"/>
                <w:sz w:val="20"/>
                <w:szCs w:val="20"/>
              </w:rPr>
              <w:t xml:space="preserve">USD/JPY</w:t>
            </w:r>
          </w:p>
        </w:tc>
        <w:tc>
          <w:tcPr>
            <w:tcW w:type="pct" w:w="16%"/>
            <w:shd w:fill="F5F2E8" w:val="clear"/>
            <w:tcMar>
              <w:top w:type="dxa" w:w="40"/>
              <w:left w:type="dxa" w:w="100"/>
              <w:bottom w:type="dxa" w:w="40"/>
              <w:right w:type="dxa" w:w="100"/>
            </w:tcMar>
          </w:tcPr>
          <w:p>
            <w:pPr>
              <w:spacing w:after="40"/>
            </w:pPr>
            <w:r>
              <w:rPr>
                <w:rFonts w:ascii="Calibri"/>
                <w:color w:val="1C1C1C"/>
                <w:sz w:val="20"/>
                <w:szCs w:val="20"/>
              </w:rPr>
              <w:t xml:space="preserve">Media</w:t>
            </w:r>
          </w:p>
        </w:tc>
        <w:tc>
          <w:tcPr>
            <w:tcW w:type="pct" w:w="16%"/>
            <w:shd w:fill="F5F2E8" w:val="clear"/>
            <w:tcMar>
              <w:top w:type="dxa" w:w="40"/>
              <w:left w:type="dxa" w:w="100"/>
              <w:bottom w:type="dxa" w:w="40"/>
              <w:right w:type="dxa" w:w="100"/>
            </w:tcMar>
          </w:tcPr>
          <w:p>
            <w:pPr>
              <w:spacing w:after="40"/>
            </w:pPr>
            <w:r>
              <w:rPr>
                <w:rFonts w:ascii="Calibri"/>
                <w:color w:val="1C1C1C"/>
                <w:sz w:val="20"/>
                <w:szCs w:val="20"/>
              </w:rPr>
              <w:t xml:space="preserve">0.7-1.2 pip</w:t>
            </w:r>
          </w:p>
        </w:tc>
        <w:tc>
          <w:tcPr>
            <w:tcW w:type="pct" w:w="16%"/>
            <w:shd w:fill="F5F2E8" w:val="clear"/>
            <w:tcMar>
              <w:top w:type="dxa" w:w="40"/>
              <w:left w:type="dxa" w:w="100"/>
              <w:bottom w:type="dxa" w:w="40"/>
              <w:right w:type="dxa" w:w="100"/>
            </w:tcMar>
          </w:tcPr>
          <w:p>
            <w:pPr>
              <w:spacing w:after="40"/>
            </w:pPr>
            <w:r>
              <w:rPr>
                <w:rFonts w:ascii="Calibri"/>
                <w:color w:val="1C1C1C"/>
                <w:sz w:val="20"/>
                <w:szCs w:val="20"/>
              </w:rPr>
              <w:t xml:space="preserve">Muito alta</w:t>
            </w:r>
          </w:p>
        </w:tc>
        <w:tc>
          <w:tcPr>
            <w:tcW w:type="pct" w:w="16%"/>
            <w:shd w:fill="F5F2E8" w:val="clear"/>
            <w:tcMar>
              <w:top w:type="dxa" w:w="40"/>
              <w:left w:type="dxa" w:w="100"/>
              <w:bottom w:type="dxa" w:w="40"/>
              <w:right w:type="dxa" w:w="100"/>
            </w:tcMar>
          </w:tcPr>
          <w:p>
            <w:pPr>
              <w:spacing w:after="40"/>
            </w:pPr>
            <w:r>
              <w:rPr>
                <w:rFonts w:ascii="Calibri"/>
                <w:color w:val="1C1C1C"/>
                <w:sz w:val="20"/>
                <w:szCs w:val="20"/>
              </w:rPr>
              <w:t xml:space="preserve">Toquio, NY</w:t>
            </w:r>
          </w:p>
        </w:tc>
        <w:tc>
          <w:tcPr>
            <w:tcW w:type="pct" w:w="16%"/>
            <w:shd w:fill="F5F2E8" w:val="clear"/>
            <w:tcMar>
              <w:top w:type="dxa" w:w="40"/>
              <w:left w:type="dxa" w:w="100"/>
              <w:bottom w:type="dxa" w:w="40"/>
              <w:right w:type="dxa" w:w="100"/>
            </w:tcMar>
          </w:tcPr>
          <w:p>
            <w:pPr>
              <w:spacing w:after="40"/>
            </w:pPr>
            <w:r>
              <w:rPr>
                <w:rFonts w:ascii="Calibri"/>
                <w:color w:val="1C1C1C"/>
                <w:sz w:val="20"/>
                <w:szCs w:val="20"/>
              </w:rPr>
              <w:t xml:space="preserve">Safe haven, sensivel a JGBs</w:t>
            </w:r>
          </w:p>
        </w:tc>
      </w:tr>
      <w:tr>
        <w:trPr>
          <w:cantSplit/>
        </w:trPr>
        <w:tc>
          <w:tcPr>
            <w:tcW w:type="pct" w:w="16%"/>
            <w:shd w:fill="FFFFFF" w:val="clear"/>
            <w:tcMar>
              <w:top w:type="dxa" w:w="40"/>
              <w:left w:type="dxa" w:w="100"/>
              <w:bottom w:type="dxa" w:w="40"/>
              <w:right w:type="dxa" w:w="100"/>
            </w:tcMar>
          </w:tcPr>
          <w:p>
            <w:pPr>
              <w:spacing w:after="40"/>
            </w:pPr>
            <w:r>
              <w:rPr>
                <w:rFonts w:ascii="Calibri"/>
                <w:color w:val="1C1C1C"/>
                <w:sz w:val="20"/>
                <w:szCs w:val="20"/>
              </w:rPr>
              <w:t xml:space="preserve">USD/CHF</w:t>
            </w:r>
          </w:p>
        </w:tc>
        <w:tc>
          <w:tcPr>
            <w:tcW w:type="pct" w:w="16%"/>
            <w:shd w:fill="FFFFFF" w:val="clear"/>
            <w:tcMar>
              <w:top w:type="dxa" w:w="40"/>
              <w:left w:type="dxa" w:w="100"/>
              <w:bottom w:type="dxa" w:w="40"/>
              <w:right w:type="dxa" w:w="100"/>
            </w:tcMar>
          </w:tcPr>
          <w:p>
            <w:pPr>
              <w:spacing w:after="40"/>
            </w:pPr>
            <w:r>
              <w:rPr>
                <w:rFonts w:ascii="Calibri"/>
                <w:color w:val="1C1C1C"/>
                <w:sz w:val="20"/>
                <w:szCs w:val="20"/>
              </w:rPr>
              <w:t xml:space="preserve">Media</w:t>
            </w:r>
          </w:p>
        </w:tc>
        <w:tc>
          <w:tcPr>
            <w:tcW w:type="pct" w:w="16%"/>
            <w:shd w:fill="FFFFFF" w:val="clear"/>
            <w:tcMar>
              <w:top w:type="dxa" w:w="40"/>
              <w:left w:type="dxa" w:w="100"/>
              <w:bottom w:type="dxa" w:w="40"/>
              <w:right w:type="dxa" w:w="100"/>
            </w:tcMar>
          </w:tcPr>
          <w:p>
            <w:pPr>
              <w:spacing w:after="40"/>
            </w:pPr>
            <w:r>
              <w:rPr>
                <w:rFonts w:ascii="Calibri"/>
                <w:color w:val="1C1C1C"/>
                <w:sz w:val="20"/>
                <w:szCs w:val="20"/>
              </w:rPr>
              <w:t xml:space="preserve">0.8-1.5 pip</w:t>
            </w:r>
          </w:p>
        </w:tc>
        <w:tc>
          <w:tcPr>
            <w:tcW w:type="pct" w:w="16%"/>
            <w:shd w:fill="FFFFFF" w:val="clear"/>
            <w:tcMar>
              <w:top w:type="dxa" w:w="40"/>
              <w:left w:type="dxa" w:w="100"/>
              <w:bottom w:type="dxa" w:w="40"/>
              <w:right w:type="dxa" w:w="100"/>
            </w:tcMar>
          </w:tcPr>
          <w:p>
            <w:pPr>
              <w:spacing w:after="40"/>
            </w:pPr>
            <w:r>
              <w:rPr>
                <w:rFonts w:ascii="Calibri"/>
                <w:color w:val="1C1C1C"/>
                <w:sz w:val="20"/>
                <w:szCs w:val="20"/>
              </w:rPr>
              <w:t xml:space="preserve">Alta</w:t>
            </w:r>
          </w:p>
        </w:tc>
        <w:tc>
          <w:tcPr>
            <w:tcW w:type="pct" w:w="16%"/>
            <w:shd w:fill="FFFFFF" w:val="clear"/>
            <w:tcMar>
              <w:top w:type="dxa" w:w="40"/>
              <w:left w:type="dxa" w:w="100"/>
              <w:bottom w:type="dxa" w:w="40"/>
              <w:right w:type="dxa" w:w="100"/>
            </w:tcMar>
          </w:tcPr>
          <w:p>
            <w:pPr>
              <w:spacing w:after="40"/>
            </w:pPr>
            <w:r>
              <w:rPr>
                <w:rFonts w:ascii="Calibri"/>
                <w:color w:val="1C1C1C"/>
                <w:sz w:val="20"/>
                <w:szCs w:val="20"/>
              </w:rPr>
              <w:t xml:space="preserve">Londres, NY</w:t>
            </w:r>
          </w:p>
        </w:tc>
        <w:tc>
          <w:tcPr>
            <w:tcW w:type="pct" w:w="16%"/>
            <w:shd w:fill="FFFFFF" w:val="clear"/>
            <w:tcMar>
              <w:top w:type="dxa" w:w="40"/>
              <w:left w:type="dxa" w:w="100"/>
              <w:bottom w:type="dxa" w:w="40"/>
              <w:right w:type="dxa" w:w="100"/>
            </w:tcMar>
          </w:tcPr>
          <w:p>
            <w:pPr>
              <w:spacing w:after="40"/>
            </w:pPr>
            <w:r>
              <w:rPr>
                <w:rFonts w:ascii="Calibri"/>
                <w:color w:val="1C1C1C"/>
                <w:sz w:val="20"/>
                <w:szCs w:val="20"/>
              </w:rPr>
              <w:t xml:space="preserve">Correlacao negativa com EUR/USD</w:t>
            </w:r>
          </w:p>
        </w:tc>
      </w:tr>
      <w:tr>
        <w:trPr>
          <w:cantSplit/>
        </w:trPr>
        <w:tc>
          <w:tcPr>
            <w:tcW w:type="pct" w:w="16%"/>
            <w:shd w:fill="F5F2E8" w:val="clear"/>
            <w:tcMar>
              <w:top w:type="dxa" w:w="40"/>
              <w:left w:type="dxa" w:w="100"/>
              <w:bottom w:type="dxa" w:w="40"/>
              <w:right w:type="dxa" w:w="100"/>
            </w:tcMar>
          </w:tcPr>
          <w:p>
            <w:pPr>
              <w:spacing w:after="40"/>
            </w:pPr>
            <w:r>
              <w:rPr>
                <w:rFonts w:ascii="Calibri"/>
                <w:color w:val="1C1C1C"/>
                <w:sz w:val="20"/>
                <w:szCs w:val="20"/>
              </w:rPr>
              <w:t xml:space="preserve">AUD/USD</w:t>
            </w:r>
          </w:p>
        </w:tc>
        <w:tc>
          <w:tcPr>
            <w:tcW w:type="pct" w:w="16%"/>
            <w:shd w:fill="F5F2E8" w:val="clear"/>
            <w:tcMar>
              <w:top w:type="dxa" w:w="40"/>
              <w:left w:type="dxa" w:w="100"/>
              <w:bottom w:type="dxa" w:w="40"/>
              <w:right w:type="dxa" w:w="100"/>
            </w:tcMar>
          </w:tcPr>
          <w:p>
            <w:pPr>
              <w:spacing w:after="40"/>
            </w:pPr>
            <w:r>
              <w:rPr>
                <w:rFonts w:ascii="Calibri"/>
                <w:color w:val="1C1C1C"/>
                <w:sz w:val="20"/>
                <w:szCs w:val="20"/>
              </w:rPr>
              <w:t xml:space="preserve">Alta</w:t>
            </w:r>
          </w:p>
        </w:tc>
        <w:tc>
          <w:tcPr>
            <w:tcW w:type="pct" w:w="16%"/>
            <w:shd w:fill="F5F2E8" w:val="clear"/>
            <w:tcMar>
              <w:top w:type="dxa" w:w="40"/>
              <w:left w:type="dxa" w:w="100"/>
              <w:bottom w:type="dxa" w:w="40"/>
              <w:right w:type="dxa" w:w="100"/>
            </w:tcMar>
          </w:tcPr>
          <w:p>
            <w:pPr>
              <w:spacing w:after="40"/>
            </w:pPr>
            <w:r>
              <w:rPr>
                <w:rFonts w:ascii="Calibri"/>
                <w:color w:val="1C1C1C"/>
                <w:sz w:val="20"/>
                <w:szCs w:val="20"/>
              </w:rPr>
              <w:t xml:space="preserve">0.8-1.2 pip</w:t>
            </w:r>
          </w:p>
        </w:tc>
        <w:tc>
          <w:tcPr>
            <w:tcW w:type="pct" w:w="16%"/>
            <w:shd w:fill="F5F2E8" w:val="clear"/>
            <w:tcMar>
              <w:top w:type="dxa" w:w="40"/>
              <w:left w:type="dxa" w:w="100"/>
              <w:bottom w:type="dxa" w:w="40"/>
              <w:right w:type="dxa" w:w="100"/>
            </w:tcMar>
          </w:tcPr>
          <w:p>
            <w:pPr>
              <w:spacing w:after="40"/>
            </w:pPr>
            <w:r>
              <w:rPr>
                <w:rFonts w:ascii="Calibri"/>
                <w:color w:val="1C1C1C"/>
                <w:sz w:val="20"/>
                <w:szCs w:val="20"/>
              </w:rPr>
              <w:t xml:space="preserve">Alta</w:t>
            </w:r>
          </w:p>
        </w:tc>
        <w:tc>
          <w:tcPr>
            <w:tcW w:type="pct" w:w="16%"/>
            <w:shd w:fill="F5F2E8" w:val="clear"/>
            <w:tcMar>
              <w:top w:type="dxa" w:w="40"/>
              <w:left w:type="dxa" w:w="100"/>
              <w:bottom w:type="dxa" w:w="40"/>
              <w:right w:type="dxa" w:w="100"/>
            </w:tcMar>
          </w:tcPr>
          <w:p>
            <w:pPr>
              <w:spacing w:after="40"/>
            </w:pPr>
            <w:r>
              <w:rPr>
                <w:rFonts w:ascii="Calibri"/>
                <w:color w:val="1C1C1C"/>
                <w:sz w:val="20"/>
                <w:szCs w:val="20"/>
              </w:rPr>
              <w:t xml:space="preserve">Sydney, Londres</w:t>
            </w:r>
          </w:p>
        </w:tc>
        <w:tc>
          <w:tcPr>
            <w:tcW w:type="pct" w:w="16%"/>
            <w:shd w:fill="F5F2E8" w:val="clear"/>
            <w:tcMar>
              <w:top w:type="dxa" w:w="40"/>
              <w:left w:type="dxa" w:w="100"/>
              <w:bottom w:type="dxa" w:w="40"/>
              <w:right w:type="dxa" w:w="100"/>
            </w:tcMar>
          </w:tcPr>
          <w:p>
            <w:pPr>
              <w:spacing w:after="40"/>
            </w:pPr>
            <w:r>
              <w:rPr>
                <w:rFonts w:ascii="Calibri"/>
                <w:color w:val="1C1C1C"/>
                <w:sz w:val="20"/>
                <w:szCs w:val="20"/>
              </w:rPr>
              <w:t xml:space="preserve">Commodity currency, sensivel a China</w:t>
            </w:r>
          </w:p>
        </w:tc>
      </w:tr>
      <w:tr>
        <w:trPr>
          <w:cantSplit/>
        </w:trPr>
        <w:tc>
          <w:tcPr>
            <w:tcW w:type="pct" w:w="16%"/>
            <w:shd w:fill="FFFFFF" w:val="clear"/>
            <w:tcMar>
              <w:top w:type="dxa" w:w="40"/>
              <w:left w:type="dxa" w:w="100"/>
              <w:bottom w:type="dxa" w:w="40"/>
              <w:right w:type="dxa" w:w="100"/>
            </w:tcMar>
          </w:tcPr>
          <w:p>
            <w:pPr>
              <w:spacing w:after="40"/>
            </w:pPr>
            <w:r>
              <w:rPr>
                <w:rFonts w:ascii="Calibri"/>
                <w:color w:val="1C1C1C"/>
                <w:sz w:val="20"/>
                <w:szCs w:val="20"/>
              </w:rPr>
              <w:t xml:space="preserve">USD/CAD</w:t>
            </w:r>
          </w:p>
        </w:tc>
        <w:tc>
          <w:tcPr>
            <w:tcW w:type="pct" w:w="16%"/>
            <w:shd w:fill="FFFFFF" w:val="clear"/>
            <w:tcMar>
              <w:top w:type="dxa" w:w="40"/>
              <w:left w:type="dxa" w:w="100"/>
              <w:bottom w:type="dxa" w:w="40"/>
              <w:right w:type="dxa" w:w="100"/>
            </w:tcMar>
          </w:tcPr>
          <w:p>
            <w:pPr>
              <w:spacing w:after="40"/>
            </w:pPr>
            <w:r>
              <w:rPr>
                <w:rFonts w:ascii="Calibri"/>
                <w:color w:val="1C1C1C"/>
                <w:sz w:val="20"/>
                <w:szCs w:val="20"/>
              </w:rPr>
              <w:t xml:space="preserve">Media</w:t>
            </w:r>
          </w:p>
        </w:tc>
        <w:tc>
          <w:tcPr>
            <w:tcW w:type="pct" w:w="16%"/>
            <w:shd w:fill="FFFFFF" w:val="clear"/>
            <w:tcMar>
              <w:top w:type="dxa" w:w="40"/>
              <w:left w:type="dxa" w:w="100"/>
              <w:bottom w:type="dxa" w:w="40"/>
              <w:right w:type="dxa" w:w="100"/>
            </w:tcMar>
          </w:tcPr>
          <w:p>
            <w:pPr>
              <w:spacing w:after="40"/>
            </w:pPr>
            <w:r>
              <w:rPr>
                <w:rFonts w:ascii="Calibri"/>
                <w:color w:val="1C1C1C"/>
                <w:sz w:val="20"/>
                <w:szCs w:val="20"/>
              </w:rPr>
              <w:t xml:space="preserve">0.8-1.5 pip</w:t>
            </w:r>
          </w:p>
        </w:tc>
        <w:tc>
          <w:tcPr>
            <w:tcW w:type="pct" w:w="16%"/>
            <w:shd w:fill="FFFFFF" w:val="clear"/>
            <w:tcMar>
              <w:top w:type="dxa" w:w="40"/>
              <w:left w:type="dxa" w:w="100"/>
              <w:bottom w:type="dxa" w:w="40"/>
              <w:right w:type="dxa" w:w="100"/>
            </w:tcMar>
          </w:tcPr>
          <w:p>
            <w:pPr>
              <w:spacing w:after="40"/>
            </w:pPr>
            <w:r>
              <w:rPr>
                <w:rFonts w:ascii="Calibri"/>
                <w:color w:val="1C1C1C"/>
                <w:sz w:val="20"/>
                <w:szCs w:val="20"/>
              </w:rPr>
              <w:t xml:space="preserve">Alta</w:t>
            </w:r>
          </w:p>
        </w:tc>
        <w:tc>
          <w:tcPr>
            <w:tcW w:type="pct" w:w="16%"/>
            <w:shd w:fill="FFFFFF" w:val="clear"/>
            <w:tcMar>
              <w:top w:type="dxa" w:w="40"/>
              <w:left w:type="dxa" w:w="100"/>
              <w:bottom w:type="dxa" w:w="40"/>
              <w:right w:type="dxa" w:w="100"/>
            </w:tcMar>
          </w:tcPr>
          <w:p>
            <w:pPr>
              <w:spacing w:after="40"/>
            </w:pPr>
            <w:r>
              <w:rPr>
                <w:rFonts w:ascii="Calibri"/>
                <w:color w:val="1C1C1C"/>
                <w:sz w:val="20"/>
                <w:szCs w:val="20"/>
              </w:rPr>
              <w:t xml:space="preserve">NY</w:t>
            </w:r>
          </w:p>
        </w:tc>
        <w:tc>
          <w:tcPr>
            <w:tcW w:type="pct" w:w="16%"/>
            <w:shd w:fill="FFFFFF" w:val="clear"/>
            <w:tcMar>
              <w:top w:type="dxa" w:w="40"/>
              <w:left w:type="dxa" w:w="100"/>
              <w:bottom w:type="dxa" w:w="40"/>
              <w:right w:type="dxa" w:w="100"/>
            </w:tcMar>
          </w:tcPr>
          <w:p>
            <w:pPr>
              <w:spacing w:after="40"/>
            </w:pPr>
            <w:r>
              <w:rPr>
                <w:rFonts w:ascii="Calibri"/>
                <w:color w:val="1C1C1C"/>
                <w:sz w:val="20"/>
                <w:szCs w:val="20"/>
              </w:rPr>
              <w:t xml:space="preserve">Correlacao com petroleo</w:t>
            </w:r>
          </w:p>
        </w:tc>
      </w:tr>
      <w:tr>
        <w:trPr>
          <w:cantSplit/>
        </w:trPr>
        <w:tc>
          <w:tcPr>
            <w:tcW w:type="pct" w:w="16%"/>
            <w:shd w:fill="F5F2E8" w:val="clear"/>
            <w:tcMar>
              <w:top w:type="dxa" w:w="40"/>
              <w:left w:type="dxa" w:w="100"/>
              <w:bottom w:type="dxa" w:w="40"/>
              <w:right w:type="dxa" w:w="100"/>
            </w:tcMar>
          </w:tcPr>
          <w:p>
            <w:pPr>
              <w:spacing w:after="40"/>
            </w:pPr>
            <w:r>
              <w:rPr>
                <w:rFonts w:ascii="Calibri"/>
                <w:color w:val="1C1C1C"/>
                <w:sz w:val="20"/>
                <w:szCs w:val="20"/>
              </w:rPr>
              <w:t xml:space="preserve">NZD/USD</w:t>
            </w:r>
          </w:p>
        </w:tc>
        <w:tc>
          <w:tcPr>
            <w:tcW w:type="pct" w:w="16%"/>
            <w:shd w:fill="F5F2E8" w:val="clear"/>
            <w:tcMar>
              <w:top w:type="dxa" w:w="40"/>
              <w:left w:type="dxa" w:w="100"/>
              <w:bottom w:type="dxa" w:w="40"/>
              <w:right w:type="dxa" w:w="100"/>
            </w:tcMar>
          </w:tcPr>
          <w:p>
            <w:pPr>
              <w:spacing w:after="40"/>
            </w:pPr>
            <w:r>
              <w:rPr>
                <w:rFonts w:ascii="Calibri"/>
                <w:color w:val="1C1C1C"/>
                <w:sz w:val="20"/>
                <w:szCs w:val="20"/>
              </w:rPr>
              <w:t xml:space="preserve">Alta</w:t>
            </w:r>
          </w:p>
        </w:tc>
        <w:tc>
          <w:tcPr>
            <w:tcW w:type="pct" w:w="16%"/>
            <w:shd w:fill="F5F2E8" w:val="clear"/>
            <w:tcMar>
              <w:top w:type="dxa" w:w="40"/>
              <w:left w:type="dxa" w:w="100"/>
              <w:bottom w:type="dxa" w:w="40"/>
              <w:right w:type="dxa" w:w="100"/>
            </w:tcMar>
          </w:tcPr>
          <w:p>
            <w:pPr>
              <w:spacing w:after="40"/>
            </w:pPr>
            <w:r>
              <w:rPr>
                <w:rFonts w:ascii="Calibri"/>
                <w:color w:val="1C1C1C"/>
                <w:sz w:val="20"/>
                <w:szCs w:val="20"/>
              </w:rPr>
              <w:t xml:space="preserve">1.0-2.0 pip</w:t>
            </w:r>
          </w:p>
        </w:tc>
        <w:tc>
          <w:tcPr>
            <w:tcW w:type="pct" w:w="16%"/>
            <w:shd w:fill="F5F2E8" w:val="clear"/>
            <w:tcMar>
              <w:top w:type="dxa" w:w="40"/>
              <w:left w:type="dxa" w:w="100"/>
              <w:bottom w:type="dxa" w:w="40"/>
              <w:right w:type="dxa" w:w="100"/>
            </w:tcMar>
          </w:tcPr>
          <w:p>
            <w:pPr>
              <w:spacing w:after="40"/>
            </w:pPr>
            <w:r>
              <w:rPr>
                <w:rFonts w:ascii="Calibri"/>
                <w:color w:val="1C1C1C"/>
                <w:sz w:val="20"/>
                <w:szCs w:val="20"/>
              </w:rPr>
              <w:t xml:space="preserve">Media</w:t>
            </w:r>
          </w:p>
        </w:tc>
        <w:tc>
          <w:tcPr>
            <w:tcW w:type="pct" w:w="16%"/>
            <w:shd w:fill="F5F2E8" w:val="clear"/>
            <w:tcMar>
              <w:top w:type="dxa" w:w="40"/>
              <w:left w:type="dxa" w:w="100"/>
              <w:bottom w:type="dxa" w:w="40"/>
              <w:right w:type="dxa" w:w="100"/>
            </w:tcMar>
          </w:tcPr>
          <w:p>
            <w:pPr>
              <w:spacing w:after="40"/>
            </w:pPr>
            <w:r>
              <w:rPr>
                <w:rFonts w:ascii="Calibri"/>
                <w:color w:val="1C1C1C"/>
                <w:sz w:val="20"/>
                <w:szCs w:val="20"/>
              </w:rPr>
              <w:t xml:space="preserve">Sydney</w:t>
            </w:r>
          </w:p>
        </w:tc>
        <w:tc>
          <w:tcPr>
            <w:tcW w:type="pct" w:w="16%"/>
            <w:shd w:fill="F5F2E8" w:val="clear"/>
            <w:tcMar>
              <w:top w:type="dxa" w:w="40"/>
              <w:left w:type="dxa" w:w="100"/>
              <w:bottom w:type="dxa" w:w="40"/>
              <w:right w:type="dxa" w:w="100"/>
            </w:tcMar>
          </w:tcPr>
          <w:p>
            <w:pPr>
              <w:spacing w:after="40"/>
            </w:pPr>
            <w:r>
              <w:rPr>
                <w:rFonts w:ascii="Calibri"/>
                <w:color w:val="1C1C1C"/>
                <w:sz w:val="20"/>
                <w:szCs w:val="20"/>
              </w:rPr>
              <w:t xml:space="preserve">Commodity, sensivel a commodities</w:t>
            </w:r>
          </w:p>
        </w:tc>
      </w:tr>
      <w:tr>
        <w:trPr>
          <w:cantSplit/>
        </w:trPr>
        <w:tc>
          <w:tcPr>
            <w:tcW w:type="pct" w:w="16%"/>
            <w:shd w:fill="FFFFFF" w:val="clear"/>
            <w:tcMar>
              <w:top w:type="dxa" w:w="40"/>
              <w:left w:type="dxa" w:w="100"/>
              <w:bottom w:type="dxa" w:w="40"/>
              <w:right w:type="dxa" w:w="100"/>
            </w:tcMar>
          </w:tcPr>
          <w:p>
            <w:pPr>
              <w:spacing w:after="40"/>
            </w:pPr>
            <w:r>
              <w:rPr>
                <w:rFonts w:ascii="Calibri"/>
                <w:color w:val="1C1C1C"/>
                <w:sz w:val="20"/>
                <w:szCs w:val="20"/>
              </w:rPr>
              <w:t xml:space="preserve">EUR/JPY</w:t>
            </w:r>
          </w:p>
        </w:tc>
        <w:tc>
          <w:tcPr>
            <w:tcW w:type="pct" w:w="16%"/>
            <w:shd w:fill="FFFFFF" w:val="clear"/>
            <w:tcMar>
              <w:top w:type="dxa" w:w="40"/>
              <w:left w:type="dxa" w:w="100"/>
              <w:bottom w:type="dxa" w:w="40"/>
              <w:right w:type="dxa" w:w="100"/>
            </w:tcMar>
          </w:tcPr>
          <w:p>
            <w:pPr>
              <w:spacing w:after="40"/>
            </w:pPr>
            <w:r>
              <w:rPr>
                <w:rFonts w:ascii="Calibri"/>
                <w:color w:val="1C1C1C"/>
                <w:sz w:val="20"/>
                <w:szCs w:val="20"/>
              </w:rPr>
              <w:t xml:space="preserve">Alta</w:t>
            </w:r>
          </w:p>
        </w:tc>
        <w:tc>
          <w:tcPr>
            <w:tcW w:type="pct" w:w="16%"/>
            <w:shd w:fill="FFFFFF" w:val="clear"/>
            <w:tcMar>
              <w:top w:type="dxa" w:w="40"/>
              <w:left w:type="dxa" w:w="100"/>
              <w:bottom w:type="dxa" w:w="40"/>
              <w:right w:type="dxa" w:w="100"/>
            </w:tcMar>
          </w:tcPr>
          <w:p>
            <w:pPr>
              <w:spacing w:after="40"/>
            </w:pPr>
            <w:r>
              <w:rPr>
                <w:rFonts w:ascii="Calibri"/>
                <w:color w:val="1C1C1C"/>
                <w:sz w:val="20"/>
                <w:szCs w:val="20"/>
              </w:rPr>
              <w:t xml:space="preserve">1.2-2.0 pip</w:t>
            </w:r>
          </w:p>
        </w:tc>
        <w:tc>
          <w:tcPr>
            <w:tcW w:type="pct" w:w="16%"/>
            <w:shd w:fill="FFFFFF" w:val="clear"/>
            <w:tcMar>
              <w:top w:type="dxa" w:w="40"/>
              <w:left w:type="dxa" w:w="100"/>
              <w:bottom w:type="dxa" w:w="40"/>
              <w:right w:type="dxa" w:w="100"/>
            </w:tcMar>
          </w:tcPr>
          <w:p>
            <w:pPr>
              <w:spacing w:after="40"/>
            </w:pPr>
            <w:r>
              <w:rPr>
                <w:rFonts w:ascii="Calibri"/>
                <w:color w:val="1C1C1C"/>
                <w:sz w:val="20"/>
                <w:szCs w:val="20"/>
              </w:rPr>
              <w:t xml:space="preserve">Alta</w:t>
            </w:r>
          </w:p>
        </w:tc>
        <w:tc>
          <w:tcPr>
            <w:tcW w:type="pct" w:w="16%"/>
            <w:shd w:fill="FFFFFF" w:val="clear"/>
            <w:tcMar>
              <w:top w:type="dxa" w:w="40"/>
              <w:left w:type="dxa" w:w="100"/>
              <w:bottom w:type="dxa" w:w="40"/>
              <w:right w:type="dxa" w:w="100"/>
            </w:tcMar>
          </w:tcPr>
          <w:p>
            <w:pPr>
              <w:spacing w:after="40"/>
            </w:pPr>
            <w:r>
              <w:rPr>
                <w:rFonts w:ascii="Calibri"/>
                <w:color w:val="1C1C1C"/>
                <w:sz w:val="20"/>
                <w:szCs w:val="20"/>
              </w:rPr>
              <w:t xml:space="preserve">Londres, Toquio</w:t>
            </w:r>
          </w:p>
        </w:tc>
        <w:tc>
          <w:tcPr>
            <w:tcW w:type="pct" w:w="16%"/>
            <w:shd w:fill="FFFFFF" w:val="clear"/>
            <w:tcMar>
              <w:top w:type="dxa" w:w="40"/>
              <w:left w:type="dxa" w:w="100"/>
              <w:bottom w:type="dxa" w:w="40"/>
              <w:right w:type="dxa" w:w="100"/>
            </w:tcMar>
          </w:tcPr>
          <w:p>
            <w:pPr>
              <w:spacing w:after="40"/>
            </w:pPr>
            <w:r>
              <w:rPr>
                <w:rFonts w:ascii="Calibri"/>
                <w:color w:val="1C1C1C"/>
                <w:sz w:val="20"/>
                <w:szCs w:val="20"/>
              </w:rPr>
              <w:t xml:space="preserve">Alta volatilidade, cross volatil</w:t>
            </w:r>
          </w:p>
        </w:tc>
      </w:tr>
      <w:tr>
        <w:trPr>
          <w:cantSplit/>
        </w:trPr>
        <w:tc>
          <w:tcPr>
            <w:tcW w:type="pct" w:w="16%"/>
            <w:shd w:fill="F5F2E8" w:val="clear"/>
            <w:tcMar>
              <w:top w:type="dxa" w:w="40"/>
              <w:left w:type="dxa" w:w="100"/>
              <w:bottom w:type="dxa" w:w="40"/>
              <w:right w:type="dxa" w:w="100"/>
            </w:tcMar>
          </w:tcPr>
          <w:p>
            <w:pPr>
              <w:spacing w:after="40"/>
            </w:pPr>
            <w:r>
              <w:rPr>
                <w:rFonts w:ascii="Calibri"/>
                <w:color w:val="1C1C1C"/>
                <w:sz w:val="20"/>
                <w:szCs w:val="20"/>
              </w:rPr>
              <w:t xml:space="preserve">GBP/JPY</w:t>
            </w:r>
          </w:p>
        </w:tc>
        <w:tc>
          <w:tcPr>
            <w:tcW w:type="pct" w:w="16%"/>
            <w:shd w:fill="F5F2E8" w:val="clear"/>
            <w:tcMar>
              <w:top w:type="dxa" w:w="40"/>
              <w:left w:type="dxa" w:w="100"/>
              <w:bottom w:type="dxa" w:w="40"/>
              <w:right w:type="dxa" w:w="100"/>
            </w:tcMar>
          </w:tcPr>
          <w:p>
            <w:pPr>
              <w:spacing w:after="40"/>
            </w:pPr>
            <w:r>
              <w:rPr>
                <w:rFonts w:ascii="Calibri"/>
                <w:color w:val="1C1C1C"/>
                <w:sz w:val="20"/>
                <w:szCs w:val="20"/>
              </w:rPr>
              <w:t xml:space="preserve">Muito alta</w:t>
            </w:r>
          </w:p>
        </w:tc>
        <w:tc>
          <w:tcPr>
            <w:tcW w:type="pct" w:w="16%"/>
            <w:shd w:fill="F5F2E8" w:val="clear"/>
            <w:tcMar>
              <w:top w:type="dxa" w:w="40"/>
              <w:left w:type="dxa" w:w="100"/>
              <w:bottom w:type="dxa" w:w="40"/>
              <w:right w:type="dxa" w:w="100"/>
            </w:tcMar>
          </w:tcPr>
          <w:p>
            <w:pPr>
              <w:spacing w:after="40"/>
            </w:pPr>
            <w:r>
              <w:rPr>
                <w:rFonts w:ascii="Calibri"/>
                <w:color w:val="1C1C1C"/>
                <w:sz w:val="20"/>
                <w:szCs w:val="20"/>
              </w:rPr>
              <w:t xml:space="preserve">1.5-3.0 pip</w:t>
            </w:r>
          </w:p>
        </w:tc>
        <w:tc>
          <w:tcPr>
            <w:tcW w:type="pct" w:w="16%"/>
            <w:shd w:fill="F5F2E8" w:val="clear"/>
            <w:tcMar>
              <w:top w:type="dxa" w:w="40"/>
              <w:left w:type="dxa" w:w="100"/>
              <w:bottom w:type="dxa" w:w="40"/>
              <w:right w:type="dxa" w:w="100"/>
            </w:tcMar>
          </w:tcPr>
          <w:p>
            <w:pPr>
              <w:spacing w:after="40"/>
            </w:pPr>
            <w:r>
              <w:rPr>
                <w:rFonts w:ascii="Calibri"/>
                <w:color w:val="1C1C1C"/>
                <w:sz w:val="20"/>
                <w:szCs w:val="20"/>
              </w:rPr>
              <w:t xml:space="preserve">Media</w:t>
            </w:r>
          </w:p>
        </w:tc>
        <w:tc>
          <w:tcPr>
            <w:tcW w:type="pct" w:w="16%"/>
            <w:shd w:fill="F5F2E8" w:val="clear"/>
            <w:tcMar>
              <w:top w:type="dxa" w:w="40"/>
              <w:left w:type="dxa" w:w="100"/>
              <w:bottom w:type="dxa" w:w="40"/>
              <w:right w:type="dxa" w:w="100"/>
            </w:tcMar>
          </w:tcPr>
          <w:p>
            <w:pPr>
              <w:spacing w:after="40"/>
            </w:pPr>
            <w:r>
              <w:rPr>
                <w:rFonts w:ascii="Calibri"/>
                <w:color w:val="1C1C1C"/>
                <w:sz w:val="20"/>
                <w:szCs w:val="20"/>
              </w:rPr>
              <w:t xml:space="preserve">Londres, Toquio</w:t>
            </w:r>
          </w:p>
        </w:tc>
        <w:tc>
          <w:tcPr>
            <w:tcW w:type="pct" w:w="16%"/>
            <w:shd w:fill="F5F2E8" w:val="clear"/>
            <w:tcMar>
              <w:top w:type="dxa" w:w="40"/>
              <w:left w:type="dxa" w:w="100"/>
              <w:bottom w:type="dxa" w:w="40"/>
              <w:right w:type="dxa" w:w="100"/>
            </w:tcMar>
          </w:tcPr>
          <w:p>
            <w:pPr>
              <w:spacing w:after="40"/>
            </w:pPr>
            <w:r>
              <w:rPr>
                <w:rFonts w:ascii="Calibri"/>
                <w:color w:val="1C1C1C"/>
                <w:sz w:val="20"/>
                <w:szCs w:val="20"/>
              </w:rPr>
              <w:t xml:space="preserve">Volatilidade extrema, trends fortes</w:t>
            </w:r>
          </w:p>
        </w:tc>
      </w:tr>
      <w:tr>
        <w:trPr>
          <w:cantSplit/>
        </w:trPr>
        <w:tc>
          <w:tcPr>
            <w:tcW w:type="pct" w:w="16%"/>
            <w:shd w:fill="FFFFFF" w:val="clear"/>
            <w:tcMar>
              <w:top w:type="dxa" w:w="40"/>
              <w:left w:type="dxa" w:w="100"/>
              <w:bottom w:type="dxa" w:w="40"/>
              <w:right w:type="dxa" w:w="100"/>
            </w:tcMar>
          </w:tcPr>
          <w:p>
            <w:pPr>
              <w:spacing w:after="40"/>
            </w:pPr>
            <w:r>
              <w:rPr>
                <w:rFonts w:ascii="Calibri"/>
                <w:color w:val="1C1C1C"/>
                <w:sz w:val="20"/>
                <w:szCs w:val="20"/>
              </w:rPr>
              <w:t xml:space="preserve">EUR/GBP</w:t>
            </w:r>
          </w:p>
        </w:tc>
        <w:tc>
          <w:tcPr>
            <w:tcW w:type="pct" w:w="16%"/>
            <w:shd w:fill="FFFFFF" w:val="clear"/>
            <w:tcMar>
              <w:top w:type="dxa" w:w="40"/>
              <w:left w:type="dxa" w:w="100"/>
              <w:bottom w:type="dxa" w:w="40"/>
              <w:right w:type="dxa" w:w="100"/>
            </w:tcMar>
          </w:tcPr>
          <w:p>
            <w:pPr>
              <w:spacing w:after="40"/>
            </w:pPr>
            <w:r>
              <w:rPr>
                <w:rFonts w:ascii="Calibri"/>
                <w:color w:val="1C1C1C"/>
                <w:sz w:val="20"/>
                <w:szCs w:val="20"/>
              </w:rPr>
              <w:t xml:space="preserve">Baixa</w:t>
            </w:r>
          </w:p>
        </w:tc>
        <w:tc>
          <w:tcPr>
            <w:tcW w:type="pct" w:w="16%"/>
            <w:shd w:fill="FFFFFF" w:val="clear"/>
            <w:tcMar>
              <w:top w:type="dxa" w:w="40"/>
              <w:left w:type="dxa" w:w="100"/>
              <w:bottom w:type="dxa" w:w="40"/>
              <w:right w:type="dxa" w:w="100"/>
            </w:tcMar>
          </w:tcPr>
          <w:p>
            <w:pPr>
              <w:spacing w:after="40"/>
            </w:pPr>
            <w:r>
              <w:rPr>
                <w:rFonts w:ascii="Calibri"/>
                <w:color w:val="1C1C1C"/>
                <w:sz w:val="20"/>
                <w:szCs w:val="20"/>
              </w:rPr>
              <w:t xml:space="preserve">0.8-1.5 pip</w:t>
            </w:r>
          </w:p>
        </w:tc>
        <w:tc>
          <w:tcPr>
            <w:tcW w:type="pct" w:w="16%"/>
            <w:shd w:fill="FFFFFF" w:val="clear"/>
            <w:tcMar>
              <w:top w:type="dxa" w:w="40"/>
              <w:left w:type="dxa" w:w="100"/>
              <w:bottom w:type="dxa" w:w="40"/>
              <w:right w:type="dxa" w:w="100"/>
            </w:tcMar>
          </w:tcPr>
          <w:p>
            <w:pPr>
              <w:spacing w:after="40"/>
            </w:pPr>
            <w:r>
              <w:rPr>
                <w:rFonts w:ascii="Calibri"/>
                <w:color w:val="1C1C1C"/>
                <w:sz w:val="20"/>
                <w:szCs w:val="20"/>
              </w:rPr>
              <w:t xml:space="preserve">Alta</w:t>
            </w:r>
          </w:p>
        </w:tc>
        <w:tc>
          <w:tcPr>
            <w:tcW w:type="pct" w:w="16%"/>
            <w:shd w:fill="FFFFFF" w:val="clear"/>
            <w:tcMar>
              <w:top w:type="dxa" w:w="40"/>
              <w:left w:type="dxa" w:w="100"/>
              <w:bottom w:type="dxa" w:w="40"/>
              <w:right w:type="dxa" w:w="100"/>
            </w:tcMar>
          </w:tcPr>
          <w:p>
            <w:pPr>
              <w:spacing w:after="40"/>
            </w:pPr>
            <w:r>
              <w:rPr>
                <w:rFonts w:ascii="Calibri"/>
                <w:color w:val="1C1C1C"/>
                <w:sz w:val="20"/>
                <w:szCs w:val="20"/>
              </w:rPr>
              <w:t xml:space="preserve">Londres</w:t>
            </w:r>
          </w:p>
        </w:tc>
        <w:tc>
          <w:tcPr>
            <w:tcW w:type="pct" w:w="16%"/>
            <w:shd w:fill="FFFFFF" w:val="clear"/>
            <w:tcMar>
              <w:top w:type="dxa" w:w="40"/>
              <w:left w:type="dxa" w:w="100"/>
              <w:bottom w:type="dxa" w:w="40"/>
              <w:right w:type="dxa" w:w="100"/>
            </w:tcMar>
          </w:tcPr>
          <w:p>
            <w:pPr>
              <w:spacing w:after="40"/>
            </w:pPr>
            <w:r>
              <w:rPr>
                <w:rFonts w:ascii="Calibri"/>
                <w:color w:val="1C1C1C"/>
                <w:sz w:val="20"/>
                <w:szCs w:val="20"/>
              </w:rPr>
              <w:t xml:space="preserve">Low vol, range-bound</w:t>
            </w:r>
          </w:p>
        </w:tc>
      </w:tr>
    </w:tbl>
    <w:p>
      <w:pPr>
        <w:spacing w:after="60"/>
      </w:pPr>
    </w:p>
    <w:p>
      <w:pPr>
        <w:pStyle w:val="Heading2"/>
        <w:spacing w:after="160" w:before="360" w:line="312"/>
      </w:pPr>
      <w:bookmarkStart w:id="100049" w:name="_Toc100049"/>
      <w:r>
        <w:rPr>
          <w:rFonts w:ascii="Times New Roman"/>
          <w:b/>
          <w:bCs/>
          <w:color w:val="1A1A1A"/>
          <w:sz w:val="28"/>
          <w:szCs w:val="28"/>
        </w:rPr>
        <w:t xml:space="preserve">10. Custos Reais de Operacao</w:t>
      </w:r>
      <w:bookmarkEnd w:id="100049"/>
    </w:p>
    <w:p>
      <w:pPr>
        <w:spacing w:after="120" w:line="312"/>
        <w:jc w:val="both"/>
      </w:pPr>
      <w:r>
        <w:rPr>
          <w:rFonts w:ascii="Times New Roman"/>
          <w:color w:val="1C1C1C"/>
          <w:sz w:val="22"/>
          <w:szCs w:val="22"/>
        </w:rPr>
        <w:t xml:space="preserve">A diferenca entre um backtest lucrativo e um sistema real perdido frequentemente reside nos custos de operacao. Spread, comissao, slippage, swap e latencia devem ser incorporados em todo backtest realista.</w:t>
      </w:r>
    </w:p>
    <w:p>
      <w:pPr>
        <w:spacing w:after="120" w:line="312"/>
        <w:jc w:val="both"/>
      </w:pPr>
      <w:r>
        <w:rPr>
          <w:rFonts w:ascii="Times New Roman"/>
          <w:b/>
          <w:bCs/>
          <w:color w:val="1C1C1C"/>
          <w:sz w:val="22"/>
          <w:szCs w:val="22"/>
        </w:rPr>
        <w:t xml:space="preserve">Spread: </w:t>
      </w:r>
      <w:r>
        <w:rPr>
          <w:rFonts w:ascii="Times New Roman"/>
          <w:color w:val="1C1C1C"/>
          <w:sz w:val="22"/>
          <w:szCs w:val="22"/>
        </w:rPr>
        <w:t xml:space="preserve">Diferenca entre preco bid e ask. Em EUR/USD, spread tipico e 0.5-1.0 pip em contas ECN; 1.5-3.0 pips em contas standard. Em pares menos liquidos (exoticos), spreads podem chegar a 10-50 pips. Para estrategias de alto frequencia (scalping), o spread e o fator dominante: uma estrategia que captura 2 pips por trade com spread de 1.5 pip precisa estar certo em &gt; 75% das vezes para ser lucrativa.</w:t>
      </w:r>
    </w:p>
    <w:p>
      <w:pPr>
        <w:spacing w:after="120" w:line="312"/>
        <w:jc w:val="both"/>
      </w:pPr>
      <w:r>
        <w:rPr>
          <w:rFonts w:ascii="Times New Roman"/>
          <w:b/>
          <w:bCs/>
          <w:color w:val="1C1C1C"/>
          <w:sz w:val="22"/>
          <w:szCs w:val="22"/>
        </w:rPr>
        <w:t xml:space="preserve">Comissao: </w:t>
      </w:r>
      <w:r>
        <w:rPr>
          <w:rFonts w:ascii="Times New Roman"/>
          <w:color w:val="1C1C1C"/>
          <w:sz w:val="22"/>
          <w:szCs w:val="22"/>
        </w:rPr>
        <w:t xml:space="preserve">Contas ECN tipicamente cobram comissao por lotes (ex: $3.5 por lado por lote padrao). Round trip = $7 por lote. Em contas standard, a comissao e embutida no spread mais largo. E essencial saber o custo total combinado (spread + comissao).</w:t>
      </w:r>
    </w:p>
    <w:p>
      <w:pPr>
        <w:spacing w:after="120" w:line="312"/>
        <w:jc w:val="both"/>
      </w:pPr>
      <w:r>
        <w:rPr>
          <w:rFonts w:ascii="Times New Roman"/>
          <w:b/>
          <w:bCs/>
          <w:color w:val="1C1C1C"/>
          <w:sz w:val="22"/>
          <w:szCs w:val="22"/>
        </w:rPr>
        <w:t xml:space="preserve">Slippage: </w:t>
      </w:r>
      <w:r>
        <w:rPr>
          <w:rFonts w:ascii="Times New Roman"/>
          <w:color w:val="1C1C1C"/>
          <w:sz w:val="22"/>
          <w:szCs w:val="22"/>
        </w:rPr>
        <w:t xml:space="preserve">Diferenca entre o preco esperado e o preco executado. Em backtest, e frequentemente modelado como percentual adicional sobre o spread (ex: 0.2 pips adicionais para market orders em pares liquidos; significativamente mais em pares exoticos ou durante noticias). Slippage e pior em: alta volatilidade, baixa liquidez, ordens grandes, e durante publicacao de dados economicos.</w:t>
      </w:r>
    </w:p>
    <w:p>
      <w:pPr>
        <w:spacing w:after="120" w:line="312"/>
        <w:jc w:val="both"/>
      </w:pPr>
      <w:r>
        <w:rPr>
          <w:rFonts w:ascii="Times New Roman"/>
          <w:b/>
          <w:bCs/>
          <w:color w:val="1C1C1C"/>
          <w:sz w:val="22"/>
          <w:szCs w:val="22"/>
        </w:rPr>
        <w:t xml:space="preserve">Swap/Rollover: </w:t>
      </w:r>
      <w:r>
        <w:rPr>
          <w:rFonts w:ascii="Times New Roman"/>
          <w:color w:val="1C1C1C"/>
          <w:sz w:val="22"/>
          <w:szCs w:val="22"/>
        </w:rPr>
        <w:t xml:space="preserve">Custo ou credito diario por manter posicoes overnight. Baseado no diferencial de taxas de juros. Para carry trades favoraveis, o swap e um credito; para posicoes adversas, um custo. Ao longo de semanas ou meses, o swap acumulado pode ser significativo. Em quartas-feiras, o triplo swap compensa o fim de semana.</w:t>
      </w:r>
    </w:p>
    <w:p>
      <w:pPr>
        <w:spacing w:after="120" w:line="312"/>
        <w:jc w:val="both"/>
      </w:pPr>
      <w:r>
        <w:rPr>
          <w:rFonts w:ascii="Times New Roman"/>
          <w:b/>
          <w:bCs/>
          <w:color w:val="1C1C1C"/>
          <w:sz w:val="22"/>
          <w:szCs w:val="22"/>
        </w:rPr>
        <w:t xml:space="preserve">Latencia: </w:t>
      </w:r>
      <w:r>
        <w:rPr>
          <w:rFonts w:ascii="Times New Roman"/>
          <w:color w:val="1C1C1C"/>
          <w:sz w:val="22"/>
          <w:szCs w:val="22"/>
        </w:rPr>
        <w:t xml:space="preserve">Tempo entre envio da ordem e execucao. Em VPS proximos ao servidor do broker, latencia tipica e 1-10ms; em conexoes residenciais, 50-200ms. Para scalping e HFT, latencia e um fator critico. Para estrategias em H1 ou superior, latencia e geralmente irrelevante.</w:t>
      </w:r>
    </w:p>
    <w:p>
      <w:pPr>
        <w:spacing w:after="120" w:line="312"/>
        <w:jc w:val="both"/>
      </w:pPr>
      <w:r>
        <w:rPr>
          <w:rFonts w:ascii="Times New Roman"/>
          <w:b/>
          <w:bCs/>
          <w:color w:val="1C1C1C"/>
          <w:sz w:val="22"/>
          <w:szCs w:val="22"/>
        </w:rPr>
        <w:t xml:space="preserve">Impacto nos resultados: </w:t>
      </w:r>
      <w:r>
        <w:rPr>
          <w:rFonts w:ascii="Times New Roman"/>
          <w:color w:val="1C1C1C"/>
          <w:sz w:val="22"/>
          <w:szCs w:val="22"/>
        </w:rPr>
        <w:t xml:space="preserve">Uma estrategia com win rate de 55%, payoff ratio de 1.2:1 e media de 20 trades por dia pode parecer lucrativa no backtest sem custos. Incorporando spread de 1 pip + comissao de $7 por lote + slippage de 0.3 pips, o resultado pode inverter para negativo. Regra pratica: no minimo, modelar spread + 0.5 pip de slippage em todo backtest.</w:t>
      </w:r>
    </w:p>
    <w:p>
      <w:pPr>
        <w:pStyle w:val="Heading2"/>
        <w:spacing w:after="160" w:before="360" w:line="312"/>
      </w:pPr>
      <w:bookmarkStart w:id="100050" w:name="_Toc100050"/>
      <w:r>
        <w:rPr>
          <w:rFonts w:ascii="Times New Roman"/>
          <w:b/>
          <w:bCs/>
          <w:color w:val="1A1A1A"/>
          <w:sz w:val="28"/>
          <w:szCs w:val="28"/>
        </w:rPr>
        <w:t xml:space="preserve">11. Eventos Macroeconomicos</w:t>
      </w:r>
      <w:bookmarkEnd w:id="100050"/>
    </w:p>
    <w:p>
      <w:pPr>
        <w:spacing w:after="120" w:line="312"/>
        <w:jc w:val="both"/>
      </w:pPr>
      <w:r>
        <w:rPr>
          <w:rFonts w:ascii="Times New Roman"/>
          <w:color w:val="1C1C1C"/>
          <w:sz w:val="22"/>
          <w:szCs w:val="22"/>
        </w:rPr>
        <w:t xml:space="preserve">Eventos macroeconomicos geram movimentos abruptos e imprevisiveis no mercado Forex. Um bot algoritmico deve ter uma estrategia clara para lidar com estes eventos.</w:t>
      </w:r>
    </w:p>
    <w:p>
      <w:pPr>
        <w:pStyle w:val="Heading3"/>
        <w:spacing w:after="120" w:before="240" w:line="312"/>
      </w:pPr>
      <w:bookmarkStart w:id="100051" w:name="_Toc100051"/>
      <w:r>
        <w:rPr>
          <w:rFonts w:ascii="Times New Roman"/>
          <w:b/>
          <w:bCs/>
          <w:color w:val="333333"/>
          <w:sz w:val="24"/>
          <w:szCs w:val="24"/>
        </w:rPr>
        <w:t xml:space="preserve">11.1 Calendario Economico como Filtro</w:t>
      </w:r>
      <w:bookmarkEnd w:id="100051"/>
    </w:p>
    <w:p>
      <w:pPr>
        <w:spacing w:after="120" w:line="312"/>
        <w:jc w:val="both"/>
      </w:pPr>
      <w:r>
        <w:rPr>
          <w:rFonts w:ascii="Times New Roman"/>
          <w:color w:val="1C1C1C"/>
          <w:sz w:val="22"/>
          <w:szCs w:val="22"/>
        </w:rPr>
        <w:t xml:space="preserve">O filtro mais simples e eficaz: nao abrir novas posicoes X minutos antes e Y minutos apos publicacao de eventos de alto impacto. X tipicamente 15-30 minutos; Y tipicamente 15-30 minutos. Alternativamente, reduzir tamanho de posicao (ex: 50% do normal) durante janelas de noticias. O calendario economico (disponivel via APIs como ForexFactory, Investing.com, ou Myfxbook) fornece horario, importancia prevista e valores de consenso.</w:t>
      </w:r>
    </w:p>
    <w:p>
      <w:pPr>
        <w:pStyle w:val="Heading3"/>
        <w:spacing w:after="120" w:before="240" w:line="312"/>
      </w:pPr>
      <w:bookmarkStart w:id="100052" w:name="_Toc100052"/>
      <w:r>
        <w:rPr>
          <w:rFonts w:ascii="Times New Roman"/>
          <w:b/>
          <w:bCs/>
          <w:color w:val="333333"/>
          <w:sz w:val="24"/>
          <w:szCs w:val="24"/>
        </w:rPr>
        <w:t xml:space="preserve">11.2 Eventos de Alto Impacto</w:t>
      </w:r>
      <w:bookmarkEnd w:id="100052"/>
    </w:p>
    <w:p>
      <w:pPr>
        <w:spacing w:after="120" w:line="312"/>
        <w:jc w:val="both"/>
      </w:pPr>
      <w:r>
        <w:rPr>
          <w:rFonts w:ascii="Times New Roman"/>
          <w:b/>
          <w:bCs/>
          <w:color w:val="1C1C1C"/>
          <w:sz w:val="22"/>
          <w:szCs w:val="22"/>
        </w:rPr>
        <w:t xml:space="preserve">NFP (Non-Farm Payrolls): </w:t>
      </w:r>
      <w:r>
        <w:rPr>
          <w:rFonts w:ascii="Times New Roman"/>
          <w:color w:val="1C1C1C"/>
          <w:sz w:val="22"/>
          <w:szCs w:val="22"/>
        </w:rPr>
        <w:t xml:space="preserve">Publicado mensalmente (primeira sexta-feira). Gera movimentos de 30-100+ pips em segundos. O NFP e consistentemente o evento com maior impacto no Forex. E extremamente dificil prever a direcao; o melhor approach e evitar. Spreads podem alargar para 10-50 pips durante e apos o release.</w:t>
      </w:r>
    </w:p>
    <w:p>
      <w:pPr>
        <w:spacing w:after="120" w:line="312"/>
        <w:jc w:val="both"/>
      </w:pPr>
      <w:r>
        <w:rPr>
          <w:rFonts w:ascii="Times New Roman"/>
          <w:b/>
          <w:bCs/>
          <w:color w:val="1C1C1C"/>
          <w:sz w:val="22"/>
          <w:szCs w:val="22"/>
        </w:rPr>
        <w:t xml:space="preserve">FOMC (Federal Reserve): </w:t>
      </w:r>
      <w:r>
        <w:rPr>
          <w:rFonts w:ascii="Times New Roman"/>
          <w:color w:val="1C1C1C"/>
          <w:sz w:val="22"/>
          <w:szCs w:val="22"/>
        </w:rPr>
        <w:t xml:space="preserve">Decisoes de taxa de juros e comunicacao da Fed, publicadas 8 vezes por ano. A comunicacao (statement, dot plot, press conference) frequentemente tem mais impacto que a decisao em si. O Fed e o banco central mais influente do mundo; suas decisoes afetam todos os pares USD.</w:t>
      </w:r>
    </w:p>
    <w:p>
      <w:pPr>
        <w:spacing w:after="120" w:line="312"/>
        <w:jc w:val="both"/>
      </w:pPr>
      <w:r>
        <w:rPr>
          <w:rFonts w:ascii="Times New Roman"/>
          <w:b/>
          <w:bCs/>
          <w:color w:val="1C1C1C"/>
          <w:sz w:val="22"/>
          <w:szCs w:val="22"/>
        </w:rPr>
        <w:t xml:space="preserve">ECB (Banco Central Europeu): </w:t>
      </w:r>
      <w:r>
        <w:rPr>
          <w:rFonts w:ascii="Times New Roman"/>
          <w:color w:val="1C1C1C"/>
          <w:sz w:val="22"/>
          <w:szCs w:val="22"/>
        </w:rPr>
        <w:t xml:space="preserve">Decisoes de taxa e comunicacao do BCE, 6 semanas. Afeta fortemente EUR/USD e pares EUR crosses. O tom hawkish/dovish do presidente do BCE move o EUR consistentemente.</w:t>
      </w:r>
    </w:p>
    <w:p>
      <w:pPr>
        <w:spacing w:after="120" w:line="312"/>
        <w:jc w:val="both"/>
      </w:pPr>
      <w:r>
        <w:rPr>
          <w:rFonts w:ascii="Times New Roman"/>
          <w:b/>
          <w:bCs/>
          <w:color w:val="1C1C1C"/>
          <w:sz w:val="22"/>
          <w:szCs w:val="22"/>
        </w:rPr>
        <w:t xml:space="preserve">CPI/PPI (Inflacao): </w:t>
      </w:r>
      <w:r>
        <w:rPr>
          <w:rFonts w:ascii="Times New Roman"/>
          <w:color w:val="1C1C1C"/>
          <w:sz w:val="22"/>
          <w:szCs w:val="22"/>
        </w:rPr>
        <w:t xml:space="preserve">Dados de inflacao influenciam expectativas de politica monetaria em todos os bancos centrais. CPI acima do esperado tende a fortalecer a moeda (expectativa de tightening); abaixo, tende a enfraquecer (expectativa de easing).</w:t>
      </w:r>
    </w:p>
    <w:p>
      <w:pPr>
        <w:spacing w:after="120" w:line="312"/>
        <w:jc w:val="both"/>
      </w:pPr>
      <w:r>
        <w:rPr>
          <w:rFonts w:ascii="Times New Roman"/>
          <w:b/>
          <w:bCs/>
          <w:color w:val="1C1C1C"/>
          <w:sz w:val="22"/>
          <w:szCs w:val="22"/>
        </w:rPr>
        <w:t xml:space="preserve">GDP, PMI, Unemployment: </w:t>
      </w:r>
      <w:r>
        <w:rPr>
          <w:rFonts w:ascii="Times New Roman"/>
          <w:color w:val="1C1C1C"/>
          <w:sz w:val="22"/>
          <w:szCs w:val="22"/>
        </w:rPr>
        <w:t xml:space="preserve">Indicadores macroeconomicos que afetam direcionalmente as moedas. GDP forte tende a fortalecer; PMI fraco tende a enfraquecer. O impacto depende de como os dados se comparam ao consenso.</w:t>
      </w:r>
    </w:p>
    <w:p>
      <w:pPr>
        <w:pStyle w:val="Heading2"/>
        <w:spacing w:after="160" w:before="360" w:line="312"/>
      </w:pPr>
      <w:bookmarkStart w:id="100053" w:name="_Toc100053"/>
      <w:r>
        <w:rPr>
          <w:rFonts w:ascii="Times New Roman"/>
          <w:b/>
          <w:bCs/>
          <w:color w:val="1A1A1A"/>
          <w:sz w:val="28"/>
          <w:szCs w:val="28"/>
        </w:rPr>
        <w:t xml:space="preserve">12. Correlacao entre Pares e Ativos</w:t>
      </w:r>
      <w:bookmarkEnd w:id="100053"/>
    </w:p>
    <w:p>
      <w:pPr>
        <w:spacing w:after="120" w:line="312"/>
        <w:jc w:val="both"/>
      </w:pPr>
      <w:r>
        <w:rPr>
          <w:rFonts w:ascii="Times New Roman"/>
          <w:color w:val="1C1C1C"/>
          <w:sz w:val="22"/>
          <w:szCs w:val="22"/>
        </w:rPr>
        <w:t xml:space="preserve">Compreender correlacoes e essencial para gerenciar exposicao e diversificar riscos. Correlacoes no Forex sao dinamicas e podem mudar significativamente durante crises.</w:t>
      </w:r>
    </w:p>
    <w:p>
      <w:pPr>
        <w:pStyle w:val="Heading3"/>
        <w:spacing w:after="120" w:before="240" w:line="312"/>
      </w:pPr>
      <w:bookmarkStart w:id="100054" w:name="_Toc100054"/>
      <w:r>
        <w:rPr>
          <w:rFonts w:ascii="Times New Roman"/>
          <w:b/>
          <w:bCs/>
          <w:color w:val="333333"/>
          <w:sz w:val="24"/>
          <w:szCs w:val="24"/>
        </w:rPr>
        <w:t xml:space="preserve">12.1 Matriz de Correlacao Tipica (Majors)</w:t>
      </w:r>
      <w:bookmarkEnd w:id="100054"/>
    </w:p>
    <w:p>
      <w:pPr>
        <w:spacing w:after="120" w:line="312"/>
        <w:jc w:val="both"/>
      </w:pPr>
      <w:r>
        <w:rPr>
          <w:rFonts w:ascii="Times New Roman"/>
          <w:color w:val="1C1C1C"/>
          <w:sz w:val="22"/>
          <w:szCs w:val="22"/>
        </w:rPr>
        <w:t xml:space="preserve">EUR/USD e GBP/USD: correlacao tipica +0.7 a +0.9. Movem em direcoes similares contra o USD. EUR/USD e USD/CHF: correlacao tipica -0.8 a -0.95. Quase espelho. AUD/USD e NZD/USD: correlacao tipica +0.7 a +0.9. Ambas commodity currencies. USD/JPY e USD/CHF: correlacao tipica +0.3 a +0.6 (ambas funding currencies em stress). GBP/JPY e EUR/JPY: correlacao tipica +0.6 a +0.8. Ambas carry trade targets.</w:t>
      </w:r>
    </w:p>
    <w:p>
      <w:pPr>
        <w:pStyle w:val="Heading3"/>
        <w:spacing w:after="120" w:before="240" w:line="312"/>
      </w:pPr>
      <w:bookmarkStart w:id="100055" w:name="_Toc100055"/>
      <w:r>
        <w:rPr>
          <w:rFonts w:ascii="Times New Roman"/>
          <w:b/>
          <w:bCs/>
          <w:color w:val="333333"/>
          <w:sz w:val="24"/>
          <w:szCs w:val="24"/>
        </w:rPr>
        <w:t xml:space="preserve">12.2 Correlacoes com Ativos Fora do Forex</w:t>
      </w:r>
      <w:bookmarkEnd w:id="100055"/>
    </w:p>
    <w:p>
      <w:pPr>
        <w:spacing w:after="120" w:line="312"/>
        <w:jc w:val="both"/>
      </w:pPr>
      <w:r>
        <w:rPr>
          <w:rFonts w:ascii="Times New Roman"/>
          <w:b/>
          <w:bCs/>
          <w:color w:val="1C1C1C"/>
          <w:sz w:val="22"/>
          <w:szCs w:val="22"/>
        </w:rPr>
        <w:t xml:space="preserve">Ouro (XAU/USD): </w:t>
      </w:r>
      <w:r>
        <w:rPr>
          <w:rFonts w:ascii="Times New Roman"/>
          <w:color w:val="1C1C1C"/>
          <w:sz w:val="22"/>
          <w:szCs w:val="22"/>
        </w:rPr>
        <w:t xml:space="preserve">Correlacao positiva com AUD/USD e NZD/USD (ambas commodity currencies). Correlacao negativa com USD/JPY e USD/CHF em periods de aversao ao risco. Ouro tende a se fortalecer quando aversao ao risco aumenta.</w:t>
      </w:r>
    </w:p>
    <w:p>
      <w:pPr>
        <w:spacing w:after="120" w:line="312"/>
        <w:jc w:val="both"/>
      </w:pPr>
      <w:r>
        <w:rPr>
          <w:rFonts w:ascii="Times New Roman"/>
          <w:b/>
          <w:bCs/>
          <w:color w:val="1C1C1C"/>
          <w:sz w:val="22"/>
          <w:szCs w:val="22"/>
        </w:rPr>
        <w:t xml:space="preserve">Petroleo (WTI/Brent): </w:t>
      </w:r>
      <w:r>
        <w:rPr>
          <w:rFonts w:ascii="Times New Roman"/>
          <w:color w:val="1C1C1C"/>
          <w:sz w:val="22"/>
          <w:szCs w:val="22"/>
        </w:rPr>
        <w:t xml:space="preserve">Correlacao positiva com USD/CAD (inversamente: petroleo sobe, CAD se fortalece, USD/CAD cai). Correlacao moderada com AUD/USD (ambas commodity-linked).</w:t>
      </w:r>
    </w:p>
    <w:p>
      <w:pPr>
        <w:spacing w:after="120" w:line="312"/>
        <w:jc w:val="both"/>
      </w:pPr>
      <w:r>
        <w:rPr>
          <w:rFonts w:ascii="Times New Roman"/>
          <w:b/>
          <w:bCs/>
          <w:color w:val="1C1C1C"/>
          <w:sz w:val="22"/>
          <w:szCs w:val="22"/>
        </w:rPr>
        <w:t xml:space="preserve">S&amp;P 500 / Indices: </w:t>
      </w:r>
      <w:r>
        <w:rPr>
          <w:rFonts w:ascii="Times New Roman"/>
          <w:color w:val="1C1C1C"/>
          <w:sz w:val="22"/>
          <w:szCs w:val="22"/>
        </w:rPr>
        <w:t xml:space="preserve">Correlacao positiva com pares de carry trade (AUD/JPY, NZD/JPY) em periods de appetite for risk. Em crises, correlacao inverte (risk-off: indices caem, carry trades caem, JPY se fortalece).</w:t>
      </w:r>
    </w:p>
    <w:p>
      <w:pPr>
        <w:spacing w:after="120" w:line="312"/>
        <w:jc w:val="both"/>
      </w:pPr>
      <w:r>
        <w:rPr>
          <w:rFonts w:ascii="Times New Roman"/>
          <w:b/>
          <w:bCs/>
          <w:color w:val="1C1C1C"/>
          <w:sz w:val="22"/>
          <w:szCs w:val="22"/>
        </w:rPr>
        <w:t xml:space="preserve">Dollar Index (DXY): </w:t>
      </w:r>
      <w:r>
        <w:rPr>
          <w:rFonts w:ascii="Times New Roman"/>
          <w:color w:val="1C1C1C"/>
          <w:sz w:val="22"/>
          <w:szCs w:val="22"/>
        </w:rPr>
        <w:t xml:space="preserve">Correlacao negativa com EUR/USD (EUR tem peso dominante no DXY). Movimentos do DXY afetam todos os pares USD.</w:t>
      </w:r>
    </w:p>
    <w:p>
      <w:pPr>
        <w:pStyle w:val="Heading3"/>
        <w:spacing w:after="120" w:before="240" w:line="312"/>
      </w:pPr>
      <w:bookmarkStart w:id="100056" w:name="_Toc100056"/>
      <w:r>
        <w:rPr>
          <w:rFonts w:ascii="Times New Roman"/>
          <w:b/>
          <w:bCs/>
          <w:color w:val="333333"/>
          <w:sz w:val="24"/>
          <w:szCs w:val="24"/>
        </w:rPr>
        <w:t xml:space="preserve">12.3 Controle de Exposicao Correlacionada</w:t>
      </w:r>
      <w:bookmarkEnd w:id="100056"/>
    </w:p>
    <w:p>
      <w:pPr>
        <w:spacing w:after="120" w:line="312"/>
        <w:jc w:val="both"/>
      </w:pPr>
      <w:r>
        <w:rPr>
          <w:rFonts w:ascii="Times New Roman"/>
          <w:color w:val="1C1C1C"/>
          <w:sz w:val="22"/>
          <w:szCs w:val="22"/>
        </w:rPr>
        <w:t xml:space="preserve">Regra pratica: antes de abrir uma posicao, verificar: (1) Ja tenho posicao aberta em par altamente correlacionado? (2) Qual e minha exposicao total ao bloco USD/EUR/JPY? (3) A posicao nova adiciona diversificacao ou apenas multiplica risco existente? Implementacao: calcular 'exposicao efetiva' somando posicoes ponderadas por correlacao. Ex: EUR/USD long 0.1 lote + GBP/USD long 0.1 lote = exposicao efetiva ao USD de aproximadamente 0.18 lotes (considerando correlacao de 0.8).</w:t>
      </w:r>
    </w:p>
    <w:p>
      <w:pPr>
        <w:pStyle w:val="Heading2"/>
        <w:spacing w:after="160" w:before="360" w:line="312"/>
      </w:pPr>
      <w:bookmarkStart w:id="100057" w:name="_Toc100057"/>
      <w:r>
        <w:rPr>
          <w:rFonts w:ascii="Times New Roman"/>
          <w:b/>
          <w:bCs/>
          <w:color w:val="1A1A1A"/>
          <w:sz w:val="28"/>
          <w:szCs w:val="28"/>
        </w:rPr>
        <w:t xml:space="preserve">13. Machine Learning: Perspectiva Critica</w:t>
      </w:r>
      <w:bookmarkEnd w:id="100057"/>
    </w:p>
    <w:p>
      <w:pPr>
        <w:spacing w:after="120" w:line="312"/>
        <w:jc w:val="both"/>
      </w:pPr>
      <w:r>
        <w:rPr>
          <w:rFonts w:ascii="Times New Roman"/>
          <w:color w:val="1C1C1C"/>
          <w:sz w:val="22"/>
          <w:szCs w:val="22"/>
        </w:rPr>
        <w:t xml:space="preserve">Machine Learning (ML) e frequentemente apresentado como solucao para trading algoritmico. Porem, a aplicacao de ML em series temporais financeiras apresenta desafios especificos que devem ser cuidadosamente considerados antes de qualquer implementacao.</w:t>
      </w:r>
    </w:p>
    <w:p>
      <w:pPr>
        <w:pStyle w:val="Heading3"/>
        <w:spacing w:after="120" w:before="240" w:line="312"/>
      </w:pPr>
      <w:bookmarkStart w:id="100058" w:name="_Toc100058"/>
      <w:r>
        <w:rPr>
          <w:rFonts w:ascii="Times New Roman"/>
          <w:b/>
          <w:bCs/>
          <w:color w:val="333333"/>
          <w:sz w:val="24"/>
          <w:szCs w:val="24"/>
        </w:rPr>
        <w:t xml:space="preserve">13.1 Quando ML Realmente Agrega Valor</w:t>
      </w:r>
      <w:bookmarkEnd w:id="100058"/>
    </w:p>
    <w:p>
      <w:pPr>
        <w:spacing w:after="120" w:line="312"/>
        <w:jc w:val="both"/>
      </w:pPr>
      <w:r>
        <w:rPr>
          <w:rFonts w:ascii="Times New Roman"/>
          <w:color w:val="1C1C1C"/>
          <w:sz w:val="22"/>
          <w:szCs w:val="22"/>
        </w:rPr>
        <w:t xml:space="preserve">ML pode agregar valor quando: (1) existe um volume massivo de features que um humano nao conseguiria processar simultaneamente; (2) as relacoes entre features e alvo sao nao-lineares e complexas; (3) o objetivo e classificacao de regimes de mercado (onde HMMs e clustering ja demonstram valor); (4) ha dados textuais (noticias, tweets, comunicados) que podem alimentar NLP para analise de sentimento. Em todos os casos, ML deve ser tratado como ferramenta complementar, nao substituta de estrategia quantitativa fundamentada.</w:t>
      </w:r>
    </w:p>
    <w:p>
      <w:pPr>
        <w:pStyle w:val="Heading3"/>
        <w:spacing w:after="120" w:before="240" w:line="312"/>
      </w:pPr>
      <w:bookmarkStart w:id="100059" w:name="_Toc100059"/>
      <w:r>
        <w:rPr>
          <w:rFonts w:ascii="Times New Roman"/>
          <w:b/>
          <w:bCs/>
          <w:color w:val="333333"/>
          <w:sz w:val="24"/>
          <w:szCs w:val="24"/>
        </w:rPr>
        <w:t xml:space="preserve">13.2 Riscos Especificos de ML em Trading</w:t>
      </w:r>
      <w:bookmarkEnd w:id="100059"/>
    </w:p>
    <w:p>
      <w:pPr>
        <w:spacing w:after="120" w:line="312"/>
        <w:jc w:val="both"/>
      </w:pPr>
      <w:r>
        <w:rPr>
          <w:rFonts w:ascii="Times New Roman"/>
          <w:b/>
          <w:bCs/>
          <w:color w:val="1C1C1C"/>
          <w:sz w:val="22"/>
          <w:szCs w:val="22"/>
        </w:rPr>
        <w:t xml:space="preserve">Data Leakage: </w:t>
      </w:r>
      <w:r>
        <w:rPr>
          <w:rFonts w:ascii="Times New Roman"/>
          <w:color w:val="1C1C1C"/>
          <w:sz w:val="22"/>
          <w:szCs w:val="22"/>
        </w:rPr>
        <w:t xml:space="preserve">O problema mais comum e mais destrutivo. ML em series temporais e extremamente suscetivel a leakage: normalizar com media futura, usar labels que dependem de dados futuros, incluir features que nao estariam disponiveis no momento da decisao. Em series temporais, o cross-validation padrao (k-fold) e incorreto; e necessario usar time-series split ou walk-forward validation.</w:t>
      </w:r>
    </w:p>
    <w:p>
      <w:pPr>
        <w:spacing w:after="120" w:line="312"/>
        <w:jc w:val="both"/>
      </w:pPr>
      <w:r>
        <w:rPr>
          <w:rFonts w:ascii="Times New Roman"/>
          <w:b/>
          <w:bCs/>
          <w:color w:val="1C1C1C"/>
          <w:sz w:val="22"/>
          <w:szCs w:val="22"/>
        </w:rPr>
        <w:t xml:space="preserve">Overfitting: </w:t>
      </w:r>
      <w:r>
        <w:rPr>
          <w:rFonts w:ascii="Times New Roman"/>
          <w:color w:val="1C1C1C"/>
          <w:sz w:val="22"/>
          <w:szCs w:val="22"/>
        </w:rPr>
        <w:t xml:space="preserve">Modelos complexos (deep learning, redes neurais com muitos parametros) tendem a memorizar padroes especificos dos dados de treino que nao generalizam. Em series temporais financeiras, o ruido domina o sinal; um modelo que aparenta aprender padroes pode estar apenas capturando ruido. Regra pratica: se um modelo ML supera significativamente uma estrategia simples nos dados de treino mas nao nos dados de teste, provavelmente esta overfitted.</w:t>
      </w:r>
    </w:p>
    <w:p>
      <w:pPr>
        <w:spacing w:after="120" w:line="312"/>
        <w:jc w:val="both"/>
      </w:pPr>
      <w:r>
        <w:rPr>
          <w:rFonts w:ascii="Times New Roman"/>
          <w:b/>
          <w:bCs/>
          <w:color w:val="1C1C1C"/>
          <w:sz w:val="22"/>
          <w:szCs w:val="22"/>
        </w:rPr>
        <w:t xml:space="preserve">Non-Stationarity e Concept Drift: </w:t>
      </w:r>
      <w:r>
        <w:rPr>
          <w:rFonts w:ascii="Times New Roman"/>
          <w:color w:val="1C1C1C"/>
          <w:sz w:val="22"/>
          <w:szCs w:val="22"/>
        </w:rPr>
        <w:t xml:space="preserve">As relacoes estatisticas em mercados financeiros mudam ao longo do tempo. Um modelo treinado em 2015-2018 pode ser completamente obsoleto em 2021-2024. Concept drift (mudanca na distribuicao dos dados ou na relacao feature-target) e inevitavel e requer re-treinamento periodico, o que reintroduz o risco de overfitting nos novos dados.</w:t>
      </w:r>
    </w:p>
    <w:p>
      <w:pPr>
        <w:spacing w:after="120" w:line="312"/>
        <w:jc w:val="both"/>
      </w:pPr>
      <w:r>
        <w:rPr>
          <w:rFonts w:ascii="Times New Roman"/>
          <w:b/>
          <w:bCs/>
          <w:color w:val="1C1C1C"/>
          <w:sz w:val="22"/>
          <w:szCs w:val="22"/>
        </w:rPr>
        <w:t xml:space="preserve">Class Imbalance: </w:t>
      </w:r>
      <w:r>
        <w:rPr>
          <w:rFonts w:ascii="Times New Roman"/>
          <w:color w:val="1C1C1C"/>
          <w:sz w:val="22"/>
          <w:szCs w:val="22"/>
        </w:rPr>
        <w:t xml:space="preserve">Em classificacao de direcao do mercado (alta/baixa), se 55% das barras sao de alta e 45% de baixa, o modelo pode simplesmente prever 'alta' para tudo e acertar 55%. Em estrategias com alvos rare (ex: movimentos &gt; 2%), o imbalance e ainda mais severo.</w:t>
      </w:r>
    </w:p>
    <w:p>
      <w:pPr>
        <w:pStyle w:val="Heading3"/>
        <w:spacing w:after="120" w:before="240" w:line="312"/>
      </w:pPr>
      <w:bookmarkStart w:id="100060" w:name="_Toc100060"/>
      <w:r>
        <w:rPr>
          <w:rFonts w:ascii="Times New Roman"/>
          <w:b/>
          <w:bCs/>
          <w:color w:val="333333"/>
          <w:sz w:val="24"/>
          <w:szCs w:val="24"/>
        </w:rPr>
        <w:t xml:space="preserve">13.3 Modelos Potencialmente Uteis</w:t>
      </w:r>
      <w:bookmarkEnd w:id="100060"/>
    </w:p>
    <w:p>
      <w:pPr>
        <w:spacing w:after="120" w:line="312"/>
        <w:jc w:val="both"/>
      </w:pPr>
      <w:r>
        <w:rPr>
          <w:rFonts w:ascii="Times New Roman"/>
          <w:b/>
          <w:bCs/>
          <w:color w:val="1C1C1C"/>
          <w:sz w:val="22"/>
          <w:szCs w:val="22"/>
        </w:rPr>
        <w:t xml:space="preserve">Random Forest / XGBoost: </w:t>
      </w:r>
      <w:r>
        <w:rPr>
          <w:rFonts w:ascii="Times New Roman"/>
          <w:color w:val="1C1C1C"/>
          <w:sz w:val="22"/>
          <w:szCs w:val="22"/>
        </w:rPr>
        <w:t xml:space="preserve">Modelos ensemble baseados em arvores sao relativamente robustos a overfitting (especialmente com regularizacao) e capazes de capturar relacoes nao-lineares. Podem ser utilizados para: classificacao de regime de mercado, selecao de features, e predicacao de volatilidade. Require feature engineering cuidadosa e validacao walk-forward rigorosa.</w:t>
      </w:r>
    </w:p>
    <w:p>
      <w:pPr>
        <w:spacing w:after="120" w:line="312"/>
        <w:jc w:val="both"/>
      </w:pPr>
      <w:r>
        <w:rPr>
          <w:rFonts w:ascii="Times New Roman"/>
          <w:b/>
          <w:bCs/>
          <w:color w:val="1C1C1C"/>
          <w:sz w:val="22"/>
          <w:szCs w:val="22"/>
        </w:rPr>
        <w:t xml:space="preserve">LSTM / Transformers: </w:t>
      </w:r>
      <w:r>
        <w:rPr>
          <w:rFonts w:ascii="Times New Roman"/>
          <w:color w:val="1C1C1C"/>
          <w:sz w:val="22"/>
          <w:szCs w:val="22"/>
        </w:rPr>
        <w:t xml:space="preserve">Modelos de deep learning projetados para series temporais. LSTMs capturam dependencias de longo prazo; Transformers capturam relacoes globais. Em trading, tem sido aplicados com sucesso limitado: resultados academicos promissores em datasets especificos frequentemente nao generalizam para operacao real. A complexidade destes modelos torna a interpretacao muito dificil ('black box'), o que e problematico quando decisoes de risco estao em jogo.</w:t>
      </w:r>
    </w:p>
    <w:p>
      <w:pPr>
        <w:spacing w:after="120" w:line="312"/>
        <w:jc w:val="both"/>
      </w:pPr>
      <w:r>
        <w:rPr>
          <w:rFonts w:ascii="Times New Roman"/>
          <w:b/>
          <w:bCs/>
          <w:color w:val="1C1C1C"/>
          <w:sz w:val="22"/>
          <w:szCs w:val="22"/>
        </w:rPr>
        <w:t xml:space="preserve">Hidden Markov Models: </w:t>
      </w:r>
      <w:r>
        <w:rPr>
          <w:rFonts w:ascii="Times New Roman"/>
          <w:color w:val="1C1C1C"/>
          <w:sz w:val="22"/>
          <w:szCs w:val="22"/>
        </w:rPr>
        <w:t xml:space="preserve">Ja discutidos na secao de regimes, HMMs sao particularmente uteis para deteccao de estados ocultos do mercado. Sao interpretaveis (cada estado tem distribuicao clara) e computacionalmente eficientes. Recomendados como ponto de entrada para ML em trading.</w:t>
      </w:r>
    </w:p>
    <w:p>
      <w:pPr>
        <w:pStyle w:val="Heading1"/>
        <w:spacing w:after="200" w:before="480" w:line="312"/>
      </w:pPr>
      <w:bookmarkStart w:id="100061" w:name="_Toc100061"/>
      <w:r>
        <w:rPr>
          <w:rFonts w:ascii="Times New Roman"/>
          <w:b/>
          <w:bCs/>
          <w:color w:val="1A1A1A"/>
          <w:sz w:val="32"/>
          <w:szCs w:val="32"/>
        </w:rPr>
        <w:t xml:space="preserve">PARTE 4 - Ideias para Backtest e Engenharia de Features</w:t>
      </w:r>
      <w:bookmarkEnd w:id="100061"/>
    </w:p>
    <w:p>
      <w:pPr>
        <w:pStyle w:val="Heading2"/>
        <w:spacing w:after="160" w:before="360" w:line="312"/>
      </w:pPr>
      <w:bookmarkStart w:id="100062" w:name="_Toc100062"/>
      <w:r>
        <w:rPr>
          <w:rFonts w:ascii="Times New Roman"/>
          <w:b/>
          <w:bCs/>
          <w:color w:val="1A1A1A"/>
          <w:sz w:val="28"/>
          <w:szCs w:val="28"/>
        </w:rPr>
        <w:t xml:space="preserve">14. Engenharia de Features</w:t>
      </w:r>
      <w:bookmarkEnd w:id="100062"/>
    </w:p>
    <w:p>
      <w:pPr>
        <w:spacing w:after="120" w:line="312"/>
        <w:jc w:val="both"/>
      </w:pPr>
      <w:r>
        <w:rPr>
          <w:rFonts w:ascii="Times New Roman"/>
          <w:color w:val="1C1C1C"/>
          <w:sz w:val="22"/>
          <w:szCs w:val="22"/>
        </w:rPr>
        <w:t xml:space="preserve">Engenharia de features e o processo de transformar dados brutos de mercado em variaveis descritivas que podem alimentar modelos estatisticos ou servir como filtros para estrategias quantitativas. Features bem construidas capturam informacao relevante de forma objetiva e programavel.</w:t>
      </w:r>
    </w:p>
    <w:p>
      <w:pPr>
        <w:pStyle w:val="Heading3"/>
        <w:spacing w:after="120" w:before="240" w:line="312"/>
      </w:pPr>
      <w:bookmarkStart w:id="100063" w:name="_Toc100063"/>
      <w:r>
        <w:rPr>
          <w:rFonts w:ascii="Times New Roman"/>
          <w:b/>
          <w:bCs/>
          <w:color w:val="333333"/>
          <w:sz w:val="24"/>
          <w:szCs w:val="24"/>
        </w:rPr>
        <w:t xml:space="preserve">14.1 Features Baseadas em Retorno</w:t>
      </w:r>
      <w:bookmarkEnd w:id="100063"/>
    </w:p>
    <w:p>
      <w:pPr>
        <w:spacing w:after="120" w:line="312"/>
        <w:jc w:val="both"/>
      </w:pPr>
      <w:r>
        <w:rPr>
          <w:rFonts w:ascii="Times New Roman"/>
          <w:b/>
          <w:bCs/>
          <w:color w:val="1C1C1C"/>
          <w:sz w:val="22"/>
          <w:szCs w:val="22"/>
        </w:rPr>
        <w:t xml:space="preserve">Retornos simples: </w:t>
      </w:r>
      <w:r>
        <w:rPr>
          <w:rFonts w:ascii="Times New Roman"/>
          <w:color w:val="1C1C1C"/>
          <w:sz w:val="22"/>
          <w:szCs w:val="22"/>
        </w:rPr>
        <w:t xml:space="preserve">ret[i] = (Close[i] - Close[i-1]) / Close[i-1]. Retornos logaritmicos: log_ret[i] = log(Close[i] / Close[i-1]). Retornos logaritmicos sao preferidos para analise estatistica pois sao aditivos no tempo (o log retorno de N periodos e a soma dos log retornos individuais) e simetricos (ganho de X% e perda de X% tem magnitude igual).</w:t>
      </w:r>
    </w:p>
    <w:p>
      <w:pPr>
        <w:spacing w:after="120" w:line="312"/>
        <w:jc w:val="both"/>
      </w:pPr>
      <w:r>
        <w:rPr>
          <w:rFonts w:ascii="Times New Roman"/>
          <w:b/>
          <w:bCs/>
          <w:color w:val="1C1C1C"/>
          <w:sz w:val="22"/>
          <w:szCs w:val="22"/>
        </w:rPr>
        <w:t xml:space="preserve">Rolling returns: </w:t>
      </w:r>
      <w:r>
        <w:rPr>
          <w:rFonts w:ascii="Times New Roman"/>
          <w:color w:val="1C1C1C"/>
          <w:sz w:val="22"/>
          <w:szCs w:val="22"/>
        </w:rPr>
        <w:t xml:space="preserve">retorno acumulado em janela N: rolling_ret[N] = (Close[i] - Close[i-N]) / Close[i-N]. Util para momentum e trend detection em multiplos horizontes (5, 10, 20, 50, 100 periodos).</w:t>
      </w:r>
    </w:p>
    <w:p>
      <w:pPr>
        <w:pStyle w:val="Heading3"/>
        <w:spacing w:after="120" w:before="240" w:line="312"/>
      </w:pPr>
      <w:bookmarkStart w:id="100064" w:name="_Toc100064"/>
      <w:r>
        <w:rPr>
          <w:rFonts w:ascii="Times New Roman"/>
          <w:b/>
          <w:bCs/>
          <w:color w:val="333333"/>
          <w:sz w:val="24"/>
          <w:szCs w:val="24"/>
        </w:rPr>
        <w:t xml:space="preserve">14.2 Features Baseadas em Volatilidade</w:t>
      </w:r>
      <w:bookmarkEnd w:id="100064"/>
    </w:p>
    <w:p>
      <w:pPr>
        <w:spacing w:after="120" w:line="312"/>
        <w:jc w:val="both"/>
      </w:pPr>
      <w:r>
        <w:rPr>
          <w:rFonts w:ascii="Times New Roman"/>
          <w:b/>
          <w:bCs/>
          <w:color w:val="1C1C1C"/>
          <w:sz w:val="22"/>
          <w:szCs w:val="22"/>
        </w:rPr>
        <w:t xml:space="preserve">ATR normalizado: </w:t>
      </w:r>
      <w:r>
        <w:rPr>
          <w:rFonts w:ascii="Times New Roman"/>
          <w:color w:val="1C1C1C"/>
          <w:sz w:val="22"/>
          <w:szCs w:val="22"/>
        </w:rPr>
        <w:t xml:space="preserve">ATR_norm = ATR[N] / Close[i]. Permite comparar volatilidade relativa entre diferentes pares e periodos. ATR percentual mais relevante que ATR absoluto para comparacoes cross-asset. Distancia da media: z_price = (Close[i] - SMA[N]) / (K * STD[N]). Mede quantos desvios padrao o preco esta acima ou abaixo da media. Util para identificar extremos estatisticos.</w:t>
      </w:r>
    </w:p>
    <w:p>
      <w:pPr>
        <w:pStyle w:val="Heading3"/>
        <w:spacing w:after="120" w:before="240" w:line="312"/>
      </w:pPr>
      <w:bookmarkStart w:id="100065" w:name="_Toc100065"/>
      <w:r>
        <w:rPr>
          <w:rFonts w:ascii="Times New Roman"/>
          <w:b/>
          <w:bCs/>
          <w:color w:val="333333"/>
          <w:sz w:val="24"/>
          <w:szCs w:val="24"/>
        </w:rPr>
        <w:t xml:space="preserve">14.3 Features Baseadas em Candle</w:t>
      </w:r>
      <w:bookmarkEnd w:id="100065"/>
    </w:p>
    <w:p>
      <w:pPr>
        <w:spacing w:after="120" w:line="312"/>
        <w:jc w:val="both"/>
      </w:pPr>
      <w:r>
        <w:rPr>
          <w:rFonts w:ascii="Times New Roman"/>
          <w:b/>
          <w:bCs/>
          <w:color w:val="1C1C1C"/>
          <w:sz w:val="22"/>
          <w:szCs w:val="22"/>
        </w:rPr>
        <w:t xml:space="preserve">Body/Range ratio: </w:t>
      </w:r>
      <w:r>
        <w:rPr>
          <w:rFonts w:ascii="Times New Roman"/>
          <w:color w:val="1C1C1C"/>
          <w:sz w:val="22"/>
          <w:szCs w:val="22"/>
        </w:rPr>
        <w:t xml:space="preserve">body_ratio = abs(Close - Open) / (High - Low). Wick ratios: upper_wick = (High - max(Close, Open)) / (High - Low); lower_wick = (min(Close, Open) - Low) / (High - Low). Candle direction (bullish/bearish). Candle range normalizado: range_norm = (High - Low) / ATR[N]. Estes features quantificam propriedades visuais de candles de forma objetiva.</w:t>
      </w:r>
    </w:p>
    <w:p>
      <w:pPr>
        <w:pStyle w:val="Heading3"/>
        <w:spacing w:after="120" w:before="240" w:line="312"/>
      </w:pPr>
      <w:bookmarkStart w:id="100066" w:name="_Toc100066"/>
      <w:r>
        <w:rPr>
          <w:rFonts w:ascii="Times New Roman"/>
          <w:b/>
          <w:bCs/>
          <w:color w:val="333333"/>
          <w:sz w:val="24"/>
          <w:szCs w:val="24"/>
        </w:rPr>
        <w:t xml:space="preserve">14.4 Features Temporais</w:t>
      </w:r>
      <w:bookmarkEnd w:id="100066"/>
    </w:p>
    <w:p>
      <w:pPr>
        <w:spacing w:after="120" w:line="312"/>
        <w:jc w:val="both"/>
      </w:pPr>
      <w:r>
        <w:rPr>
          <w:rFonts w:ascii="Times New Roman"/>
          <w:b/>
          <w:bCs/>
          <w:color w:val="1C1C1C"/>
          <w:sz w:val="22"/>
          <w:szCs w:val="22"/>
        </w:rPr>
        <w:t xml:space="preserve">Hora do dia: </w:t>
      </w:r>
      <w:r>
        <w:rPr>
          <w:rFonts w:ascii="Times New Roman"/>
          <w:color w:val="1C1C1C"/>
          <w:sz w:val="22"/>
          <w:szCs w:val="22"/>
        </w:rPr>
        <w:t xml:space="preserve">Feature categorica (0-23) que permite ao modelo identificar padroes intradiarios. E possivel binarizar: hora_na_sessao_Londres (0/1), hora_na_sobreposicao (0/1), etc. Dia da semana: segunda a sexta (feature categorica). Muitos estudos documentam padroes diarios semanais (Monday effect, Friday effect).</w:t>
      </w:r>
    </w:p>
    <w:p>
      <w:pPr>
        <w:spacing w:after="120" w:line="312"/>
        <w:jc w:val="both"/>
      </w:pPr>
      <w:r>
        <w:rPr>
          <w:rFonts w:ascii="Times New Roman"/>
          <w:b/>
          <w:bCs/>
          <w:color w:val="1C1C1C"/>
          <w:sz w:val="22"/>
          <w:szCs w:val="22"/>
        </w:rPr>
        <w:t xml:space="preserve">Sessao ativa: </w:t>
      </w:r>
      <w:r>
        <w:rPr>
          <w:rFonts w:ascii="Times New Roman"/>
          <w:color w:val="1C1C1C"/>
          <w:sz w:val="22"/>
          <w:szCs w:val="22"/>
        </w:rPr>
        <w:t xml:space="preserve">Identificar qual sessao esta ativa com base no horario. Sydney, Toquio, Londres, Nova York, sobreposicoes. Feature que permite ao modelo se adaptar automaticamente a diferentes regimes de liquidez e volatilidade.</w:t>
      </w:r>
    </w:p>
    <w:p>
      <w:pPr>
        <w:pStyle w:val="Heading3"/>
        <w:spacing w:after="120" w:before="240" w:line="312"/>
      </w:pPr>
      <w:bookmarkStart w:id="100067" w:name="_Toc100067"/>
      <w:r>
        <w:rPr>
          <w:rFonts w:ascii="Times New Roman"/>
          <w:b/>
          <w:bCs/>
          <w:color w:val="333333"/>
          <w:sz w:val="24"/>
          <w:szCs w:val="24"/>
        </w:rPr>
        <w:t xml:space="preserve">14.5 Features Baseadas em Estrutura</w:t>
      </w:r>
      <w:bookmarkEnd w:id="100067"/>
    </w:p>
    <w:p>
      <w:pPr>
        <w:spacing w:after="120" w:line="312"/>
        <w:jc w:val="both"/>
      </w:pPr>
      <w:r>
        <w:rPr>
          <w:rFonts w:ascii="Times New Roman"/>
          <w:b/>
          <w:bCs/>
          <w:color w:val="1C1C1C"/>
          <w:sz w:val="22"/>
          <w:szCs w:val="22"/>
        </w:rPr>
        <w:t xml:space="preserve">Distancia de maximas/minimas anteriores: </w:t>
      </w:r>
      <w:r>
        <w:rPr>
          <w:rFonts w:ascii="Times New Roman"/>
          <w:color w:val="1C1C1C"/>
          <w:sz w:val="22"/>
          <w:szCs w:val="22"/>
        </w:rPr>
        <w:t xml:space="preserve">dist_to_high[N] = (High[i] - max(High[i-N..i-1])) / ATR. dist_to_low[N] = (min(Low[i-N..i-1]) - Low[i]) / ATR. Mede quao proximo o preco esta de fazer um novo maximo/minimo. Valores proximos a zero indicam breakout iminente.</w:t>
      </w:r>
    </w:p>
    <w:p>
      <w:pPr>
        <w:spacing w:after="120" w:line="312"/>
        <w:jc w:val="both"/>
      </w:pPr>
      <w:r>
        <w:rPr>
          <w:rFonts w:ascii="Times New Roman"/>
          <w:b/>
          <w:bCs/>
          <w:color w:val="1C1C1C"/>
          <w:sz w:val="22"/>
          <w:szCs w:val="22"/>
        </w:rPr>
        <w:t xml:space="preserve">Breakout distance: </w:t>
      </w:r>
      <w:r>
        <w:rPr>
          <w:rFonts w:ascii="Times New Roman"/>
          <w:color w:val="1C1C1C"/>
          <w:sz w:val="22"/>
          <w:szCs w:val="22"/>
        </w:rPr>
        <w:t xml:space="preserve">Se breakout ocorreu, breakout_dist = (Close[i] - breakout_level) / ATR. Mede a magnitude do breakout normalizado pela volatilidade. Breakouts pequenos (&lt; 0.5 ATR) frequentemente falham; breakouts grandes (&gt; 1.5 ATR) tendem a ter mais seguimento.</w:t>
      </w:r>
    </w:p>
    <w:p>
      <w:pPr>
        <w:pStyle w:val="Heading2"/>
        <w:spacing w:after="160" w:before="360" w:line="312"/>
      </w:pPr>
      <w:bookmarkStart w:id="100068" w:name="_Toc100068"/>
      <w:r>
        <w:rPr>
          <w:rFonts w:ascii="Times New Roman"/>
          <w:b/>
          <w:bCs/>
          <w:color w:val="1A1A1A"/>
          <w:sz w:val="28"/>
          <w:szCs w:val="28"/>
        </w:rPr>
        <w:t xml:space="preserve">15. Evidencias e Fontes de Pesquisa</w:t>
      </w:r>
      <w:bookmarkEnd w:id="100068"/>
    </w:p>
    <w:p>
      <w:pPr>
        <w:spacing w:after="120" w:line="312"/>
        <w:jc w:val="both"/>
      </w:pPr>
      <w:r>
        <w:rPr>
          <w:rFonts w:ascii="Times New Roman"/>
          <w:color w:val="1C1C1C"/>
          <w:sz w:val="22"/>
          <w:szCs w:val="22"/>
        </w:rPr>
        <w:t xml:space="preserve">Esta secao lista as principais fontes academicas e empiricas que sustentam as estrategias discutidas neste documento. E essencial que toda afirmacao sobre eficacia de estrategias seja rastreada ate sua fonte primaria.</w:t>
      </w:r>
    </w:p>
    <w:p>
      <w:pPr>
        <w:pStyle w:val="Heading3"/>
        <w:spacing w:after="120" w:before="240" w:line="312"/>
      </w:pPr>
      <w:bookmarkStart w:id="100069" w:name="_Toc100069"/>
      <w:r>
        <w:rPr>
          <w:rFonts w:ascii="Times New Roman"/>
          <w:b/>
          <w:bCs/>
          <w:color w:val="333333"/>
          <w:sz w:val="24"/>
          <w:szCs w:val="24"/>
        </w:rPr>
        <w:t xml:space="preserve">15.1 Papers Academicos Fundamentais</w:t>
      </w:r>
      <w:bookmarkEnd w:id="100069"/>
    </w:p>
    <w:p>
      <w:pPr>
        <w:spacing w:after="120" w:line="312"/>
        <w:jc w:val="both"/>
      </w:pPr>
      <w:r>
        <w:rPr>
          <w:rFonts w:ascii="Times New Roman"/>
          <w:b/>
          <w:bCs/>
          <w:color w:val="1C1C1C"/>
          <w:sz w:val="22"/>
          <w:szCs w:val="22"/>
        </w:rPr>
        <w:t xml:space="preserve">Moskowitz, Ooi, Pedersen (2012): </w:t>
      </w:r>
      <w:r>
        <w:rPr>
          <w:rFonts w:ascii="Times New Roman"/>
          <w:color w:val="1C1C1C"/>
          <w:sz w:val="22"/>
          <w:szCs w:val="22"/>
        </w:rPr>
        <w:t xml:space="preserve">'Time Series Momentum', Journal of Financial Economics. Documenta momentum em series temporais em 58 instrumentos, incluindo pares de moedas. Evidencia robusta de que retornos passados de 3-12 meses preveem retornos futuros. Este e o paper mais citado em suporte a estrategias de momentum em Forex.</w:t>
      </w:r>
    </w:p>
    <w:p>
      <w:pPr>
        <w:spacing w:after="120" w:line="312"/>
        <w:jc w:val="both"/>
      </w:pPr>
      <w:r>
        <w:rPr>
          <w:rFonts w:ascii="Times New Roman"/>
          <w:b/>
          <w:bCs/>
          <w:color w:val="1C1C1C"/>
          <w:sz w:val="22"/>
          <w:szCs w:val="22"/>
        </w:rPr>
        <w:t xml:space="preserve">Menkhoff, Sarno, Schmeling, Schrimpf (2012): </w:t>
      </w:r>
      <w:r>
        <w:rPr>
          <w:rFonts w:ascii="Times New Roman"/>
          <w:color w:val="1C1C1C"/>
          <w:sz w:val="22"/>
          <w:szCs w:val="22"/>
        </w:rPr>
        <w:t xml:space="preserve">'Carry Trades and Global Foreign Exchange Volatility', Journal of Finance. Analisa carry trades em 48 pares de moedas, documentando retornos positivos persistentes com drawdowns severos durante crises de aversao ao risco. Evidencia solida para o carry trade como anomalia.</w:t>
      </w:r>
    </w:p>
    <w:p>
      <w:pPr>
        <w:spacing w:after="120" w:line="312"/>
        <w:jc w:val="both"/>
      </w:pPr>
      <w:r>
        <w:rPr>
          <w:rFonts w:ascii="Times New Roman"/>
          <w:b/>
          <w:bCs/>
          <w:color w:val="1C1C1C"/>
          <w:sz w:val="22"/>
          <w:szCs w:val="22"/>
        </w:rPr>
        <w:t xml:space="preserve">Burnside, Eichenbaum, Kleshchelski, Rebelo (2011): </w:t>
      </w:r>
      <w:r>
        <w:rPr>
          <w:rFonts w:ascii="Times New Roman"/>
          <w:color w:val="1C1C1C"/>
          <w:sz w:val="22"/>
          <w:szCs w:val="22"/>
        </w:rPr>
        <w:t xml:space="preserve">'Do Peso Problems Explain the Forward Premium Puzzle?', American Economic Review. Investiga o puzzle do forward premium e o carry trade, encontrando que fatores de risco tradicionais nao explicam completamente os retornos do carry trade.</w:t>
      </w:r>
    </w:p>
    <w:p>
      <w:pPr>
        <w:spacing w:after="120" w:line="312"/>
        <w:jc w:val="both"/>
      </w:pPr>
      <w:r>
        <w:rPr>
          <w:rFonts w:ascii="Times New Roman"/>
          <w:b/>
          <w:bCs/>
          <w:color w:val="1C1C1C"/>
          <w:sz w:val="22"/>
          <w:szCs w:val="22"/>
        </w:rPr>
        <w:t xml:space="preserve">Engle (1982) / Bollerslev (1986): </w:t>
      </w:r>
      <w:r>
        <w:rPr>
          <w:rFonts w:ascii="Times New Roman"/>
          <w:color w:val="1C1C1C"/>
          <w:sz w:val="22"/>
          <w:szCs w:val="22"/>
        </w:rPr>
        <w:t xml:space="preserve">'Autoregressive Conditional Heteroskedasticity' (ARCH) e 'Generalized ARCH' (GARCH). Modelos que formalizam o clustering de volatilidade observado em series temporais financeiras. Fundamentacao teorica para estrategias de volatilidade.</w:t>
      </w:r>
    </w:p>
    <w:p>
      <w:pPr>
        <w:spacing w:after="120" w:line="312"/>
        <w:jc w:val="both"/>
      </w:pPr>
      <w:r>
        <w:rPr>
          <w:rFonts w:ascii="Times New Roman"/>
          <w:b/>
          <w:bCs/>
          <w:color w:val="1C1C1C"/>
          <w:sz w:val="22"/>
          <w:szCs w:val="22"/>
        </w:rPr>
        <w:t xml:space="preserve">Engle e Granger (1987): </w:t>
      </w:r>
      <w:r>
        <w:rPr>
          <w:rFonts w:ascii="Times New Roman"/>
          <w:color w:val="1C1C1C"/>
          <w:sz w:val="22"/>
          <w:szCs w:val="22"/>
        </w:rPr>
        <w:t xml:space="preserve">'Co-Integration and Error Correction'. Fundamentacao teorica para Statistical Arbitrage e pairs trading. Prova que combinacoes lineares de series nao-estacionarias podem ser estacionarias.</w:t>
      </w:r>
    </w:p>
    <w:p>
      <w:pPr>
        <w:spacing w:after="120" w:line="312"/>
        <w:jc w:val="both"/>
      </w:pPr>
      <w:r>
        <w:rPr>
          <w:rFonts w:ascii="Times New Roman"/>
          <w:b/>
          <w:bCs/>
          <w:color w:val="1C1C1C"/>
          <w:sz w:val="22"/>
          <w:szCs w:val="22"/>
        </w:rPr>
        <w:t xml:space="preserve">Bollinger (2002): </w:t>
      </w:r>
      <w:r>
        <w:rPr>
          <w:rFonts w:ascii="Times New Roman"/>
          <w:color w:val="1C1C1C"/>
          <w:sz w:val="22"/>
          <w:szCs w:val="22"/>
        </w:rPr>
        <w:t xml:space="preserve">'Bollinger on Bollinger Bands'. Analise extensiva do comportamento de precos em relacao a bandas de volatilidade. Documenta o padrao de squeeze-expansao.</w:t>
      </w:r>
    </w:p>
    <w:p>
      <w:pPr>
        <w:spacing w:after="120" w:line="312"/>
        <w:jc w:val="both"/>
      </w:pPr>
      <w:r>
        <w:rPr>
          <w:rFonts w:ascii="Times New Roman"/>
          <w:b/>
          <w:bCs/>
          <w:color w:val="1C1C1C"/>
          <w:sz w:val="22"/>
          <w:szCs w:val="22"/>
        </w:rPr>
        <w:t xml:space="preserve">Daniel e Moskowitz (2016): </w:t>
      </w:r>
      <w:r>
        <w:rPr>
          <w:rFonts w:ascii="Times New Roman"/>
          <w:color w:val="1C1C1C"/>
          <w:sz w:val="22"/>
          <w:szCs w:val="22"/>
        </w:rPr>
        <w:t xml:space="preserve">'Momentum Crashes', Journal of Financial Economics. Analisa os momentos de colapso do momentum, documentando que crashs tendem a ser seguidos de recuperacoes fortes.</w:t>
      </w:r>
    </w:p>
    <w:p>
      <w:pPr>
        <w:pStyle w:val="Heading3"/>
        <w:spacing w:after="120" w:before="240" w:line="312"/>
      </w:pPr>
      <w:bookmarkStart w:id="100070" w:name="_Toc100070"/>
      <w:r>
        <w:rPr>
          <w:rFonts w:ascii="Times New Roman"/>
          <w:b/>
          <w:bCs/>
          <w:color w:val="333333"/>
          <w:sz w:val="24"/>
          <w:szCs w:val="24"/>
        </w:rPr>
        <w:t xml:space="preserve">15.2 Livros Recomendados</w:t>
      </w:r>
      <w:bookmarkEnd w:id="100070"/>
    </w:p>
    <w:p>
      <w:pPr>
        <w:spacing w:after="120" w:line="312"/>
        <w:jc w:val="both"/>
      </w:pPr>
      <w:r>
        <w:rPr>
          <w:rFonts w:ascii="Times New Roman"/>
          <w:b/>
          <w:bCs/>
          <w:color w:val="1C1C1C"/>
          <w:sz w:val="22"/>
          <w:szCs w:val="22"/>
        </w:rPr>
        <w:t xml:space="preserve">Ernest Chan - Quantitative Trading: </w:t>
      </w:r>
      <w:r>
        <w:rPr>
          <w:rFonts w:ascii="Times New Roman"/>
          <w:color w:val="1C1C1C"/>
          <w:sz w:val="22"/>
          <w:szCs w:val="22"/>
        </w:rPr>
        <w:t xml:space="preserve">Livro pratico sobre desenvolvimento de estrategias quantitativas, com exemplos em Python. Aborda mean-reversion, momentum, gestão de risco, e pitfalls comuns.</w:t>
      </w:r>
    </w:p>
    <w:p>
      <w:pPr>
        <w:spacing w:after="120" w:line="312"/>
        <w:jc w:val="both"/>
      </w:pPr>
      <w:r>
        <w:rPr>
          <w:rFonts w:ascii="Times New Roman"/>
          <w:b/>
          <w:bCs/>
          <w:color w:val="1C1C1C"/>
          <w:sz w:val="22"/>
          <w:szCs w:val="22"/>
        </w:rPr>
        <w:t xml:space="preserve">Ernest Chan - Algorithmic Trading: </w:t>
      </w:r>
      <w:r>
        <w:rPr>
          <w:rFonts w:ascii="Times New Roman"/>
          <w:color w:val="1C1C1C"/>
          <w:sz w:val="22"/>
          <w:szCs w:val="22"/>
        </w:rPr>
        <w:t xml:space="preserve">Sequencia do anterior, mais focado em mean-reversion e statistical arbitrage. Bom para quem quer aprofundar estrategias estatísticas.</w:t>
      </w:r>
    </w:p>
    <w:p>
      <w:pPr>
        <w:spacing w:after="120" w:line="312"/>
        <w:jc w:val="both"/>
      </w:pPr>
      <w:r>
        <w:rPr>
          <w:rFonts w:ascii="Times New Roman"/>
          <w:b/>
          <w:bCs/>
          <w:color w:val="1C1C1C"/>
          <w:sz w:val="22"/>
          <w:szCs w:val="22"/>
        </w:rPr>
        <w:t xml:space="preserve">Marcos Lopez de Prado - Advances in Financial Machine Learning: </w:t>
      </w:r>
      <w:r>
        <w:rPr>
          <w:rFonts w:ascii="Times New Roman"/>
          <w:color w:val="1C1C1C"/>
          <w:sz w:val="22"/>
          <w:szCs w:val="22"/>
        </w:rPr>
        <w:t xml:space="preserve">Livro tecnico sobre ML aplicado a finanzas, com foco em evitar data leakage e overfitting. Recomendado para quem planeja usar ML.</w:t>
      </w:r>
    </w:p>
    <w:p>
      <w:pPr>
        <w:spacing w:after="120" w:line="312"/>
        <w:jc w:val="both"/>
      </w:pPr>
      <w:r>
        <w:rPr>
          <w:rFonts w:ascii="Times New Roman"/>
          <w:b/>
          <w:bCs/>
          <w:color w:val="1C1C1C"/>
          <w:sz w:val="22"/>
          <w:szCs w:val="22"/>
        </w:rPr>
        <w:t xml:space="preserve">Perry Kaufman - Trading Systems and Methods: </w:t>
      </w:r>
      <w:r>
        <w:rPr>
          <w:rFonts w:ascii="Times New Roman"/>
          <w:color w:val="1C1C1C"/>
          <w:sz w:val="22"/>
          <w:szCs w:val="22"/>
        </w:rPr>
        <w:t xml:space="preserve">Referencia enciclopedica sobre sistemas de trading, cobrindo praticamente todas as familias de estrategias discutidas neste documento.</w:t>
      </w:r>
    </w:p>
    <w:p>
      <w:pPr>
        <w:spacing w:after="120" w:line="312"/>
        <w:jc w:val="both"/>
      </w:pPr>
      <w:r>
        <w:rPr>
          <w:rFonts w:ascii="Times New Roman"/>
          <w:b/>
          <w:bCs/>
          <w:color w:val="1C1C1C"/>
          <w:sz w:val="22"/>
          <w:szCs w:val="22"/>
        </w:rPr>
        <w:t xml:space="preserve">Van K. Tharp - Trade Your Way to Financial Freedom: </w:t>
      </w:r>
      <w:r>
        <w:rPr>
          <w:rFonts w:ascii="Times New Roman"/>
          <w:color w:val="1C1C1C"/>
          <w:sz w:val="22"/>
          <w:szCs w:val="22"/>
        </w:rPr>
        <w:t xml:space="preserve">Foco em gestão de risco, position sizing, e psicologia de trading. Essencial para a Parte 1 deste documento.</w:t>
      </w:r>
    </w:p>
    <w:p>
      <w:pPr>
        <w:pStyle w:val="Heading3"/>
        <w:spacing w:after="120" w:before="240" w:line="312"/>
      </w:pPr>
      <w:bookmarkStart w:id="100071" w:name="_Toc100071"/>
      <w:r>
        <w:rPr>
          <w:rFonts w:ascii="Times New Roman"/>
          <w:b/>
          <w:bCs/>
          <w:color w:val="333333"/>
          <w:sz w:val="24"/>
          <w:szCs w:val="24"/>
        </w:rPr>
        <w:t xml:space="preserve">15.3 Fontes de Dados e Ferramentas</w:t>
      </w:r>
      <w:bookmarkEnd w:id="100071"/>
    </w:p>
    <w:p>
      <w:pPr>
        <w:spacing w:after="120" w:line="312"/>
        <w:jc w:val="both"/>
      </w:pPr>
      <w:r>
        <w:rPr>
          <w:rFonts w:ascii="Times New Roman"/>
          <w:b/>
          <w:bCs/>
          <w:color w:val="1C1C1C"/>
          <w:sz w:val="22"/>
          <w:szCs w:val="22"/>
        </w:rPr>
        <w:t xml:space="preserve">Dados historicos: </w:t>
      </w:r>
      <w:r>
        <w:rPr>
          <w:rFonts w:ascii="Times New Roman"/>
          <w:color w:val="1C1C1C"/>
          <w:sz w:val="22"/>
          <w:szCs w:val="22"/>
        </w:rPr>
        <w:t xml:space="preserve">MetaTrader 5 (via Python API), Dukascopy, HistData.com, OANDA, FXCM, Quandl/Nasdaq Data Link. Dados de tick para backtests de alta resolucao estao disponiveis em Dukascopy e HistData.</w:t>
      </w:r>
    </w:p>
    <w:p>
      <w:pPr>
        <w:spacing w:after="120" w:line="312"/>
        <w:jc w:val="both"/>
      </w:pPr>
      <w:r>
        <w:rPr>
          <w:rFonts w:ascii="Times New Roman"/>
          <w:b/>
          <w:bCs/>
          <w:color w:val="1C1C1C"/>
          <w:sz w:val="22"/>
          <w:szCs w:val="22"/>
        </w:rPr>
        <w:t xml:space="preserve">Calendario economico: </w:t>
      </w:r>
      <w:r>
        <w:rPr>
          <w:rFonts w:ascii="Times New Roman"/>
          <w:color w:val="1C1C1C"/>
          <w:sz w:val="22"/>
          <w:szCs w:val="22"/>
        </w:rPr>
        <w:t xml:space="preserve">ForexFactory API, Myfxbook Economic Calendar, Investing.com. Para filtro de noticias, integracao via API e recomendada.</w:t>
      </w:r>
    </w:p>
    <w:p>
      <w:pPr>
        <w:spacing w:after="120" w:line="312"/>
        <w:jc w:val="both"/>
      </w:pPr>
      <w:r>
        <w:rPr>
          <w:rFonts w:ascii="Times New Roman"/>
          <w:b/>
          <w:bCs/>
          <w:color w:val="1C1C1C"/>
          <w:sz w:val="22"/>
          <w:szCs w:val="22"/>
        </w:rPr>
        <w:t xml:space="preserve">Backtesting frameworks: </w:t>
      </w:r>
      <w:r>
        <w:rPr>
          <w:rFonts w:ascii="Times New Roman"/>
          <w:color w:val="1C1C1C"/>
          <w:sz w:val="22"/>
          <w:szCs w:val="22"/>
        </w:rPr>
        <w:t xml:space="preserve">Backtrader (Python), VectorBT (Python), Zipline, freqtrade. Para Forex especificamente, Backtrader e freqtrade sao os mais adequados.</w:t>
      </w:r>
    </w:p>
    <w:p>
      <w:pPr>
        <w:pStyle w:val="Heading2"/>
        <w:spacing w:after="160" w:before="360" w:line="312"/>
      </w:pPr>
      <w:bookmarkStart w:id="100072" w:name="_Toc100072"/>
      <w:r>
        <w:rPr>
          <w:rFonts w:ascii="Times New Roman"/>
          <w:b/>
          <w:bCs/>
          <w:color w:val="1A1A1A"/>
          <w:sz w:val="28"/>
          <w:szCs w:val="28"/>
        </w:rPr>
        <w:t xml:space="preserve">16. Classificacao das Estrategias</w:t>
      </w:r>
      <w:bookmarkEnd w:id="100072"/>
    </w:p>
    <w:p>
      <w:pPr>
        <w:spacing w:after="120" w:line="312"/>
        <w:jc w:val="both"/>
      </w:pPr>
      <w:r>
        <w:rPr>
          <w:rFonts w:ascii="Times New Roman"/>
          <w:color w:val="1C1C1C"/>
          <w:sz w:val="22"/>
          <w:szCs w:val="22"/>
        </w:rPr>
        <w:t xml:space="preserve">Cada estrategia encontrada nesta pesquisa e classificada em multiplos criterios para facilitar a comparacao e priorizacao. A classificacao nao substitui o backtest, mas fornece uma base para decisao informada sobre quais estrategias investigar primeiro.</w:t>
      </w:r>
    </w:p>
    <w:p>
      <w:pPr>
        <w:keepNext/>
        <w:spacing w:after="80"/>
      </w:pPr>
      <w:r>
        <w:rPr>
          <w:rFonts w:ascii="Times New Roman"/>
          <w:b/>
          <w:bCs/>
          <w:i/>
          <w:iCs/>
          <w:color w:val="555555"/>
          <w:sz w:val="20"/>
          <w:szCs w:val="20"/>
        </w:rPr>
        <w:t xml:space="preserve">Tabela 7: Classificacao detalhada das estrategias candidatas</w:t>
      </w:r>
    </w:p>
    <w:tbl>
      <w:tblPr>
        <w:tblW w:type="pct" w:w="100%"/>
        <w:tblBorders>
          <w:top w:val="single" w:color="C9A84C" w:sz="2"/>
          <w:left w:val="none"/>
          <w:bottom w:val="single" w:color="C9A84C" w:sz="2"/>
          <w:right w:val="none"/>
          <w:insideH w:val="single" w:color="DDD5C0" w:sz="1"/>
          <w:insideV w:val="none"/>
        </w:tblBorders>
      </w:tblPr>
      <w:tblGrid>
        <w:gridCol w:w="100"/>
        <w:gridCol w:w="100"/>
        <w:gridCol w:w="100"/>
        <w:gridCol w:w="100"/>
        <w:gridCol w:w="100"/>
        <w:gridCol w:w="100"/>
        <w:gridCol w:w="100"/>
      </w:tblGrid>
      <w:tr>
        <w:trPr>
          <w:cantSplit/>
          <w:tblHeader/>
        </w:trPr>
        <w:tc>
          <w:tcPr>
            <w:tcW w:type="pct" w:w="14%"/>
            <w:shd w:fill="C9A84C" w:val="clear"/>
            <w:tcMar>
              <w:top w:type="dxa" w:w="50"/>
              <w:left w:type="dxa" w:w="100"/>
              <w:bottom w:type="dxa" w:w="50"/>
              <w:right w:type="dxa" w:w="100"/>
            </w:tcMar>
          </w:tcPr>
          <w:p>
            <w:pPr>
              <w:jc w:val="center"/>
            </w:pPr>
            <w:r>
              <w:rPr>
                <w:rFonts w:ascii="Calibri"/>
                <w:b/>
                <w:bCs/>
                <w:color w:val="1A1A1A"/>
                <w:sz w:val="20"/>
                <w:szCs w:val="20"/>
              </w:rPr>
              <w:t xml:space="preserve">Estrategia</w:t>
            </w:r>
          </w:p>
        </w:tc>
        <w:tc>
          <w:tcPr>
            <w:tcW w:type="pct" w:w="14%"/>
            <w:shd w:fill="C9A84C" w:val="clear"/>
            <w:tcMar>
              <w:top w:type="dxa" w:w="50"/>
              <w:left w:type="dxa" w:w="100"/>
              <w:bottom w:type="dxa" w:w="50"/>
              <w:right w:type="dxa" w:w="100"/>
            </w:tcMar>
          </w:tcPr>
          <w:p>
            <w:pPr>
              <w:jc w:val="center"/>
            </w:pPr>
            <w:r>
              <w:rPr>
                <w:rFonts w:ascii="Calibri"/>
                <w:b/>
                <w:bCs/>
                <w:color w:val="1A1A1A"/>
                <w:sz w:val="20"/>
                <w:szCs w:val="20"/>
              </w:rPr>
              <w:t xml:space="preserve">Tipo</w:t>
            </w:r>
          </w:p>
        </w:tc>
        <w:tc>
          <w:tcPr>
            <w:tcW w:type="pct" w:w="14%"/>
            <w:shd w:fill="C9A84C" w:val="clear"/>
            <w:tcMar>
              <w:top w:type="dxa" w:w="50"/>
              <w:left w:type="dxa" w:w="100"/>
              <w:bottom w:type="dxa" w:w="50"/>
              <w:right w:type="dxa" w:w="100"/>
            </w:tcMar>
          </w:tcPr>
          <w:p>
            <w:pPr>
              <w:jc w:val="center"/>
            </w:pPr>
            <w:r>
              <w:rPr>
                <w:rFonts w:ascii="Calibri"/>
                <w:b/>
                <w:bCs/>
                <w:color w:val="1A1A1A"/>
                <w:sz w:val="20"/>
                <w:szCs w:val="20"/>
              </w:rPr>
              <w:t xml:space="preserve">Complexidade</w:t>
            </w:r>
          </w:p>
        </w:tc>
        <w:tc>
          <w:tcPr>
            <w:tcW w:type="pct" w:w="14%"/>
            <w:shd w:fill="C9A84C" w:val="clear"/>
            <w:tcMar>
              <w:top w:type="dxa" w:w="50"/>
              <w:left w:type="dxa" w:w="100"/>
              <w:bottom w:type="dxa" w:w="50"/>
              <w:right w:type="dxa" w:w="100"/>
            </w:tcMar>
          </w:tcPr>
          <w:p>
            <w:pPr>
              <w:jc w:val="center"/>
            </w:pPr>
            <w:r>
              <w:rPr>
                <w:rFonts w:ascii="Calibri"/>
                <w:b/>
                <w:bCs/>
                <w:color w:val="1A1A1A"/>
                <w:sz w:val="20"/>
                <w:szCs w:val="20"/>
              </w:rPr>
              <w:t xml:space="preserve">Automacao</w:t>
            </w:r>
          </w:p>
        </w:tc>
        <w:tc>
          <w:tcPr>
            <w:tcW w:type="pct" w:w="14%"/>
            <w:shd w:fill="C9A84C" w:val="clear"/>
            <w:tcMar>
              <w:top w:type="dxa" w:w="50"/>
              <w:left w:type="dxa" w:w="100"/>
              <w:bottom w:type="dxa" w:w="50"/>
              <w:right w:type="dxa" w:w="100"/>
            </w:tcMar>
          </w:tcPr>
          <w:p>
            <w:pPr>
              <w:jc w:val="center"/>
            </w:pPr>
            <w:r>
              <w:rPr>
                <w:rFonts w:ascii="Calibri"/>
                <w:b/>
                <w:bCs/>
                <w:color w:val="1A1A1A"/>
                <w:sz w:val="20"/>
                <w:szCs w:val="20"/>
              </w:rPr>
              <w:t xml:space="preserve">Overfitting</w:t>
            </w:r>
          </w:p>
        </w:tc>
        <w:tc>
          <w:tcPr>
            <w:tcW w:type="pct" w:w="14%"/>
            <w:shd w:fill="C9A84C" w:val="clear"/>
            <w:tcMar>
              <w:top w:type="dxa" w:w="50"/>
              <w:left w:type="dxa" w:w="100"/>
              <w:bottom w:type="dxa" w:w="50"/>
              <w:right w:type="dxa" w:w="100"/>
            </w:tcMar>
          </w:tcPr>
          <w:p>
            <w:pPr>
              <w:jc w:val="center"/>
            </w:pPr>
            <w:r>
              <w:rPr>
                <w:rFonts w:ascii="Calibri"/>
                <w:b/>
                <w:bCs/>
                <w:color w:val="1A1A1A"/>
                <w:sz w:val="20"/>
                <w:szCs w:val="20"/>
              </w:rPr>
              <w:t xml:space="preserve">Backtest</w:t>
            </w:r>
          </w:p>
        </w:tc>
        <w:tc>
          <w:tcPr>
            <w:tcW w:type="pct" w:w="14%"/>
            <w:shd w:fill="C9A84C" w:val="clear"/>
            <w:tcMar>
              <w:top w:type="dxa" w:w="50"/>
              <w:left w:type="dxa" w:w="100"/>
              <w:bottom w:type="dxa" w:w="50"/>
              <w:right w:type="dxa" w:w="100"/>
            </w:tcMar>
          </w:tcPr>
          <w:p>
            <w:pPr>
              <w:jc w:val="center"/>
            </w:pPr>
            <w:r>
              <w:rPr>
                <w:rFonts w:ascii="Calibri"/>
                <w:b/>
                <w:bCs/>
                <w:color w:val="1A1A1A"/>
                <w:sz w:val="20"/>
                <w:szCs w:val="20"/>
              </w:rPr>
              <w:t xml:space="preserve">Evidencia</w:t>
            </w:r>
          </w:p>
        </w:tc>
      </w:tr>
      <w:tr>
        <w:trPr>
          <w:cantSplit/>
        </w:trPr>
        <w:tc>
          <w:tcPr>
            <w:tcW w:type="pct" w:w="14%"/>
            <w:shd w:fill="F5F2E8" w:val="clear"/>
            <w:tcMar>
              <w:top w:type="dxa" w:w="40"/>
              <w:left w:type="dxa" w:w="100"/>
              <w:bottom w:type="dxa" w:w="40"/>
              <w:right w:type="dxa" w:w="100"/>
            </w:tcMar>
          </w:tcPr>
          <w:p>
            <w:pPr>
              <w:spacing w:after="40"/>
            </w:pPr>
            <w:r>
              <w:rPr>
                <w:rFonts w:ascii="Calibri"/>
                <w:color w:val="1C1C1C"/>
                <w:sz w:val="20"/>
                <w:szCs w:val="20"/>
              </w:rPr>
              <w:t xml:space="preserve">Trend Following (EMA crossover)</w:t>
            </w:r>
          </w:p>
        </w:tc>
        <w:tc>
          <w:tcPr>
            <w:tcW w:type="pct" w:w="14%"/>
            <w:shd w:fill="F5F2E8" w:val="clear"/>
            <w:tcMar>
              <w:top w:type="dxa" w:w="40"/>
              <w:left w:type="dxa" w:w="100"/>
              <w:bottom w:type="dxa" w:w="40"/>
              <w:right w:type="dxa" w:w="100"/>
            </w:tcMar>
          </w:tcPr>
          <w:p>
            <w:pPr>
              <w:spacing w:after="40"/>
            </w:pPr>
            <w:r>
              <w:rPr>
                <w:rFonts w:ascii="Calibri"/>
                <w:color w:val="1C1C1C"/>
                <w:sz w:val="20"/>
                <w:szCs w:val="20"/>
              </w:rPr>
              <w:t xml:space="preserve">Trend</w:t>
            </w:r>
          </w:p>
        </w:tc>
        <w:tc>
          <w:tcPr>
            <w:tcW w:type="pct" w:w="14%"/>
            <w:shd w:fill="F5F2E8" w:val="clear"/>
            <w:tcMar>
              <w:top w:type="dxa" w:w="40"/>
              <w:left w:type="dxa" w:w="100"/>
              <w:bottom w:type="dxa" w:w="40"/>
              <w:right w:type="dxa" w:w="100"/>
            </w:tcMar>
          </w:tcPr>
          <w:p>
            <w:pPr>
              <w:spacing w:after="40"/>
            </w:pPr>
            <w:r>
              <w:rPr>
                <w:rFonts w:ascii="Calibri"/>
                <w:color w:val="1C1C1C"/>
                <w:sz w:val="20"/>
                <w:szCs w:val="20"/>
              </w:rPr>
              <w:t xml:space="preserve">Baixa</w:t>
            </w:r>
          </w:p>
        </w:tc>
        <w:tc>
          <w:tcPr>
            <w:tcW w:type="pct" w:w="14%"/>
            <w:shd w:fill="F5F2E8" w:val="clear"/>
            <w:tcMar>
              <w:top w:type="dxa" w:w="40"/>
              <w:left w:type="dxa" w:w="100"/>
              <w:bottom w:type="dxa" w:w="40"/>
              <w:right w:type="dxa" w:w="100"/>
            </w:tcMar>
          </w:tcPr>
          <w:p>
            <w:pPr>
              <w:spacing w:after="40"/>
            </w:pPr>
            <w:r>
              <w:rPr>
                <w:rFonts w:ascii="Calibri"/>
                <w:color w:val="1C1C1C"/>
                <w:sz w:val="20"/>
                <w:szCs w:val="20"/>
              </w:rPr>
              <w:t xml:space="preserve">9/10</w:t>
            </w:r>
          </w:p>
        </w:tc>
        <w:tc>
          <w:tcPr>
            <w:tcW w:type="pct" w:w="14%"/>
            <w:shd w:fill="F5F2E8" w:val="clear"/>
            <w:tcMar>
              <w:top w:type="dxa" w:w="40"/>
              <w:left w:type="dxa" w:w="100"/>
              <w:bottom w:type="dxa" w:w="40"/>
              <w:right w:type="dxa" w:w="100"/>
            </w:tcMar>
          </w:tcPr>
          <w:p>
            <w:pPr>
              <w:spacing w:after="40"/>
            </w:pPr>
            <w:r>
              <w:rPr>
                <w:rFonts w:ascii="Calibri"/>
                <w:color w:val="1C1C1C"/>
                <w:sz w:val="20"/>
                <w:szCs w:val="20"/>
              </w:rPr>
              <w:t xml:space="preserve">3/10</w:t>
            </w:r>
          </w:p>
        </w:tc>
        <w:tc>
          <w:tcPr>
            <w:tcW w:type="pct" w:w="14%"/>
            <w:shd w:fill="F5F2E8" w:val="clear"/>
            <w:tcMar>
              <w:top w:type="dxa" w:w="40"/>
              <w:left w:type="dxa" w:w="100"/>
              <w:bottom w:type="dxa" w:w="40"/>
              <w:right w:type="dxa" w:w="100"/>
            </w:tcMar>
          </w:tcPr>
          <w:p>
            <w:pPr>
              <w:spacing w:after="40"/>
            </w:pPr>
            <w:r>
              <w:rPr>
                <w:rFonts w:ascii="Calibri"/>
                <w:color w:val="1C1C1C"/>
                <w:sz w:val="20"/>
                <w:szCs w:val="20"/>
              </w:rPr>
              <w:t xml:space="preserve">9/10</w:t>
            </w:r>
          </w:p>
        </w:tc>
        <w:tc>
          <w:tcPr>
            <w:tcW w:type="pct" w:w="14%"/>
            <w:shd w:fill="F5F2E8" w:val="clear"/>
            <w:tcMar>
              <w:top w:type="dxa" w:w="40"/>
              <w:left w:type="dxa" w:w="100"/>
              <w:bottom w:type="dxa" w:w="40"/>
              <w:right w:type="dxa" w:w="100"/>
            </w:tcMar>
          </w:tcPr>
          <w:p>
            <w:pPr>
              <w:spacing w:after="40"/>
            </w:pPr>
            <w:r>
              <w:rPr>
                <w:rFonts w:ascii="Calibri"/>
                <w:color w:val="1C1C1C"/>
                <w:sz w:val="20"/>
                <w:szCs w:val="20"/>
              </w:rPr>
              <w:t xml:space="preserve">7/10</w:t>
            </w:r>
          </w:p>
        </w:tc>
      </w:tr>
      <w:tr>
        <w:trPr>
          <w:cantSplit/>
        </w:trPr>
        <w:tc>
          <w:tcPr>
            <w:tcW w:type="pct" w:w="14%"/>
            <w:shd w:fill="FFFFFF" w:val="clear"/>
            <w:tcMar>
              <w:top w:type="dxa" w:w="40"/>
              <w:left w:type="dxa" w:w="100"/>
              <w:bottom w:type="dxa" w:w="40"/>
              <w:right w:type="dxa" w:w="100"/>
            </w:tcMar>
          </w:tcPr>
          <w:p>
            <w:pPr>
              <w:spacing w:after="40"/>
            </w:pPr>
            <w:r>
              <w:rPr>
                <w:rFonts w:ascii="Calibri"/>
                <w:color w:val="1C1C1C"/>
                <w:sz w:val="20"/>
                <w:szCs w:val="20"/>
              </w:rPr>
              <w:t xml:space="preserve">Time-Series Momentum</w:t>
            </w:r>
          </w:p>
        </w:tc>
        <w:tc>
          <w:tcPr>
            <w:tcW w:type="pct" w:w="14%"/>
            <w:shd w:fill="FFFFFF" w:val="clear"/>
            <w:tcMar>
              <w:top w:type="dxa" w:w="40"/>
              <w:left w:type="dxa" w:w="100"/>
              <w:bottom w:type="dxa" w:w="40"/>
              <w:right w:type="dxa" w:w="100"/>
            </w:tcMar>
          </w:tcPr>
          <w:p>
            <w:pPr>
              <w:spacing w:after="40"/>
            </w:pPr>
            <w:r>
              <w:rPr>
                <w:rFonts w:ascii="Calibri"/>
                <w:color w:val="1C1C1C"/>
                <w:sz w:val="20"/>
                <w:szCs w:val="20"/>
              </w:rPr>
              <w:t xml:space="preserve">Momentum</w:t>
            </w:r>
          </w:p>
        </w:tc>
        <w:tc>
          <w:tcPr>
            <w:tcW w:type="pct" w:w="14%"/>
            <w:shd w:fill="FFFFFF" w:val="clear"/>
            <w:tcMar>
              <w:top w:type="dxa" w:w="40"/>
              <w:left w:type="dxa" w:w="100"/>
              <w:bottom w:type="dxa" w:w="40"/>
              <w:right w:type="dxa" w:w="100"/>
            </w:tcMar>
          </w:tcPr>
          <w:p>
            <w:pPr>
              <w:spacing w:after="40"/>
            </w:pPr>
            <w:r>
              <w:rPr>
                <w:rFonts w:ascii="Calibri"/>
                <w:color w:val="1C1C1C"/>
                <w:sz w:val="20"/>
                <w:szCs w:val="20"/>
              </w:rPr>
              <w:t xml:space="preserve">Baixa</w:t>
            </w:r>
          </w:p>
        </w:tc>
        <w:tc>
          <w:tcPr>
            <w:tcW w:type="pct" w:w="14%"/>
            <w:shd w:fill="FFFFFF" w:val="clear"/>
            <w:tcMar>
              <w:top w:type="dxa" w:w="40"/>
              <w:left w:type="dxa" w:w="100"/>
              <w:bottom w:type="dxa" w:w="40"/>
              <w:right w:type="dxa" w:w="100"/>
            </w:tcMar>
          </w:tcPr>
          <w:p>
            <w:pPr>
              <w:spacing w:after="40"/>
            </w:pPr>
            <w:r>
              <w:rPr>
                <w:rFonts w:ascii="Calibri"/>
                <w:color w:val="1C1C1C"/>
                <w:sz w:val="20"/>
                <w:szCs w:val="20"/>
              </w:rPr>
              <w:t xml:space="preserve">9/10</w:t>
            </w:r>
          </w:p>
        </w:tc>
        <w:tc>
          <w:tcPr>
            <w:tcW w:type="pct" w:w="14%"/>
            <w:shd w:fill="FFFFFF" w:val="clear"/>
            <w:tcMar>
              <w:top w:type="dxa" w:w="40"/>
              <w:left w:type="dxa" w:w="100"/>
              <w:bottom w:type="dxa" w:w="40"/>
              <w:right w:type="dxa" w:w="100"/>
            </w:tcMar>
          </w:tcPr>
          <w:p>
            <w:pPr>
              <w:spacing w:after="40"/>
            </w:pPr>
            <w:r>
              <w:rPr>
                <w:rFonts w:ascii="Calibri"/>
                <w:color w:val="1C1C1C"/>
                <w:sz w:val="20"/>
                <w:szCs w:val="20"/>
              </w:rPr>
              <w:t xml:space="preserve">3/10</w:t>
            </w:r>
          </w:p>
        </w:tc>
        <w:tc>
          <w:tcPr>
            <w:tcW w:type="pct" w:w="14%"/>
            <w:shd w:fill="FFFFFF" w:val="clear"/>
            <w:tcMar>
              <w:top w:type="dxa" w:w="40"/>
              <w:left w:type="dxa" w:w="100"/>
              <w:bottom w:type="dxa" w:w="40"/>
              <w:right w:type="dxa" w:w="100"/>
            </w:tcMar>
          </w:tcPr>
          <w:p>
            <w:pPr>
              <w:spacing w:after="40"/>
            </w:pPr>
            <w:r>
              <w:rPr>
                <w:rFonts w:ascii="Calibri"/>
                <w:color w:val="1C1C1C"/>
                <w:sz w:val="20"/>
                <w:szCs w:val="20"/>
              </w:rPr>
              <w:t xml:space="preserve">9/10</w:t>
            </w:r>
          </w:p>
        </w:tc>
        <w:tc>
          <w:tcPr>
            <w:tcW w:type="pct" w:w="14%"/>
            <w:shd w:fill="FFFFFF" w:val="clear"/>
            <w:tcMar>
              <w:top w:type="dxa" w:w="40"/>
              <w:left w:type="dxa" w:w="100"/>
              <w:bottom w:type="dxa" w:w="40"/>
              <w:right w:type="dxa" w:w="100"/>
            </w:tcMar>
          </w:tcPr>
          <w:p>
            <w:pPr>
              <w:spacing w:after="40"/>
            </w:pPr>
            <w:r>
              <w:rPr>
                <w:rFonts w:ascii="Calibri"/>
                <w:color w:val="1C1C1C"/>
                <w:sz w:val="20"/>
                <w:szCs w:val="20"/>
              </w:rPr>
              <w:t xml:space="preserve">8/10</w:t>
            </w:r>
          </w:p>
        </w:tc>
      </w:tr>
      <w:tr>
        <w:trPr>
          <w:cantSplit/>
        </w:trPr>
        <w:tc>
          <w:tcPr>
            <w:tcW w:type="pct" w:w="14%"/>
            <w:shd w:fill="F5F2E8" w:val="clear"/>
            <w:tcMar>
              <w:top w:type="dxa" w:w="40"/>
              <w:left w:type="dxa" w:w="100"/>
              <w:bottom w:type="dxa" w:w="40"/>
              <w:right w:type="dxa" w:w="100"/>
            </w:tcMar>
          </w:tcPr>
          <w:p>
            <w:pPr>
              <w:spacing w:after="40"/>
            </w:pPr>
            <w:r>
              <w:rPr>
                <w:rFonts w:ascii="Calibri"/>
                <w:color w:val="1C1C1C"/>
                <w:sz w:val="20"/>
                <w:szCs w:val="20"/>
              </w:rPr>
              <w:t xml:space="preserve">Mean Reversion (BB)</w:t>
            </w:r>
          </w:p>
        </w:tc>
        <w:tc>
          <w:tcPr>
            <w:tcW w:type="pct" w:w="14%"/>
            <w:shd w:fill="F5F2E8" w:val="clear"/>
            <w:tcMar>
              <w:top w:type="dxa" w:w="40"/>
              <w:left w:type="dxa" w:w="100"/>
              <w:bottom w:type="dxa" w:w="40"/>
              <w:right w:type="dxa" w:w="100"/>
            </w:tcMar>
          </w:tcPr>
          <w:p>
            <w:pPr>
              <w:spacing w:after="40"/>
            </w:pPr>
            <w:r>
              <w:rPr>
                <w:rFonts w:ascii="Calibri"/>
                <w:color w:val="1C1C1C"/>
                <w:sz w:val="20"/>
                <w:szCs w:val="20"/>
              </w:rPr>
              <w:t xml:space="preserve">Mean Rev.</w:t>
            </w:r>
          </w:p>
        </w:tc>
        <w:tc>
          <w:tcPr>
            <w:tcW w:type="pct" w:w="14%"/>
            <w:shd w:fill="F5F2E8" w:val="clear"/>
            <w:tcMar>
              <w:top w:type="dxa" w:w="40"/>
              <w:left w:type="dxa" w:w="100"/>
              <w:bottom w:type="dxa" w:w="40"/>
              <w:right w:type="dxa" w:w="100"/>
            </w:tcMar>
          </w:tcPr>
          <w:p>
            <w:pPr>
              <w:spacing w:after="40"/>
            </w:pPr>
            <w:r>
              <w:rPr>
                <w:rFonts w:ascii="Calibri"/>
                <w:color w:val="1C1C1C"/>
                <w:sz w:val="20"/>
                <w:szCs w:val="20"/>
              </w:rPr>
              <w:t xml:space="preserve">Media</w:t>
            </w:r>
          </w:p>
        </w:tc>
        <w:tc>
          <w:tcPr>
            <w:tcW w:type="pct" w:w="14%"/>
            <w:shd w:fill="F5F2E8" w:val="clear"/>
            <w:tcMar>
              <w:top w:type="dxa" w:w="40"/>
              <w:left w:type="dxa" w:w="100"/>
              <w:bottom w:type="dxa" w:w="40"/>
              <w:right w:type="dxa" w:w="100"/>
            </w:tcMar>
          </w:tcPr>
          <w:p>
            <w:pPr>
              <w:spacing w:after="40"/>
            </w:pPr>
            <w:r>
              <w:rPr>
                <w:rFonts w:ascii="Calibri"/>
                <w:color w:val="1C1C1C"/>
                <w:sz w:val="20"/>
                <w:szCs w:val="20"/>
              </w:rPr>
              <w:t xml:space="preserve">7/10</w:t>
            </w:r>
          </w:p>
        </w:tc>
        <w:tc>
          <w:tcPr>
            <w:tcW w:type="pct" w:w="14%"/>
            <w:shd w:fill="F5F2E8" w:val="clear"/>
            <w:tcMar>
              <w:top w:type="dxa" w:w="40"/>
              <w:left w:type="dxa" w:w="100"/>
              <w:bottom w:type="dxa" w:w="40"/>
              <w:right w:type="dxa" w:w="100"/>
            </w:tcMar>
          </w:tcPr>
          <w:p>
            <w:pPr>
              <w:spacing w:after="40"/>
            </w:pPr>
            <w:r>
              <w:rPr>
                <w:rFonts w:ascii="Calibri"/>
                <w:color w:val="1C1C1C"/>
                <w:sz w:val="20"/>
                <w:szCs w:val="20"/>
              </w:rPr>
              <w:t xml:space="preserve">6/10</w:t>
            </w:r>
          </w:p>
        </w:tc>
        <w:tc>
          <w:tcPr>
            <w:tcW w:type="pct" w:w="14%"/>
            <w:shd w:fill="F5F2E8" w:val="clear"/>
            <w:tcMar>
              <w:top w:type="dxa" w:w="40"/>
              <w:left w:type="dxa" w:w="100"/>
              <w:bottom w:type="dxa" w:w="40"/>
              <w:right w:type="dxa" w:w="100"/>
            </w:tcMar>
          </w:tcPr>
          <w:p>
            <w:pPr>
              <w:spacing w:after="40"/>
            </w:pPr>
            <w:r>
              <w:rPr>
                <w:rFonts w:ascii="Calibri"/>
                <w:color w:val="1C1C1C"/>
                <w:sz w:val="20"/>
                <w:szCs w:val="20"/>
              </w:rPr>
              <w:t xml:space="preserve">7/10</w:t>
            </w:r>
          </w:p>
        </w:tc>
        <w:tc>
          <w:tcPr>
            <w:tcW w:type="pct" w:w="14%"/>
            <w:shd w:fill="F5F2E8" w:val="clear"/>
            <w:tcMar>
              <w:top w:type="dxa" w:w="40"/>
              <w:left w:type="dxa" w:w="100"/>
              <w:bottom w:type="dxa" w:w="40"/>
              <w:right w:type="dxa" w:w="100"/>
            </w:tcMar>
          </w:tcPr>
          <w:p>
            <w:pPr>
              <w:spacing w:after="40"/>
            </w:pPr>
            <w:r>
              <w:rPr>
                <w:rFonts w:ascii="Calibri"/>
                <w:color w:val="1C1C1C"/>
                <w:sz w:val="20"/>
                <w:szCs w:val="20"/>
              </w:rPr>
              <w:t xml:space="preserve">5/10</w:t>
            </w:r>
          </w:p>
        </w:tc>
      </w:tr>
      <w:tr>
        <w:trPr>
          <w:cantSplit/>
        </w:trPr>
        <w:tc>
          <w:tcPr>
            <w:tcW w:type="pct" w:w="14%"/>
            <w:shd w:fill="FFFFFF" w:val="clear"/>
            <w:tcMar>
              <w:top w:type="dxa" w:w="40"/>
              <w:left w:type="dxa" w:w="100"/>
              <w:bottom w:type="dxa" w:w="40"/>
              <w:right w:type="dxa" w:w="100"/>
            </w:tcMar>
          </w:tcPr>
          <w:p>
            <w:pPr>
              <w:spacing w:after="40"/>
            </w:pPr>
            <w:r>
              <w:rPr>
                <w:rFonts w:ascii="Calibri"/>
                <w:color w:val="1C1C1C"/>
                <w:sz w:val="20"/>
                <w:szCs w:val="20"/>
              </w:rPr>
              <w:t xml:space="preserve">Volatility Breakout</w:t>
            </w:r>
          </w:p>
        </w:tc>
        <w:tc>
          <w:tcPr>
            <w:tcW w:type="pct" w:w="14%"/>
            <w:shd w:fill="FFFFFF" w:val="clear"/>
            <w:tcMar>
              <w:top w:type="dxa" w:w="40"/>
              <w:left w:type="dxa" w:w="100"/>
              <w:bottom w:type="dxa" w:w="40"/>
              <w:right w:type="dxa" w:w="100"/>
            </w:tcMar>
          </w:tcPr>
          <w:p>
            <w:pPr>
              <w:spacing w:after="40"/>
            </w:pPr>
            <w:r>
              <w:rPr>
                <w:rFonts w:ascii="Calibri"/>
                <w:color w:val="1C1C1C"/>
                <w:sz w:val="20"/>
                <w:szCs w:val="20"/>
              </w:rPr>
              <w:t xml:space="preserve">Breakout</w:t>
            </w:r>
          </w:p>
        </w:tc>
        <w:tc>
          <w:tcPr>
            <w:tcW w:type="pct" w:w="14%"/>
            <w:shd w:fill="FFFFFF" w:val="clear"/>
            <w:tcMar>
              <w:top w:type="dxa" w:w="40"/>
              <w:left w:type="dxa" w:w="100"/>
              <w:bottom w:type="dxa" w:w="40"/>
              <w:right w:type="dxa" w:w="100"/>
            </w:tcMar>
          </w:tcPr>
          <w:p>
            <w:pPr>
              <w:spacing w:after="40"/>
            </w:pPr>
            <w:r>
              <w:rPr>
                <w:rFonts w:ascii="Calibri"/>
                <w:color w:val="1C1C1C"/>
                <w:sz w:val="20"/>
                <w:szCs w:val="20"/>
              </w:rPr>
              <w:t xml:space="preserve">Baixa</w:t>
            </w:r>
          </w:p>
        </w:tc>
        <w:tc>
          <w:tcPr>
            <w:tcW w:type="pct" w:w="14%"/>
            <w:shd w:fill="FFFFFF" w:val="clear"/>
            <w:tcMar>
              <w:top w:type="dxa" w:w="40"/>
              <w:left w:type="dxa" w:w="100"/>
              <w:bottom w:type="dxa" w:w="40"/>
              <w:right w:type="dxa" w:w="100"/>
            </w:tcMar>
          </w:tcPr>
          <w:p>
            <w:pPr>
              <w:spacing w:after="40"/>
            </w:pPr>
            <w:r>
              <w:rPr>
                <w:rFonts w:ascii="Calibri"/>
                <w:color w:val="1C1C1C"/>
                <w:sz w:val="20"/>
                <w:szCs w:val="20"/>
              </w:rPr>
              <w:t xml:space="preserve">9/10</w:t>
            </w:r>
          </w:p>
        </w:tc>
        <w:tc>
          <w:tcPr>
            <w:tcW w:type="pct" w:w="14%"/>
            <w:shd w:fill="FFFFFF" w:val="clear"/>
            <w:tcMar>
              <w:top w:type="dxa" w:w="40"/>
              <w:left w:type="dxa" w:w="100"/>
              <w:bottom w:type="dxa" w:w="40"/>
              <w:right w:type="dxa" w:w="100"/>
            </w:tcMar>
          </w:tcPr>
          <w:p>
            <w:pPr>
              <w:spacing w:after="40"/>
            </w:pPr>
            <w:r>
              <w:rPr>
                <w:rFonts w:ascii="Calibri"/>
                <w:color w:val="1C1C1C"/>
                <w:sz w:val="20"/>
                <w:szCs w:val="20"/>
              </w:rPr>
              <w:t xml:space="preserve">4/10</w:t>
            </w:r>
          </w:p>
        </w:tc>
        <w:tc>
          <w:tcPr>
            <w:tcW w:type="pct" w:w="14%"/>
            <w:shd w:fill="FFFFFF" w:val="clear"/>
            <w:tcMar>
              <w:top w:type="dxa" w:w="40"/>
              <w:left w:type="dxa" w:w="100"/>
              <w:bottom w:type="dxa" w:w="40"/>
              <w:right w:type="dxa" w:w="100"/>
            </w:tcMar>
          </w:tcPr>
          <w:p>
            <w:pPr>
              <w:spacing w:after="40"/>
            </w:pPr>
            <w:r>
              <w:rPr>
                <w:rFonts w:ascii="Calibri"/>
                <w:color w:val="1C1C1C"/>
                <w:sz w:val="20"/>
                <w:szCs w:val="20"/>
              </w:rPr>
              <w:t xml:space="preserve">8/10</w:t>
            </w:r>
          </w:p>
        </w:tc>
        <w:tc>
          <w:tcPr>
            <w:tcW w:type="pct" w:w="14%"/>
            <w:shd w:fill="FFFFFF" w:val="clear"/>
            <w:tcMar>
              <w:top w:type="dxa" w:w="40"/>
              <w:left w:type="dxa" w:w="100"/>
              <w:bottom w:type="dxa" w:w="40"/>
              <w:right w:type="dxa" w:w="100"/>
            </w:tcMar>
          </w:tcPr>
          <w:p>
            <w:pPr>
              <w:spacing w:after="40"/>
            </w:pPr>
            <w:r>
              <w:rPr>
                <w:rFonts w:ascii="Calibri"/>
                <w:color w:val="1C1C1C"/>
                <w:sz w:val="20"/>
                <w:szCs w:val="20"/>
              </w:rPr>
              <w:t xml:space="preserve">6/10</w:t>
            </w:r>
          </w:p>
        </w:tc>
      </w:tr>
      <w:tr>
        <w:trPr>
          <w:cantSplit/>
        </w:trPr>
        <w:tc>
          <w:tcPr>
            <w:tcW w:type="pct" w:w="14%"/>
            <w:shd w:fill="F5F2E8" w:val="clear"/>
            <w:tcMar>
              <w:top w:type="dxa" w:w="40"/>
              <w:left w:type="dxa" w:w="100"/>
              <w:bottom w:type="dxa" w:w="40"/>
              <w:right w:type="dxa" w:w="100"/>
            </w:tcMar>
          </w:tcPr>
          <w:p>
            <w:pPr>
              <w:spacing w:after="40"/>
            </w:pPr>
            <w:r>
              <w:rPr>
                <w:rFonts w:ascii="Calibri"/>
                <w:color w:val="1C1C1C"/>
                <w:sz w:val="20"/>
                <w:szCs w:val="20"/>
              </w:rPr>
              <w:t xml:space="preserve">Asian Range Breakout</w:t>
            </w:r>
          </w:p>
        </w:tc>
        <w:tc>
          <w:tcPr>
            <w:tcW w:type="pct" w:w="14%"/>
            <w:shd w:fill="F5F2E8" w:val="clear"/>
            <w:tcMar>
              <w:top w:type="dxa" w:w="40"/>
              <w:left w:type="dxa" w:w="100"/>
              <w:bottom w:type="dxa" w:w="40"/>
              <w:right w:type="dxa" w:w="100"/>
            </w:tcMar>
          </w:tcPr>
          <w:p>
            <w:pPr>
              <w:spacing w:after="40"/>
            </w:pPr>
            <w:r>
              <w:rPr>
                <w:rFonts w:ascii="Calibri"/>
                <w:color w:val="1C1C1C"/>
                <w:sz w:val="20"/>
                <w:szCs w:val="20"/>
              </w:rPr>
              <w:t xml:space="preserve">Breakout</w:t>
            </w:r>
          </w:p>
        </w:tc>
        <w:tc>
          <w:tcPr>
            <w:tcW w:type="pct" w:w="14%"/>
            <w:shd w:fill="F5F2E8" w:val="clear"/>
            <w:tcMar>
              <w:top w:type="dxa" w:w="40"/>
              <w:left w:type="dxa" w:w="100"/>
              <w:bottom w:type="dxa" w:w="40"/>
              <w:right w:type="dxa" w:w="100"/>
            </w:tcMar>
          </w:tcPr>
          <w:p>
            <w:pPr>
              <w:spacing w:after="40"/>
            </w:pPr>
            <w:r>
              <w:rPr>
                <w:rFonts w:ascii="Calibri"/>
                <w:color w:val="1C1C1C"/>
                <w:sz w:val="20"/>
                <w:szCs w:val="20"/>
              </w:rPr>
              <w:t xml:space="preserve">Media</w:t>
            </w:r>
          </w:p>
        </w:tc>
        <w:tc>
          <w:tcPr>
            <w:tcW w:type="pct" w:w="14%"/>
            <w:shd w:fill="F5F2E8" w:val="clear"/>
            <w:tcMar>
              <w:top w:type="dxa" w:w="40"/>
              <w:left w:type="dxa" w:w="100"/>
              <w:bottom w:type="dxa" w:w="40"/>
              <w:right w:type="dxa" w:w="100"/>
            </w:tcMar>
          </w:tcPr>
          <w:p>
            <w:pPr>
              <w:spacing w:after="40"/>
            </w:pPr>
            <w:r>
              <w:rPr>
                <w:rFonts w:ascii="Calibri"/>
                <w:color w:val="1C1C1C"/>
                <w:sz w:val="20"/>
                <w:szCs w:val="20"/>
              </w:rPr>
              <w:t xml:space="preserve">8/10</w:t>
            </w:r>
          </w:p>
        </w:tc>
        <w:tc>
          <w:tcPr>
            <w:tcW w:type="pct" w:w="14%"/>
            <w:shd w:fill="F5F2E8" w:val="clear"/>
            <w:tcMar>
              <w:top w:type="dxa" w:w="40"/>
              <w:left w:type="dxa" w:w="100"/>
              <w:bottom w:type="dxa" w:w="40"/>
              <w:right w:type="dxa" w:w="100"/>
            </w:tcMar>
          </w:tcPr>
          <w:p>
            <w:pPr>
              <w:spacing w:after="40"/>
            </w:pPr>
            <w:r>
              <w:rPr>
                <w:rFonts w:ascii="Calibri"/>
                <w:color w:val="1C1C1C"/>
                <w:sz w:val="20"/>
                <w:szCs w:val="20"/>
              </w:rPr>
              <w:t xml:space="preserve">5/10</w:t>
            </w:r>
          </w:p>
        </w:tc>
        <w:tc>
          <w:tcPr>
            <w:tcW w:type="pct" w:w="14%"/>
            <w:shd w:fill="F5F2E8" w:val="clear"/>
            <w:tcMar>
              <w:top w:type="dxa" w:w="40"/>
              <w:left w:type="dxa" w:w="100"/>
              <w:bottom w:type="dxa" w:w="40"/>
              <w:right w:type="dxa" w:w="100"/>
            </w:tcMar>
          </w:tcPr>
          <w:p>
            <w:pPr>
              <w:spacing w:after="40"/>
            </w:pPr>
            <w:r>
              <w:rPr>
                <w:rFonts w:ascii="Calibri"/>
                <w:color w:val="1C1C1C"/>
                <w:sz w:val="20"/>
                <w:szCs w:val="20"/>
              </w:rPr>
              <w:t xml:space="preserve">7/10</w:t>
            </w:r>
          </w:p>
        </w:tc>
        <w:tc>
          <w:tcPr>
            <w:tcW w:type="pct" w:w="14%"/>
            <w:shd w:fill="F5F2E8" w:val="clear"/>
            <w:tcMar>
              <w:top w:type="dxa" w:w="40"/>
              <w:left w:type="dxa" w:w="100"/>
              <w:bottom w:type="dxa" w:w="40"/>
              <w:right w:type="dxa" w:w="100"/>
            </w:tcMar>
          </w:tcPr>
          <w:p>
            <w:pPr>
              <w:spacing w:after="40"/>
            </w:pPr>
            <w:r>
              <w:rPr>
                <w:rFonts w:ascii="Calibri"/>
                <w:color w:val="1C1C1C"/>
                <w:sz w:val="20"/>
                <w:szCs w:val="20"/>
              </w:rPr>
              <w:t xml:space="preserve">5/10</w:t>
            </w:r>
          </w:p>
        </w:tc>
      </w:tr>
      <w:tr>
        <w:trPr>
          <w:cantSplit/>
        </w:trPr>
        <w:tc>
          <w:tcPr>
            <w:tcW w:type="pct" w:w="14%"/>
            <w:shd w:fill="FFFFFF" w:val="clear"/>
            <w:tcMar>
              <w:top w:type="dxa" w:w="40"/>
              <w:left w:type="dxa" w:w="100"/>
              <w:bottom w:type="dxa" w:w="40"/>
              <w:right w:type="dxa" w:w="100"/>
            </w:tcMar>
          </w:tcPr>
          <w:p>
            <w:pPr>
              <w:spacing w:after="40"/>
            </w:pPr>
            <w:r>
              <w:rPr>
                <w:rFonts w:ascii="Calibri"/>
                <w:color w:val="1C1C1C"/>
                <w:sz w:val="20"/>
                <w:szCs w:val="20"/>
              </w:rPr>
              <w:t xml:space="preserve">Carry Trade</w:t>
            </w:r>
          </w:p>
        </w:tc>
        <w:tc>
          <w:tcPr>
            <w:tcW w:type="pct" w:w="14%"/>
            <w:shd w:fill="FFFFFF" w:val="clear"/>
            <w:tcMar>
              <w:top w:type="dxa" w:w="40"/>
              <w:left w:type="dxa" w:w="100"/>
              <w:bottom w:type="dxa" w:w="40"/>
              <w:right w:type="dxa" w:w="100"/>
            </w:tcMar>
          </w:tcPr>
          <w:p>
            <w:pPr>
              <w:spacing w:after="40"/>
            </w:pPr>
            <w:r>
              <w:rPr>
                <w:rFonts w:ascii="Calibri"/>
                <w:color w:val="1C1C1C"/>
                <w:sz w:val="20"/>
                <w:szCs w:val="20"/>
              </w:rPr>
              <w:t xml:space="preserve">Macro</w:t>
            </w:r>
          </w:p>
        </w:tc>
        <w:tc>
          <w:tcPr>
            <w:tcW w:type="pct" w:w="14%"/>
            <w:shd w:fill="FFFFFF" w:val="clear"/>
            <w:tcMar>
              <w:top w:type="dxa" w:w="40"/>
              <w:left w:type="dxa" w:w="100"/>
              <w:bottom w:type="dxa" w:w="40"/>
              <w:right w:type="dxa" w:w="100"/>
            </w:tcMar>
          </w:tcPr>
          <w:p>
            <w:pPr>
              <w:spacing w:after="40"/>
            </w:pPr>
            <w:r>
              <w:rPr>
                <w:rFonts w:ascii="Calibri"/>
                <w:color w:val="1C1C1C"/>
                <w:sz w:val="20"/>
                <w:szCs w:val="20"/>
              </w:rPr>
              <w:t xml:space="preserve">Media</w:t>
            </w:r>
          </w:p>
        </w:tc>
        <w:tc>
          <w:tcPr>
            <w:tcW w:type="pct" w:w="14%"/>
            <w:shd w:fill="FFFFFF" w:val="clear"/>
            <w:tcMar>
              <w:top w:type="dxa" w:w="40"/>
              <w:left w:type="dxa" w:w="100"/>
              <w:bottom w:type="dxa" w:w="40"/>
              <w:right w:type="dxa" w:w="100"/>
            </w:tcMar>
          </w:tcPr>
          <w:p>
            <w:pPr>
              <w:spacing w:after="40"/>
            </w:pPr>
            <w:r>
              <w:rPr>
                <w:rFonts w:ascii="Calibri"/>
                <w:color w:val="1C1C1C"/>
                <w:sz w:val="20"/>
                <w:szCs w:val="20"/>
              </w:rPr>
              <w:t xml:space="preserve">8/10</w:t>
            </w:r>
          </w:p>
        </w:tc>
        <w:tc>
          <w:tcPr>
            <w:tcW w:type="pct" w:w="14%"/>
            <w:shd w:fill="FFFFFF" w:val="clear"/>
            <w:tcMar>
              <w:top w:type="dxa" w:w="40"/>
              <w:left w:type="dxa" w:w="100"/>
              <w:bottom w:type="dxa" w:w="40"/>
              <w:right w:type="dxa" w:w="100"/>
            </w:tcMar>
          </w:tcPr>
          <w:p>
            <w:pPr>
              <w:spacing w:after="40"/>
            </w:pPr>
            <w:r>
              <w:rPr>
                <w:rFonts w:ascii="Calibri"/>
                <w:color w:val="1C1C1C"/>
                <w:sz w:val="20"/>
                <w:szCs w:val="20"/>
              </w:rPr>
              <w:t xml:space="preserve">2/10</w:t>
            </w:r>
          </w:p>
        </w:tc>
        <w:tc>
          <w:tcPr>
            <w:tcW w:type="pct" w:w="14%"/>
            <w:shd w:fill="FFFFFF" w:val="clear"/>
            <w:tcMar>
              <w:top w:type="dxa" w:w="40"/>
              <w:left w:type="dxa" w:w="100"/>
              <w:bottom w:type="dxa" w:w="40"/>
              <w:right w:type="dxa" w:w="100"/>
            </w:tcMar>
          </w:tcPr>
          <w:p>
            <w:pPr>
              <w:spacing w:after="40"/>
            </w:pPr>
            <w:r>
              <w:rPr>
                <w:rFonts w:ascii="Calibri"/>
                <w:color w:val="1C1C1C"/>
                <w:sz w:val="20"/>
                <w:szCs w:val="20"/>
              </w:rPr>
              <w:t xml:space="preserve">6/10</w:t>
            </w:r>
          </w:p>
        </w:tc>
        <w:tc>
          <w:tcPr>
            <w:tcW w:type="pct" w:w="14%"/>
            <w:shd w:fill="FFFFFF" w:val="clear"/>
            <w:tcMar>
              <w:top w:type="dxa" w:w="40"/>
              <w:left w:type="dxa" w:w="100"/>
              <w:bottom w:type="dxa" w:w="40"/>
              <w:right w:type="dxa" w:w="100"/>
            </w:tcMar>
          </w:tcPr>
          <w:p>
            <w:pPr>
              <w:spacing w:after="40"/>
            </w:pPr>
            <w:r>
              <w:rPr>
                <w:rFonts w:ascii="Calibri"/>
                <w:color w:val="1C1C1C"/>
                <w:sz w:val="20"/>
                <w:szCs w:val="20"/>
              </w:rPr>
              <w:t xml:space="preserve">9/10</w:t>
            </w:r>
          </w:p>
        </w:tc>
      </w:tr>
      <w:tr>
        <w:trPr>
          <w:cantSplit/>
        </w:trPr>
        <w:tc>
          <w:tcPr>
            <w:tcW w:type="pct" w:w="14%"/>
            <w:shd w:fill="F5F2E8" w:val="clear"/>
            <w:tcMar>
              <w:top w:type="dxa" w:w="40"/>
              <w:left w:type="dxa" w:w="100"/>
              <w:bottom w:type="dxa" w:w="40"/>
              <w:right w:type="dxa" w:w="100"/>
            </w:tcMar>
          </w:tcPr>
          <w:p>
            <w:pPr>
              <w:spacing w:after="40"/>
            </w:pPr>
            <w:r>
              <w:rPr>
                <w:rFonts w:ascii="Calibri"/>
                <w:color w:val="1C1C1C"/>
                <w:sz w:val="20"/>
                <w:szCs w:val="20"/>
              </w:rPr>
              <w:t xml:space="preserve">Pairs Trading (Cointegracao)</w:t>
            </w:r>
          </w:p>
        </w:tc>
        <w:tc>
          <w:tcPr>
            <w:tcW w:type="pct" w:w="14%"/>
            <w:shd w:fill="F5F2E8" w:val="clear"/>
            <w:tcMar>
              <w:top w:type="dxa" w:w="40"/>
              <w:left w:type="dxa" w:w="100"/>
              <w:bottom w:type="dxa" w:w="40"/>
              <w:right w:type="dxa" w:w="100"/>
            </w:tcMar>
          </w:tcPr>
          <w:p>
            <w:pPr>
              <w:spacing w:after="40"/>
            </w:pPr>
            <w:r>
              <w:rPr>
                <w:rFonts w:ascii="Calibri"/>
                <w:color w:val="1C1C1C"/>
                <w:sz w:val="20"/>
                <w:szCs w:val="20"/>
              </w:rPr>
              <w:t xml:space="preserve">Stat.</w:t>
            </w:r>
          </w:p>
        </w:tc>
        <w:tc>
          <w:tcPr>
            <w:tcW w:type="pct" w:w="14%"/>
            <w:shd w:fill="F5F2E8" w:val="clear"/>
            <w:tcMar>
              <w:top w:type="dxa" w:w="40"/>
              <w:left w:type="dxa" w:w="100"/>
              <w:bottom w:type="dxa" w:w="40"/>
              <w:right w:type="dxa" w:w="100"/>
            </w:tcMar>
          </w:tcPr>
          <w:p>
            <w:pPr>
              <w:spacing w:after="40"/>
            </w:pPr>
            <w:r>
              <w:rPr>
                <w:rFonts w:ascii="Calibri"/>
                <w:color w:val="1C1C1C"/>
                <w:sz w:val="20"/>
                <w:szCs w:val="20"/>
              </w:rPr>
              <w:t xml:space="preserve">Alta</w:t>
            </w:r>
          </w:p>
        </w:tc>
        <w:tc>
          <w:tcPr>
            <w:tcW w:type="pct" w:w="14%"/>
            <w:shd w:fill="F5F2E8" w:val="clear"/>
            <w:tcMar>
              <w:top w:type="dxa" w:w="40"/>
              <w:left w:type="dxa" w:w="100"/>
              <w:bottom w:type="dxa" w:w="40"/>
              <w:right w:type="dxa" w:w="100"/>
            </w:tcMar>
          </w:tcPr>
          <w:p>
            <w:pPr>
              <w:spacing w:after="40"/>
            </w:pPr>
            <w:r>
              <w:rPr>
                <w:rFonts w:ascii="Calibri"/>
                <w:color w:val="1C1C1C"/>
                <w:sz w:val="20"/>
                <w:szCs w:val="20"/>
              </w:rPr>
              <w:t xml:space="preserve">6/10</w:t>
            </w:r>
          </w:p>
        </w:tc>
        <w:tc>
          <w:tcPr>
            <w:tcW w:type="pct" w:w="14%"/>
            <w:shd w:fill="F5F2E8" w:val="clear"/>
            <w:tcMar>
              <w:top w:type="dxa" w:w="40"/>
              <w:left w:type="dxa" w:w="100"/>
              <w:bottom w:type="dxa" w:w="40"/>
              <w:right w:type="dxa" w:w="100"/>
            </w:tcMar>
          </w:tcPr>
          <w:p>
            <w:pPr>
              <w:spacing w:after="40"/>
            </w:pPr>
            <w:r>
              <w:rPr>
                <w:rFonts w:ascii="Calibri"/>
                <w:color w:val="1C1C1C"/>
                <w:sz w:val="20"/>
                <w:szCs w:val="20"/>
              </w:rPr>
              <w:t xml:space="preserve">8/10</w:t>
            </w:r>
          </w:p>
        </w:tc>
        <w:tc>
          <w:tcPr>
            <w:tcW w:type="pct" w:w="14%"/>
            <w:shd w:fill="F5F2E8" w:val="clear"/>
            <w:tcMar>
              <w:top w:type="dxa" w:w="40"/>
              <w:left w:type="dxa" w:w="100"/>
              <w:bottom w:type="dxa" w:w="40"/>
              <w:right w:type="dxa" w:w="100"/>
            </w:tcMar>
          </w:tcPr>
          <w:p>
            <w:pPr>
              <w:spacing w:after="40"/>
            </w:pPr>
            <w:r>
              <w:rPr>
                <w:rFonts w:ascii="Calibri"/>
                <w:color w:val="1C1C1C"/>
                <w:sz w:val="20"/>
                <w:szCs w:val="20"/>
              </w:rPr>
              <w:t xml:space="preserve">5/10</w:t>
            </w:r>
          </w:p>
        </w:tc>
        <w:tc>
          <w:tcPr>
            <w:tcW w:type="pct" w:w="14%"/>
            <w:shd w:fill="F5F2E8" w:val="clear"/>
            <w:tcMar>
              <w:top w:type="dxa" w:w="40"/>
              <w:left w:type="dxa" w:w="100"/>
              <w:bottom w:type="dxa" w:w="40"/>
              <w:right w:type="dxa" w:w="100"/>
            </w:tcMar>
          </w:tcPr>
          <w:p>
            <w:pPr>
              <w:spacing w:after="40"/>
            </w:pPr>
            <w:r>
              <w:rPr>
                <w:rFonts w:ascii="Calibri"/>
                <w:color w:val="1C1C1C"/>
                <w:sz w:val="20"/>
                <w:szCs w:val="20"/>
              </w:rPr>
              <w:t xml:space="preserve">6/10</w:t>
            </w:r>
          </w:p>
        </w:tc>
      </w:tr>
      <w:tr>
        <w:trPr>
          <w:cantSplit/>
        </w:trPr>
        <w:tc>
          <w:tcPr>
            <w:tcW w:type="pct" w:w="14%"/>
            <w:shd w:fill="FFFFFF" w:val="clear"/>
            <w:tcMar>
              <w:top w:type="dxa" w:w="40"/>
              <w:left w:type="dxa" w:w="100"/>
              <w:bottom w:type="dxa" w:w="40"/>
              <w:right w:type="dxa" w:w="100"/>
            </w:tcMar>
          </w:tcPr>
          <w:p>
            <w:pPr>
              <w:spacing w:after="40"/>
            </w:pPr>
            <w:r>
              <w:rPr>
                <w:rFonts w:ascii="Calibri"/>
                <w:color w:val="1C1C1C"/>
                <w:sz w:val="20"/>
                <w:szCs w:val="20"/>
              </w:rPr>
              <w:t xml:space="preserve">London Open Breakout</w:t>
            </w:r>
          </w:p>
        </w:tc>
        <w:tc>
          <w:tcPr>
            <w:tcW w:type="pct" w:w="14%"/>
            <w:shd w:fill="FFFFFF" w:val="clear"/>
            <w:tcMar>
              <w:top w:type="dxa" w:w="40"/>
              <w:left w:type="dxa" w:w="100"/>
              <w:bottom w:type="dxa" w:w="40"/>
              <w:right w:type="dxa" w:w="100"/>
            </w:tcMar>
          </w:tcPr>
          <w:p>
            <w:pPr>
              <w:spacing w:after="40"/>
            </w:pPr>
            <w:r>
              <w:rPr>
                <w:rFonts w:ascii="Calibri"/>
                <w:color w:val="1C1C1C"/>
                <w:sz w:val="20"/>
                <w:szCs w:val="20"/>
              </w:rPr>
              <w:t xml:space="preserve">Breakout</w:t>
            </w:r>
          </w:p>
        </w:tc>
        <w:tc>
          <w:tcPr>
            <w:tcW w:type="pct" w:w="14%"/>
            <w:shd w:fill="FFFFFF" w:val="clear"/>
            <w:tcMar>
              <w:top w:type="dxa" w:w="40"/>
              <w:left w:type="dxa" w:w="100"/>
              <w:bottom w:type="dxa" w:w="40"/>
              <w:right w:type="dxa" w:w="100"/>
            </w:tcMar>
          </w:tcPr>
          <w:p>
            <w:pPr>
              <w:spacing w:after="40"/>
            </w:pPr>
            <w:r>
              <w:rPr>
                <w:rFonts w:ascii="Calibri"/>
                <w:color w:val="1C1C1C"/>
                <w:sz w:val="20"/>
                <w:szCs w:val="20"/>
              </w:rPr>
              <w:t xml:space="preserve">Baixa</w:t>
            </w:r>
          </w:p>
        </w:tc>
        <w:tc>
          <w:tcPr>
            <w:tcW w:type="pct" w:w="14%"/>
            <w:shd w:fill="FFFFFF" w:val="clear"/>
            <w:tcMar>
              <w:top w:type="dxa" w:w="40"/>
              <w:left w:type="dxa" w:w="100"/>
              <w:bottom w:type="dxa" w:w="40"/>
              <w:right w:type="dxa" w:w="100"/>
            </w:tcMar>
          </w:tcPr>
          <w:p>
            <w:pPr>
              <w:spacing w:after="40"/>
            </w:pPr>
            <w:r>
              <w:rPr>
                <w:rFonts w:ascii="Calibri"/>
                <w:color w:val="1C1C1C"/>
                <w:sz w:val="20"/>
                <w:szCs w:val="20"/>
              </w:rPr>
              <w:t xml:space="preserve">9/10</w:t>
            </w:r>
          </w:p>
        </w:tc>
        <w:tc>
          <w:tcPr>
            <w:tcW w:type="pct" w:w="14%"/>
            <w:shd w:fill="FFFFFF" w:val="clear"/>
            <w:tcMar>
              <w:top w:type="dxa" w:w="40"/>
              <w:left w:type="dxa" w:w="100"/>
              <w:bottom w:type="dxa" w:w="40"/>
              <w:right w:type="dxa" w:w="100"/>
            </w:tcMar>
          </w:tcPr>
          <w:p>
            <w:pPr>
              <w:spacing w:after="40"/>
            </w:pPr>
            <w:r>
              <w:rPr>
                <w:rFonts w:ascii="Calibri"/>
                <w:color w:val="1C1C1C"/>
                <w:sz w:val="20"/>
                <w:szCs w:val="20"/>
              </w:rPr>
              <w:t xml:space="preserve">5/10</w:t>
            </w:r>
          </w:p>
        </w:tc>
        <w:tc>
          <w:tcPr>
            <w:tcW w:type="pct" w:w="14%"/>
            <w:shd w:fill="FFFFFF" w:val="clear"/>
            <w:tcMar>
              <w:top w:type="dxa" w:w="40"/>
              <w:left w:type="dxa" w:w="100"/>
              <w:bottom w:type="dxa" w:w="40"/>
              <w:right w:type="dxa" w:w="100"/>
            </w:tcMar>
          </w:tcPr>
          <w:p>
            <w:pPr>
              <w:spacing w:after="40"/>
            </w:pPr>
            <w:r>
              <w:rPr>
                <w:rFonts w:ascii="Calibri"/>
                <w:color w:val="1C1C1C"/>
                <w:sz w:val="20"/>
                <w:szCs w:val="20"/>
              </w:rPr>
              <w:t xml:space="preserve">8/10</w:t>
            </w:r>
          </w:p>
        </w:tc>
        <w:tc>
          <w:tcPr>
            <w:tcW w:type="pct" w:w="14%"/>
            <w:shd w:fill="FFFFFF" w:val="clear"/>
            <w:tcMar>
              <w:top w:type="dxa" w:w="40"/>
              <w:left w:type="dxa" w:w="100"/>
              <w:bottom w:type="dxa" w:w="40"/>
              <w:right w:type="dxa" w:w="100"/>
            </w:tcMar>
          </w:tcPr>
          <w:p>
            <w:pPr>
              <w:spacing w:after="40"/>
            </w:pPr>
            <w:r>
              <w:rPr>
                <w:rFonts w:ascii="Calibri"/>
                <w:color w:val="1C1C1C"/>
                <w:sz w:val="20"/>
                <w:szCs w:val="20"/>
              </w:rPr>
              <w:t xml:space="preserve">5/10</w:t>
            </w:r>
          </w:p>
        </w:tc>
      </w:tr>
      <w:tr>
        <w:trPr>
          <w:cantSplit/>
        </w:trPr>
        <w:tc>
          <w:tcPr>
            <w:tcW w:type="pct" w:w="14%"/>
            <w:shd w:fill="F5F2E8" w:val="clear"/>
            <w:tcMar>
              <w:top w:type="dxa" w:w="40"/>
              <w:left w:type="dxa" w:w="100"/>
              <w:bottom w:type="dxa" w:w="40"/>
              <w:right w:type="dxa" w:w="100"/>
            </w:tcMar>
          </w:tcPr>
          <w:p>
            <w:pPr>
              <w:spacing w:after="40"/>
            </w:pPr>
            <w:r>
              <w:rPr>
                <w:rFonts w:ascii="Calibri"/>
                <w:color w:val="1C1C1C"/>
                <w:sz w:val="20"/>
                <w:szCs w:val="20"/>
              </w:rPr>
              <w:t xml:space="preserve">Regime-Switching Trend</w:t>
            </w:r>
          </w:p>
        </w:tc>
        <w:tc>
          <w:tcPr>
            <w:tcW w:type="pct" w:w="14%"/>
            <w:shd w:fill="F5F2E8" w:val="clear"/>
            <w:tcMar>
              <w:top w:type="dxa" w:w="40"/>
              <w:left w:type="dxa" w:w="100"/>
              <w:bottom w:type="dxa" w:w="40"/>
              <w:right w:type="dxa" w:w="100"/>
            </w:tcMar>
          </w:tcPr>
          <w:p>
            <w:pPr>
              <w:spacing w:after="40"/>
            </w:pPr>
            <w:r>
              <w:rPr>
                <w:rFonts w:ascii="Calibri"/>
                <w:color w:val="1C1C1C"/>
                <w:sz w:val="20"/>
                <w:szCs w:val="20"/>
              </w:rPr>
              <w:t xml:space="preserve">Trend</w:t>
            </w:r>
          </w:p>
        </w:tc>
        <w:tc>
          <w:tcPr>
            <w:tcW w:type="pct" w:w="14%"/>
            <w:shd w:fill="F5F2E8" w:val="clear"/>
            <w:tcMar>
              <w:top w:type="dxa" w:w="40"/>
              <w:left w:type="dxa" w:w="100"/>
              <w:bottom w:type="dxa" w:w="40"/>
              <w:right w:type="dxa" w:w="100"/>
            </w:tcMar>
          </w:tcPr>
          <w:p>
            <w:pPr>
              <w:spacing w:after="40"/>
            </w:pPr>
            <w:r>
              <w:rPr>
                <w:rFonts w:ascii="Calibri"/>
                <w:color w:val="1C1C1C"/>
                <w:sz w:val="20"/>
                <w:szCs w:val="20"/>
              </w:rPr>
              <w:t xml:space="preserve">Alta</w:t>
            </w:r>
          </w:p>
        </w:tc>
        <w:tc>
          <w:tcPr>
            <w:tcW w:type="pct" w:w="14%"/>
            <w:shd w:fill="F5F2E8" w:val="clear"/>
            <w:tcMar>
              <w:top w:type="dxa" w:w="40"/>
              <w:left w:type="dxa" w:w="100"/>
              <w:bottom w:type="dxa" w:w="40"/>
              <w:right w:type="dxa" w:w="100"/>
            </w:tcMar>
          </w:tcPr>
          <w:p>
            <w:pPr>
              <w:spacing w:after="40"/>
            </w:pPr>
            <w:r>
              <w:rPr>
                <w:rFonts w:ascii="Calibri"/>
                <w:color w:val="1C1C1C"/>
                <w:sz w:val="20"/>
                <w:szCs w:val="20"/>
              </w:rPr>
              <w:t xml:space="preserve">7/10</w:t>
            </w:r>
          </w:p>
        </w:tc>
        <w:tc>
          <w:tcPr>
            <w:tcW w:type="pct" w:w="14%"/>
            <w:shd w:fill="F5F2E8" w:val="clear"/>
            <w:tcMar>
              <w:top w:type="dxa" w:w="40"/>
              <w:left w:type="dxa" w:w="100"/>
              <w:bottom w:type="dxa" w:w="40"/>
              <w:right w:type="dxa" w:w="100"/>
            </w:tcMar>
          </w:tcPr>
          <w:p>
            <w:pPr>
              <w:spacing w:after="40"/>
            </w:pPr>
            <w:r>
              <w:rPr>
                <w:rFonts w:ascii="Calibri"/>
                <w:color w:val="1C1C1C"/>
                <w:sz w:val="20"/>
                <w:szCs w:val="20"/>
              </w:rPr>
              <w:t xml:space="preserve">5/10</w:t>
            </w:r>
          </w:p>
        </w:tc>
        <w:tc>
          <w:tcPr>
            <w:tcW w:type="pct" w:w="14%"/>
            <w:shd w:fill="F5F2E8" w:val="clear"/>
            <w:tcMar>
              <w:top w:type="dxa" w:w="40"/>
              <w:left w:type="dxa" w:w="100"/>
              <w:bottom w:type="dxa" w:w="40"/>
              <w:right w:type="dxa" w:w="100"/>
            </w:tcMar>
          </w:tcPr>
          <w:p>
            <w:pPr>
              <w:spacing w:after="40"/>
            </w:pPr>
            <w:r>
              <w:rPr>
                <w:rFonts w:ascii="Calibri"/>
                <w:color w:val="1C1C1C"/>
                <w:sz w:val="20"/>
                <w:szCs w:val="20"/>
              </w:rPr>
              <w:t xml:space="preserve">6/10</w:t>
            </w:r>
          </w:p>
        </w:tc>
        <w:tc>
          <w:tcPr>
            <w:tcW w:type="pct" w:w="14%"/>
            <w:shd w:fill="F5F2E8" w:val="clear"/>
            <w:tcMar>
              <w:top w:type="dxa" w:w="40"/>
              <w:left w:type="dxa" w:w="100"/>
              <w:bottom w:type="dxa" w:w="40"/>
              <w:right w:type="dxa" w:w="100"/>
            </w:tcMar>
          </w:tcPr>
          <w:p>
            <w:pPr>
              <w:spacing w:after="40"/>
            </w:pPr>
            <w:r>
              <w:rPr>
                <w:rFonts w:ascii="Calibri"/>
                <w:color w:val="1C1C1C"/>
                <w:sz w:val="20"/>
                <w:szCs w:val="20"/>
              </w:rPr>
              <w:t xml:space="preserve">5/10</w:t>
            </w:r>
          </w:p>
        </w:tc>
      </w:tr>
      <w:tr>
        <w:trPr>
          <w:cantSplit/>
        </w:trPr>
        <w:tc>
          <w:tcPr>
            <w:tcW w:type="pct" w:w="14%"/>
            <w:shd w:fill="FFFFFF" w:val="clear"/>
            <w:tcMar>
              <w:top w:type="dxa" w:w="40"/>
              <w:left w:type="dxa" w:w="100"/>
              <w:bottom w:type="dxa" w:w="40"/>
              <w:right w:type="dxa" w:w="100"/>
            </w:tcMar>
          </w:tcPr>
          <w:p>
            <w:pPr>
              <w:spacing w:after="40"/>
            </w:pPr>
            <w:r>
              <w:rPr>
                <w:rFonts w:ascii="Calibri"/>
                <w:color w:val="1C1C1C"/>
                <w:sz w:val="20"/>
                <w:szCs w:val="20"/>
              </w:rPr>
              <w:t xml:space="preserve">Multi-Timeframe Momentum</w:t>
            </w:r>
          </w:p>
        </w:tc>
        <w:tc>
          <w:tcPr>
            <w:tcW w:type="pct" w:w="14%"/>
            <w:shd w:fill="FFFFFF" w:val="clear"/>
            <w:tcMar>
              <w:top w:type="dxa" w:w="40"/>
              <w:left w:type="dxa" w:w="100"/>
              <w:bottom w:type="dxa" w:w="40"/>
              <w:right w:type="dxa" w:w="100"/>
            </w:tcMar>
          </w:tcPr>
          <w:p>
            <w:pPr>
              <w:spacing w:after="40"/>
            </w:pPr>
            <w:r>
              <w:rPr>
                <w:rFonts w:ascii="Calibri"/>
                <w:color w:val="1C1C1C"/>
                <w:sz w:val="20"/>
                <w:szCs w:val="20"/>
              </w:rPr>
              <w:t xml:space="preserve">Momentum</w:t>
            </w:r>
          </w:p>
        </w:tc>
        <w:tc>
          <w:tcPr>
            <w:tcW w:type="pct" w:w="14%"/>
            <w:shd w:fill="FFFFFF" w:val="clear"/>
            <w:tcMar>
              <w:top w:type="dxa" w:w="40"/>
              <w:left w:type="dxa" w:w="100"/>
              <w:bottom w:type="dxa" w:w="40"/>
              <w:right w:type="dxa" w:w="100"/>
            </w:tcMar>
          </w:tcPr>
          <w:p>
            <w:pPr>
              <w:spacing w:after="40"/>
            </w:pPr>
            <w:r>
              <w:rPr>
                <w:rFonts w:ascii="Calibri"/>
                <w:color w:val="1C1C1C"/>
                <w:sz w:val="20"/>
                <w:szCs w:val="20"/>
              </w:rPr>
              <w:t xml:space="preserve">Media</w:t>
            </w:r>
          </w:p>
        </w:tc>
        <w:tc>
          <w:tcPr>
            <w:tcW w:type="pct" w:w="14%"/>
            <w:shd w:fill="FFFFFF" w:val="clear"/>
            <w:tcMar>
              <w:top w:type="dxa" w:w="40"/>
              <w:left w:type="dxa" w:w="100"/>
              <w:bottom w:type="dxa" w:w="40"/>
              <w:right w:type="dxa" w:w="100"/>
            </w:tcMar>
          </w:tcPr>
          <w:p>
            <w:pPr>
              <w:spacing w:after="40"/>
            </w:pPr>
            <w:r>
              <w:rPr>
                <w:rFonts w:ascii="Calibri"/>
                <w:color w:val="1C1C1C"/>
                <w:sz w:val="20"/>
                <w:szCs w:val="20"/>
              </w:rPr>
              <w:t xml:space="preserve">8/10</w:t>
            </w:r>
          </w:p>
        </w:tc>
        <w:tc>
          <w:tcPr>
            <w:tcW w:type="pct" w:w="14%"/>
            <w:shd w:fill="FFFFFF" w:val="clear"/>
            <w:tcMar>
              <w:top w:type="dxa" w:w="40"/>
              <w:left w:type="dxa" w:w="100"/>
              <w:bottom w:type="dxa" w:w="40"/>
              <w:right w:type="dxa" w:w="100"/>
            </w:tcMar>
          </w:tcPr>
          <w:p>
            <w:pPr>
              <w:spacing w:after="40"/>
            </w:pPr>
            <w:r>
              <w:rPr>
                <w:rFonts w:ascii="Calibri"/>
                <w:color w:val="1C1C1C"/>
                <w:sz w:val="20"/>
                <w:szCs w:val="20"/>
              </w:rPr>
              <w:t xml:space="preserve">4/10</w:t>
            </w:r>
          </w:p>
        </w:tc>
        <w:tc>
          <w:tcPr>
            <w:tcW w:type="pct" w:w="14%"/>
            <w:shd w:fill="FFFFFF" w:val="clear"/>
            <w:tcMar>
              <w:top w:type="dxa" w:w="40"/>
              <w:left w:type="dxa" w:w="100"/>
              <w:bottom w:type="dxa" w:w="40"/>
              <w:right w:type="dxa" w:w="100"/>
            </w:tcMar>
          </w:tcPr>
          <w:p>
            <w:pPr>
              <w:spacing w:after="40"/>
            </w:pPr>
            <w:r>
              <w:rPr>
                <w:rFonts w:ascii="Calibri"/>
                <w:color w:val="1C1C1C"/>
                <w:sz w:val="20"/>
                <w:szCs w:val="20"/>
              </w:rPr>
              <w:t xml:space="preserve">7/10</w:t>
            </w:r>
          </w:p>
        </w:tc>
        <w:tc>
          <w:tcPr>
            <w:tcW w:type="pct" w:w="14%"/>
            <w:shd w:fill="FFFFFF" w:val="clear"/>
            <w:tcMar>
              <w:top w:type="dxa" w:w="40"/>
              <w:left w:type="dxa" w:w="100"/>
              <w:bottom w:type="dxa" w:w="40"/>
              <w:right w:type="dxa" w:w="100"/>
            </w:tcMar>
          </w:tcPr>
          <w:p>
            <w:pPr>
              <w:spacing w:after="40"/>
            </w:pPr>
            <w:r>
              <w:rPr>
                <w:rFonts w:ascii="Calibri"/>
                <w:color w:val="1C1C1C"/>
                <w:sz w:val="20"/>
                <w:szCs w:val="20"/>
              </w:rPr>
              <w:t xml:space="preserve">5/10</w:t>
            </w:r>
          </w:p>
        </w:tc>
      </w:tr>
    </w:tbl>
    <w:p>
      <w:pPr>
        <w:spacing w:after="60"/>
      </w:pPr>
    </w:p>
    <w:p>
      <w:pPr>
        <w:pStyle w:val="Heading1"/>
        <w:spacing w:after="200" w:before="480" w:line="312"/>
      </w:pPr>
      <w:bookmarkStart w:id="100073" w:name="_Toc100073"/>
      <w:r>
        <w:rPr>
          <w:rFonts w:ascii="Times New Roman"/>
          <w:b/>
          <w:bCs/>
          <w:color w:val="1A1A1A"/>
          <w:sz w:val="32"/>
          <w:szCs w:val="32"/>
        </w:rPr>
        <w:t xml:space="preserve">PARTE 5 - Estrategias Prioritarias</w:t>
      </w:r>
      <w:bookmarkEnd w:id="100073"/>
    </w:p>
    <w:p>
      <w:pPr>
        <w:pStyle w:val="Heading2"/>
        <w:spacing w:after="160" w:before="360" w:line="312"/>
      </w:pPr>
      <w:bookmarkStart w:id="100074" w:name="_Toc100074"/>
      <w:r>
        <w:rPr>
          <w:rFonts w:ascii="Times New Roman"/>
          <w:b/>
          <w:bCs/>
          <w:color w:val="1A1A1A"/>
          <w:sz w:val="28"/>
          <w:szCs w:val="28"/>
        </w:rPr>
        <w:t xml:space="preserve">17. Banco de Ideias e Priorizacao</w:t>
      </w:r>
      <w:bookmarkEnd w:id="100074"/>
    </w:p>
    <w:p>
      <w:pPr>
        <w:spacing w:after="120" w:line="312"/>
        <w:jc w:val="both"/>
      </w:pPr>
      <w:r>
        <w:rPr>
          <w:rFonts w:ascii="Times New Roman"/>
          <w:color w:val="1C1C1C"/>
          <w:sz w:val="22"/>
          <w:szCs w:val="22"/>
        </w:rPr>
        <w:t xml:space="preserve">A priorizacao das estrategias segue os criterios definidos pelo usuario: simplicidade, logica economica/estatistica, robustez, quantidade de dados disponivel, facilidade de reproducao, e resistencia a custos de operacao. O objetivo nao e selecionar as estrategias com maior rentabilidade reportada, mas sim aquelas com maior probabilidade de apresentar desempenho consistente apos custos e fora da amostra.</w:t>
      </w:r>
    </w:p>
    <w:p>
      <w:pPr>
        <w:keepNext/>
        <w:spacing w:after="80"/>
      </w:pPr>
      <w:r>
        <w:rPr>
          <w:rFonts w:ascii="Times New Roman"/>
          <w:b/>
          <w:bCs/>
          <w:i/>
          <w:iCs/>
          <w:color w:val="555555"/>
          <w:sz w:val="20"/>
          <w:szCs w:val="20"/>
        </w:rPr>
        <w:t xml:space="preserve">Tabela 8: Banco de ideias com priorizacao</w:t>
      </w:r>
    </w:p>
    <w:tbl>
      <w:tblPr>
        <w:tblW w:type="pct" w:w="100%"/>
        <w:tblBorders>
          <w:top w:val="single" w:color="C9A84C" w:sz="2"/>
          <w:left w:val="none"/>
          <w:bottom w:val="single" w:color="C9A84C" w:sz="2"/>
          <w:right w:val="none"/>
          <w:insideH w:val="single" w:color="DDD5C0" w:sz="1"/>
          <w:insideV w:val="none"/>
        </w:tblBorders>
      </w:tblPr>
      <w:tblGrid>
        <w:gridCol w:w="100"/>
        <w:gridCol w:w="100"/>
        <w:gridCol w:w="100"/>
        <w:gridCol w:w="100"/>
        <w:gridCol w:w="100"/>
        <w:gridCol w:w="100"/>
        <w:gridCol w:w="100"/>
      </w:tblGrid>
      <w:tr>
        <w:trPr>
          <w:cantSplit/>
          <w:tblHeader/>
        </w:trPr>
        <w:tc>
          <w:tcPr>
            <w:tcW w:type="pct" w:w="14%"/>
            <w:shd w:fill="C9A84C" w:val="clear"/>
            <w:tcMar>
              <w:top w:type="dxa" w:w="50"/>
              <w:left w:type="dxa" w:w="100"/>
              <w:bottom w:type="dxa" w:w="50"/>
              <w:right w:type="dxa" w:w="100"/>
            </w:tcMar>
          </w:tcPr>
          <w:p>
            <w:pPr>
              <w:jc w:val="center"/>
            </w:pPr>
            <w:r>
              <w:rPr>
                <w:rFonts w:ascii="Calibri"/>
                <w:b/>
                <w:bCs/>
                <w:color w:val="1A1A1A"/>
                <w:sz w:val="20"/>
                <w:szCs w:val="20"/>
              </w:rPr>
              <w:t xml:space="preserve"># Estrategia</w:t>
            </w:r>
          </w:p>
        </w:tc>
        <w:tc>
          <w:tcPr>
            <w:tcW w:type="pct" w:w="14%"/>
            <w:shd w:fill="C9A84C" w:val="clear"/>
            <w:tcMar>
              <w:top w:type="dxa" w:w="50"/>
              <w:left w:type="dxa" w:w="100"/>
              <w:bottom w:type="dxa" w:w="50"/>
              <w:right w:type="dxa" w:w="100"/>
            </w:tcMar>
          </w:tcPr>
          <w:p>
            <w:pPr>
              <w:jc w:val="center"/>
            </w:pPr>
            <w:r>
              <w:rPr>
                <w:rFonts w:ascii="Calibri"/>
                <w:b/>
                <w:bCs/>
                <w:color w:val="1A1A1A"/>
                <w:sz w:val="20"/>
                <w:szCs w:val="20"/>
              </w:rPr>
              <w:t xml:space="preserve">Hipotese</w:t>
            </w:r>
          </w:p>
        </w:tc>
        <w:tc>
          <w:tcPr>
            <w:tcW w:type="pct" w:w="14%"/>
            <w:shd w:fill="C9A84C" w:val="clear"/>
            <w:tcMar>
              <w:top w:type="dxa" w:w="50"/>
              <w:left w:type="dxa" w:w="100"/>
              <w:bottom w:type="dxa" w:w="50"/>
              <w:right w:type="dxa" w:w="100"/>
            </w:tcMar>
          </w:tcPr>
          <w:p>
            <w:pPr>
              <w:jc w:val="center"/>
            </w:pPr>
            <w:r>
              <w:rPr>
                <w:rFonts w:ascii="Calibri"/>
                <w:b/>
                <w:bCs/>
                <w:color w:val="1A1A1A"/>
                <w:sz w:val="20"/>
                <w:szCs w:val="20"/>
              </w:rPr>
              <w:t xml:space="preserve">Mercado Ideal</w:t>
            </w:r>
          </w:p>
        </w:tc>
        <w:tc>
          <w:tcPr>
            <w:tcW w:type="pct" w:w="14%"/>
            <w:shd w:fill="C9A84C" w:val="clear"/>
            <w:tcMar>
              <w:top w:type="dxa" w:w="50"/>
              <w:left w:type="dxa" w:w="100"/>
              <w:bottom w:type="dxa" w:w="50"/>
              <w:right w:type="dxa" w:w="100"/>
            </w:tcMar>
          </w:tcPr>
          <w:p>
            <w:pPr>
              <w:jc w:val="center"/>
            </w:pPr>
            <w:r>
              <w:rPr>
                <w:rFonts w:ascii="Calibri"/>
                <w:b/>
                <w:bCs/>
                <w:color w:val="1A1A1A"/>
                <w:sz w:val="20"/>
                <w:szCs w:val="20"/>
              </w:rPr>
              <w:t xml:space="preserve">TF</w:t>
            </w:r>
          </w:p>
        </w:tc>
        <w:tc>
          <w:tcPr>
            <w:tcW w:type="pct" w:w="14%"/>
            <w:shd w:fill="C9A84C" w:val="clear"/>
            <w:tcMar>
              <w:top w:type="dxa" w:w="50"/>
              <w:left w:type="dxa" w:w="100"/>
              <w:bottom w:type="dxa" w:w="50"/>
              <w:right w:type="dxa" w:w="100"/>
            </w:tcMar>
          </w:tcPr>
          <w:p>
            <w:pPr>
              <w:jc w:val="center"/>
            </w:pPr>
            <w:r>
              <w:rPr>
                <w:rFonts w:ascii="Calibri"/>
                <w:b/>
                <w:bCs/>
                <w:color w:val="1A1A1A"/>
                <w:sz w:val="20"/>
                <w:szCs w:val="20"/>
              </w:rPr>
              <w:t xml:space="preserve">Complexidade</w:t>
            </w:r>
          </w:p>
        </w:tc>
        <w:tc>
          <w:tcPr>
            <w:tcW w:type="pct" w:w="14%"/>
            <w:shd w:fill="C9A84C" w:val="clear"/>
            <w:tcMar>
              <w:top w:type="dxa" w:w="50"/>
              <w:left w:type="dxa" w:w="100"/>
              <w:bottom w:type="dxa" w:w="50"/>
              <w:right w:type="dxa" w:w="100"/>
            </w:tcMar>
          </w:tcPr>
          <w:p>
            <w:pPr>
              <w:jc w:val="center"/>
            </w:pPr>
            <w:r>
              <w:rPr>
                <w:rFonts w:ascii="Calibri"/>
                <w:b/>
                <w:bCs/>
                <w:color w:val="1A1A1A"/>
                <w:sz w:val="20"/>
                <w:szCs w:val="20"/>
              </w:rPr>
              <w:t xml:space="preserve">Evidencia</w:t>
            </w:r>
          </w:p>
        </w:tc>
        <w:tc>
          <w:tcPr>
            <w:tcW w:type="pct" w:w="14%"/>
            <w:shd w:fill="C9A84C" w:val="clear"/>
            <w:tcMar>
              <w:top w:type="dxa" w:w="50"/>
              <w:left w:type="dxa" w:w="100"/>
              <w:bottom w:type="dxa" w:w="50"/>
              <w:right w:type="dxa" w:w="100"/>
            </w:tcMar>
          </w:tcPr>
          <w:p>
            <w:pPr>
              <w:jc w:val="center"/>
            </w:pPr>
            <w:r>
              <w:rPr>
                <w:rFonts w:ascii="Calibri"/>
                <w:b/>
                <w:bCs/>
                <w:color w:val="1A1A1A"/>
                <w:sz w:val="20"/>
                <w:szCs w:val="20"/>
              </w:rPr>
              <w:t xml:space="preserve">Prioridade</w:t>
            </w:r>
          </w:p>
        </w:tc>
      </w:tr>
      <w:tr>
        <w:trPr>
          <w:cantSplit/>
        </w:trPr>
        <w:tc>
          <w:tcPr>
            <w:tcW w:type="pct" w:w="14%"/>
            <w:shd w:fill="F5F2E8" w:val="clear"/>
            <w:tcMar>
              <w:top w:type="dxa" w:w="40"/>
              <w:left w:type="dxa" w:w="100"/>
              <w:bottom w:type="dxa" w:w="40"/>
              <w:right w:type="dxa" w:w="100"/>
            </w:tcMar>
          </w:tcPr>
          <w:p>
            <w:pPr>
              <w:spacing w:after="40"/>
            </w:pPr>
            <w:r>
              <w:rPr>
                <w:rFonts w:ascii="Calibri"/>
                <w:color w:val="1C1C1C"/>
                <w:sz w:val="20"/>
                <w:szCs w:val="20"/>
              </w:rPr>
              <w:t xml:space="preserve">1. Trend Following</w:t>
            </w:r>
          </w:p>
        </w:tc>
        <w:tc>
          <w:tcPr>
            <w:tcW w:type="pct" w:w="14%"/>
            <w:shd w:fill="F5F2E8" w:val="clear"/>
            <w:tcMar>
              <w:top w:type="dxa" w:w="40"/>
              <w:left w:type="dxa" w:w="100"/>
              <w:bottom w:type="dxa" w:w="40"/>
              <w:right w:type="dxa" w:w="100"/>
            </w:tcMar>
          </w:tcPr>
          <w:p>
            <w:pPr>
              <w:spacing w:after="40"/>
            </w:pPr>
            <w:r>
              <w:rPr>
                <w:rFonts w:ascii="Calibri"/>
                <w:color w:val="1C1C1C"/>
                <w:sz w:val="20"/>
                <w:szCs w:val="20"/>
              </w:rPr>
              <w:t xml:space="preserve">Persistencia de tendencia em series temporais</w:t>
            </w:r>
          </w:p>
        </w:tc>
        <w:tc>
          <w:tcPr>
            <w:tcW w:type="pct" w:w="14%"/>
            <w:shd w:fill="F5F2E8" w:val="clear"/>
            <w:tcMar>
              <w:top w:type="dxa" w:w="40"/>
              <w:left w:type="dxa" w:w="100"/>
              <w:bottom w:type="dxa" w:w="40"/>
              <w:right w:type="dxa" w:w="100"/>
            </w:tcMar>
          </w:tcPr>
          <w:p>
            <w:pPr>
              <w:spacing w:after="40"/>
            </w:pPr>
            <w:r>
              <w:rPr>
                <w:rFonts w:ascii="Calibri"/>
                <w:color w:val="1C1C1C"/>
                <w:sz w:val="20"/>
                <w:szCs w:val="20"/>
              </w:rPr>
              <w:t xml:space="preserve">Trending</w:t>
            </w:r>
          </w:p>
        </w:tc>
        <w:tc>
          <w:tcPr>
            <w:tcW w:type="pct" w:w="14%"/>
            <w:shd w:fill="F5F2E8" w:val="clear"/>
            <w:tcMar>
              <w:top w:type="dxa" w:w="40"/>
              <w:left w:type="dxa" w:w="100"/>
              <w:bottom w:type="dxa" w:w="40"/>
              <w:right w:type="dxa" w:w="100"/>
            </w:tcMar>
          </w:tcPr>
          <w:p>
            <w:pPr>
              <w:spacing w:after="40"/>
            </w:pPr>
            <w:r>
              <w:rPr>
                <w:rFonts w:ascii="Calibri"/>
                <w:color w:val="1C1C1C"/>
                <w:sz w:val="20"/>
                <w:szCs w:val="20"/>
              </w:rPr>
              <w:t xml:space="preserve">H1/Daily</w:t>
            </w:r>
          </w:p>
        </w:tc>
        <w:tc>
          <w:tcPr>
            <w:tcW w:type="pct" w:w="14%"/>
            <w:shd w:fill="F5F2E8" w:val="clear"/>
            <w:tcMar>
              <w:top w:type="dxa" w:w="40"/>
              <w:left w:type="dxa" w:w="100"/>
              <w:bottom w:type="dxa" w:w="40"/>
              <w:right w:type="dxa" w:w="100"/>
            </w:tcMar>
          </w:tcPr>
          <w:p>
            <w:pPr>
              <w:spacing w:after="40"/>
            </w:pPr>
            <w:r>
              <w:rPr>
                <w:rFonts w:ascii="Calibri"/>
                <w:color w:val="1C1C1C"/>
                <w:sz w:val="20"/>
                <w:szCs w:val="20"/>
              </w:rPr>
              <w:t xml:space="preserve">Baixa</w:t>
            </w:r>
          </w:p>
        </w:tc>
        <w:tc>
          <w:tcPr>
            <w:tcW w:type="pct" w:w="14%"/>
            <w:shd w:fill="F5F2E8" w:val="clear"/>
            <w:tcMar>
              <w:top w:type="dxa" w:w="40"/>
              <w:left w:type="dxa" w:w="100"/>
              <w:bottom w:type="dxa" w:w="40"/>
              <w:right w:type="dxa" w:w="100"/>
            </w:tcMar>
          </w:tcPr>
          <w:p>
            <w:pPr>
              <w:spacing w:after="40"/>
            </w:pPr>
            <w:r>
              <w:rPr>
                <w:rFonts w:ascii="Calibri"/>
                <w:color w:val="1C1C1C"/>
                <w:sz w:val="20"/>
                <w:szCs w:val="20"/>
              </w:rPr>
              <w:t xml:space="preserve">Alta</w:t>
            </w:r>
          </w:p>
        </w:tc>
        <w:tc>
          <w:tcPr>
            <w:tcW w:type="pct" w:w="14%"/>
            <w:shd w:fill="F5F2E8" w:val="clear"/>
            <w:tcMar>
              <w:top w:type="dxa" w:w="40"/>
              <w:left w:type="dxa" w:w="100"/>
              <w:bottom w:type="dxa" w:w="40"/>
              <w:right w:type="dxa" w:w="100"/>
            </w:tcMar>
          </w:tcPr>
          <w:p>
            <w:pPr>
              <w:spacing w:after="40"/>
            </w:pPr>
            <w:r>
              <w:rPr>
                <w:rFonts w:ascii="Calibri"/>
                <w:color w:val="1C1C1C"/>
                <w:sz w:val="20"/>
                <w:szCs w:val="20"/>
              </w:rPr>
              <w:t xml:space="preserve">PRIORIDADE 1</w:t>
            </w:r>
          </w:p>
        </w:tc>
      </w:tr>
      <w:tr>
        <w:trPr>
          <w:cantSplit/>
        </w:trPr>
        <w:tc>
          <w:tcPr>
            <w:tcW w:type="pct" w:w="14%"/>
            <w:shd w:fill="FFFFFF" w:val="clear"/>
            <w:tcMar>
              <w:top w:type="dxa" w:w="40"/>
              <w:left w:type="dxa" w:w="100"/>
              <w:bottom w:type="dxa" w:w="40"/>
              <w:right w:type="dxa" w:w="100"/>
            </w:tcMar>
          </w:tcPr>
          <w:p>
            <w:pPr>
              <w:spacing w:after="40"/>
            </w:pPr>
            <w:r>
              <w:rPr>
                <w:rFonts w:ascii="Calibri"/>
                <w:color w:val="1C1C1C"/>
                <w:sz w:val="20"/>
                <w:szCs w:val="20"/>
              </w:rPr>
              <w:t xml:space="preserve">2. Time-Series Momentum</w:t>
            </w:r>
          </w:p>
        </w:tc>
        <w:tc>
          <w:tcPr>
            <w:tcW w:type="pct" w:w="14%"/>
            <w:shd w:fill="FFFFFF" w:val="clear"/>
            <w:tcMar>
              <w:top w:type="dxa" w:w="40"/>
              <w:left w:type="dxa" w:w="100"/>
              <w:bottom w:type="dxa" w:w="40"/>
              <w:right w:type="dxa" w:w="100"/>
            </w:tcMar>
          </w:tcPr>
          <w:p>
            <w:pPr>
              <w:spacing w:after="40"/>
            </w:pPr>
            <w:r>
              <w:rPr>
                <w:rFonts w:ascii="Calibri"/>
                <w:color w:val="1C1C1C"/>
                <w:sz w:val="20"/>
                <w:szCs w:val="20"/>
              </w:rPr>
              <w:t xml:space="preserve">Retornos passados preveem futuros (3-12m)</w:t>
            </w:r>
          </w:p>
        </w:tc>
        <w:tc>
          <w:tcPr>
            <w:tcW w:type="pct" w:w="14%"/>
            <w:shd w:fill="FFFFFF" w:val="clear"/>
            <w:tcMar>
              <w:top w:type="dxa" w:w="40"/>
              <w:left w:type="dxa" w:w="100"/>
              <w:bottom w:type="dxa" w:w="40"/>
              <w:right w:type="dxa" w:w="100"/>
            </w:tcMar>
          </w:tcPr>
          <w:p>
            <w:pPr>
              <w:spacing w:after="40"/>
            </w:pPr>
            <w:r>
              <w:rPr>
                <w:rFonts w:ascii="Calibri"/>
                <w:color w:val="1C1C1C"/>
                <w:sz w:val="20"/>
                <w:szCs w:val="20"/>
              </w:rPr>
              <w:t xml:space="preserve">Trending</w:t>
            </w:r>
          </w:p>
        </w:tc>
        <w:tc>
          <w:tcPr>
            <w:tcW w:type="pct" w:w="14%"/>
            <w:shd w:fill="FFFFFF" w:val="clear"/>
            <w:tcMar>
              <w:top w:type="dxa" w:w="40"/>
              <w:left w:type="dxa" w:w="100"/>
              <w:bottom w:type="dxa" w:w="40"/>
              <w:right w:type="dxa" w:w="100"/>
            </w:tcMar>
          </w:tcPr>
          <w:p>
            <w:pPr>
              <w:spacing w:after="40"/>
            </w:pPr>
            <w:r>
              <w:rPr>
                <w:rFonts w:ascii="Calibri"/>
                <w:color w:val="1C1C1C"/>
                <w:sz w:val="20"/>
                <w:szCs w:val="20"/>
              </w:rPr>
              <w:t xml:space="preserve">Daily</w:t>
            </w:r>
          </w:p>
        </w:tc>
        <w:tc>
          <w:tcPr>
            <w:tcW w:type="pct" w:w="14%"/>
            <w:shd w:fill="FFFFFF" w:val="clear"/>
            <w:tcMar>
              <w:top w:type="dxa" w:w="40"/>
              <w:left w:type="dxa" w:w="100"/>
              <w:bottom w:type="dxa" w:w="40"/>
              <w:right w:type="dxa" w:w="100"/>
            </w:tcMar>
          </w:tcPr>
          <w:p>
            <w:pPr>
              <w:spacing w:after="40"/>
            </w:pPr>
            <w:r>
              <w:rPr>
                <w:rFonts w:ascii="Calibri"/>
                <w:color w:val="1C1C1C"/>
                <w:sz w:val="20"/>
                <w:szCs w:val="20"/>
              </w:rPr>
              <w:t xml:space="preserve">Baixa</w:t>
            </w:r>
          </w:p>
        </w:tc>
        <w:tc>
          <w:tcPr>
            <w:tcW w:type="pct" w:w="14%"/>
            <w:shd w:fill="FFFFFF" w:val="clear"/>
            <w:tcMar>
              <w:top w:type="dxa" w:w="40"/>
              <w:left w:type="dxa" w:w="100"/>
              <w:bottom w:type="dxa" w:w="40"/>
              <w:right w:type="dxa" w:w="100"/>
            </w:tcMar>
          </w:tcPr>
          <w:p>
            <w:pPr>
              <w:spacing w:after="40"/>
            </w:pPr>
            <w:r>
              <w:rPr>
                <w:rFonts w:ascii="Calibri"/>
                <w:color w:val="1C1C1C"/>
                <w:sz w:val="20"/>
                <w:szCs w:val="20"/>
              </w:rPr>
              <w:t xml:space="preserve">Muito alta</w:t>
            </w:r>
          </w:p>
        </w:tc>
        <w:tc>
          <w:tcPr>
            <w:tcW w:type="pct" w:w="14%"/>
            <w:shd w:fill="FFFFFF" w:val="clear"/>
            <w:tcMar>
              <w:top w:type="dxa" w:w="40"/>
              <w:left w:type="dxa" w:w="100"/>
              <w:bottom w:type="dxa" w:w="40"/>
              <w:right w:type="dxa" w:w="100"/>
            </w:tcMar>
          </w:tcPr>
          <w:p>
            <w:pPr>
              <w:spacing w:after="40"/>
            </w:pPr>
            <w:r>
              <w:rPr>
                <w:rFonts w:ascii="Calibri"/>
                <w:color w:val="1C1C1C"/>
                <w:sz w:val="20"/>
                <w:szCs w:val="20"/>
              </w:rPr>
              <w:t xml:space="preserve">PRIORIDADE 1</w:t>
            </w:r>
          </w:p>
        </w:tc>
      </w:tr>
      <w:tr>
        <w:trPr>
          <w:cantSplit/>
        </w:trPr>
        <w:tc>
          <w:tcPr>
            <w:tcW w:type="pct" w:w="14%"/>
            <w:shd w:fill="F5F2E8" w:val="clear"/>
            <w:tcMar>
              <w:top w:type="dxa" w:w="40"/>
              <w:left w:type="dxa" w:w="100"/>
              <w:bottom w:type="dxa" w:w="40"/>
              <w:right w:type="dxa" w:w="100"/>
            </w:tcMar>
          </w:tcPr>
          <w:p>
            <w:pPr>
              <w:spacing w:after="40"/>
            </w:pPr>
            <w:r>
              <w:rPr>
                <w:rFonts w:ascii="Calibri"/>
                <w:color w:val="1C1C1C"/>
                <w:sz w:val="20"/>
                <w:szCs w:val="20"/>
              </w:rPr>
              <w:t xml:space="preserve">3. Volatility Breakout</w:t>
            </w:r>
          </w:p>
        </w:tc>
        <w:tc>
          <w:tcPr>
            <w:tcW w:type="pct" w:w="14%"/>
            <w:shd w:fill="F5F2E8" w:val="clear"/>
            <w:tcMar>
              <w:top w:type="dxa" w:w="40"/>
              <w:left w:type="dxa" w:w="100"/>
              <w:bottom w:type="dxa" w:w="40"/>
              <w:right w:type="dxa" w:w="100"/>
            </w:tcMar>
          </w:tcPr>
          <w:p>
            <w:pPr>
              <w:spacing w:after="40"/>
            </w:pPr>
            <w:r>
              <w:rPr>
                <w:rFonts w:ascii="Calibri"/>
                <w:color w:val="1C1C1C"/>
                <w:sz w:val="20"/>
                <w:szCs w:val="20"/>
              </w:rPr>
              <w:t xml:space="preserve">Contracao de vol precede expansao</w:t>
            </w:r>
          </w:p>
        </w:tc>
        <w:tc>
          <w:tcPr>
            <w:tcW w:type="pct" w:w="14%"/>
            <w:shd w:fill="F5F2E8" w:val="clear"/>
            <w:tcMar>
              <w:top w:type="dxa" w:w="40"/>
              <w:left w:type="dxa" w:w="100"/>
              <w:bottom w:type="dxa" w:w="40"/>
              <w:right w:type="dxa" w:w="100"/>
            </w:tcMar>
          </w:tcPr>
          <w:p>
            <w:pPr>
              <w:spacing w:after="40"/>
            </w:pPr>
            <w:r>
              <w:rPr>
                <w:rFonts w:ascii="Calibri"/>
                <w:color w:val="1C1C1C"/>
                <w:sz w:val="20"/>
                <w:szCs w:val="20"/>
              </w:rPr>
              <w:t xml:space="preserve">Vol expansion</w:t>
            </w:r>
          </w:p>
        </w:tc>
        <w:tc>
          <w:tcPr>
            <w:tcW w:type="pct" w:w="14%"/>
            <w:shd w:fill="F5F2E8" w:val="clear"/>
            <w:tcMar>
              <w:top w:type="dxa" w:w="40"/>
              <w:left w:type="dxa" w:w="100"/>
              <w:bottom w:type="dxa" w:w="40"/>
              <w:right w:type="dxa" w:w="100"/>
            </w:tcMar>
          </w:tcPr>
          <w:p>
            <w:pPr>
              <w:spacing w:after="40"/>
            </w:pPr>
            <w:r>
              <w:rPr>
                <w:rFonts w:ascii="Calibri"/>
                <w:color w:val="1C1C1C"/>
                <w:sz w:val="20"/>
                <w:szCs w:val="20"/>
              </w:rPr>
              <w:t xml:space="preserve">H1/H4</w:t>
            </w:r>
          </w:p>
        </w:tc>
        <w:tc>
          <w:tcPr>
            <w:tcW w:type="pct" w:w="14%"/>
            <w:shd w:fill="F5F2E8" w:val="clear"/>
            <w:tcMar>
              <w:top w:type="dxa" w:w="40"/>
              <w:left w:type="dxa" w:w="100"/>
              <w:bottom w:type="dxa" w:w="40"/>
              <w:right w:type="dxa" w:w="100"/>
            </w:tcMar>
          </w:tcPr>
          <w:p>
            <w:pPr>
              <w:spacing w:after="40"/>
            </w:pPr>
            <w:r>
              <w:rPr>
                <w:rFonts w:ascii="Calibri"/>
                <w:color w:val="1C1C1C"/>
                <w:sz w:val="20"/>
                <w:szCs w:val="20"/>
              </w:rPr>
              <w:t xml:space="preserve">Baixa</w:t>
            </w:r>
          </w:p>
        </w:tc>
        <w:tc>
          <w:tcPr>
            <w:tcW w:type="pct" w:w="14%"/>
            <w:shd w:fill="F5F2E8" w:val="clear"/>
            <w:tcMar>
              <w:top w:type="dxa" w:w="40"/>
              <w:left w:type="dxa" w:w="100"/>
              <w:bottom w:type="dxa" w:w="40"/>
              <w:right w:type="dxa" w:w="100"/>
            </w:tcMar>
          </w:tcPr>
          <w:p>
            <w:pPr>
              <w:spacing w:after="40"/>
            </w:pPr>
            <w:r>
              <w:rPr>
                <w:rFonts w:ascii="Calibri"/>
                <w:color w:val="1C1C1C"/>
                <w:sz w:val="20"/>
                <w:szCs w:val="20"/>
              </w:rPr>
              <w:t xml:space="preserve">Alta</w:t>
            </w:r>
          </w:p>
        </w:tc>
        <w:tc>
          <w:tcPr>
            <w:tcW w:type="pct" w:w="14%"/>
            <w:shd w:fill="F5F2E8" w:val="clear"/>
            <w:tcMar>
              <w:top w:type="dxa" w:w="40"/>
              <w:left w:type="dxa" w:w="100"/>
              <w:bottom w:type="dxa" w:w="40"/>
              <w:right w:type="dxa" w:w="100"/>
            </w:tcMar>
          </w:tcPr>
          <w:p>
            <w:pPr>
              <w:spacing w:after="40"/>
            </w:pPr>
            <w:r>
              <w:rPr>
                <w:rFonts w:ascii="Calibri"/>
                <w:color w:val="1C1C1C"/>
                <w:sz w:val="20"/>
                <w:szCs w:val="20"/>
              </w:rPr>
              <w:t xml:space="preserve">PRIORIDADE 2</w:t>
            </w:r>
          </w:p>
        </w:tc>
      </w:tr>
      <w:tr>
        <w:trPr>
          <w:cantSplit/>
        </w:trPr>
        <w:tc>
          <w:tcPr>
            <w:tcW w:type="pct" w:w="14%"/>
            <w:shd w:fill="FFFFFF" w:val="clear"/>
            <w:tcMar>
              <w:top w:type="dxa" w:w="40"/>
              <w:left w:type="dxa" w:w="100"/>
              <w:bottom w:type="dxa" w:w="40"/>
              <w:right w:type="dxa" w:w="100"/>
            </w:tcMar>
          </w:tcPr>
          <w:p>
            <w:pPr>
              <w:spacing w:after="40"/>
            </w:pPr>
            <w:r>
              <w:rPr>
                <w:rFonts w:ascii="Calibri"/>
                <w:color w:val="1C1C1C"/>
                <w:sz w:val="20"/>
                <w:szCs w:val="20"/>
              </w:rPr>
              <w:t xml:space="preserve">4. Asian Range Breakout</w:t>
            </w:r>
          </w:p>
        </w:tc>
        <w:tc>
          <w:tcPr>
            <w:tcW w:type="pct" w:w="14%"/>
            <w:shd w:fill="FFFFFF" w:val="clear"/>
            <w:tcMar>
              <w:top w:type="dxa" w:w="40"/>
              <w:left w:type="dxa" w:w="100"/>
              <w:bottom w:type="dxa" w:w="40"/>
              <w:right w:type="dxa" w:w="100"/>
            </w:tcMar>
          </w:tcPr>
          <w:p>
            <w:pPr>
              <w:spacing w:after="40"/>
            </w:pPr>
            <w:r>
              <w:rPr>
                <w:rFonts w:ascii="Calibri"/>
                <w:color w:val="1C1C1C"/>
                <w:sz w:val="20"/>
                <w:szCs w:val="20"/>
              </w:rPr>
              <w:t xml:space="preserve">Range asiatico + London open gera direcao</w:t>
            </w:r>
          </w:p>
        </w:tc>
        <w:tc>
          <w:tcPr>
            <w:tcW w:type="pct" w:w="14%"/>
            <w:shd w:fill="FFFFFF" w:val="clear"/>
            <w:tcMar>
              <w:top w:type="dxa" w:w="40"/>
              <w:left w:type="dxa" w:w="100"/>
              <w:bottom w:type="dxa" w:w="40"/>
              <w:right w:type="dxa" w:w="100"/>
            </w:tcMar>
          </w:tcPr>
          <w:p>
            <w:pPr>
              <w:spacing w:after="40"/>
            </w:pPr>
            <w:r>
              <w:rPr>
                <w:rFonts w:ascii="Calibri"/>
                <w:color w:val="1C1C1C"/>
                <w:sz w:val="20"/>
                <w:szCs w:val="20"/>
              </w:rPr>
              <w:t xml:space="preserve">Session-based</w:t>
            </w:r>
          </w:p>
        </w:tc>
        <w:tc>
          <w:tcPr>
            <w:tcW w:type="pct" w:w="14%"/>
            <w:shd w:fill="FFFFFF" w:val="clear"/>
            <w:tcMar>
              <w:top w:type="dxa" w:w="40"/>
              <w:left w:type="dxa" w:w="100"/>
              <w:bottom w:type="dxa" w:w="40"/>
              <w:right w:type="dxa" w:w="100"/>
            </w:tcMar>
          </w:tcPr>
          <w:p>
            <w:pPr>
              <w:spacing w:after="40"/>
            </w:pPr>
            <w:r>
              <w:rPr>
                <w:rFonts w:ascii="Calibri"/>
                <w:color w:val="1C1C1C"/>
                <w:sz w:val="20"/>
                <w:szCs w:val="20"/>
              </w:rPr>
              <w:t xml:space="preserve">M15/H1</w:t>
            </w:r>
          </w:p>
        </w:tc>
        <w:tc>
          <w:tcPr>
            <w:tcW w:type="pct" w:w="14%"/>
            <w:shd w:fill="FFFFFF" w:val="clear"/>
            <w:tcMar>
              <w:top w:type="dxa" w:w="40"/>
              <w:left w:type="dxa" w:w="100"/>
              <w:bottom w:type="dxa" w:w="40"/>
              <w:right w:type="dxa" w:w="100"/>
            </w:tcMar>
          </w:tcPr>
          <w:p>
            <w:pPr>
              <w:spacing w:after="40"/>
            </w:pPr>
            <w:r>
              <w:rPr>
                <w:rFonts w:ascii="Calibri"/>
                <w:color w:val="1C1C1C"/>
                <w:sz w:val="20"/>
                <w:szCs w:val="20"/>
              </w:rPr>
              <w:t xml:space="preserve">Media</w:t>
            </w:r>
          </w:p>
        </w:tc>
        <w:tc>
          <w:tcPr>
            <w:tcW w:type="pct" w:w="14%"/>
            <w:shd w:fill="FFFFFF" w:val="clear"/>
            <w:tcMar>
              <w:top w:type="dxa" w:w="40"/>
              <w:left w:type="dxa" w:w="100"/>
              <w:bottom w:type="dxa" w:w="40"/>
              <w:right w:type="dxa" w:w="100"/>
            </w:tcMar>
          </w:tcPr>
          <w:p>
            <w:pPr>
              <w:spacing w:after="40"/>
            </w:pPr>
            <w:r>
              <w:rPr>
                <w:rFonts w:ascii="Calibri"/>
                <w:color w:val="1C1C1C"/>
                <w:sz w:val="20"/>
                <w:szCs w:val="20"/>
              </w:rPr>
              <w:t xml:space="preserve">Moderada</w:t>
            </w:r>
          </w:p>
        </w:tc>
        <w:tc>
          <w:tcPr>
            <w:tcW w:type="pct" w:w="14%"/>
            <w:shd w:fill="FFFFFF" w:val="clear"/>
            <w:tcMar>
              <w:top w:type="dxa" w:w="40"/>
              <w:left w:type="dxa" w:w="100"/>
              <w:bottom w:type="dxa" w:w="40"/>
              <w:right w:type="dxa" w:w="100"/>
            </w:tcMar>
          </w:tcPr>
          <w:p>
            <w:pPr>
              <w:spacing w:after="40"/>
            </w:pPr>
            <w:r>
              <w:rPr>
                <w:rFonts w:ascii="Calibri"/>
                <w:color w:val="1C1C1C"/>
                <w:sz w:val="20"/>
                <w:szCs w:val="20"/>
              </w:rPr>
              <w:t xml:space="preserve">PRIORIDADE 2</w:t>
            </w:r>
          </w:p>
        </w:tc>
      </w:tr>
      <w:tr>
        <w:trPr>
          <w:cantSplit/>
        </w:trPr>
        <w:tc>
          <w:tcPr>
            <w:tcW w:type="pct" w:w="14%"/>
            <w:shd w:fill="F5F2E8" w:val="clear"/>
            <w:tcMar>
              <w:top w:type="dxa" w:w="40"/>
              <w:left w:type="dxa" w:w="100"/>
              <w:bottom w:type="dxa" w:w="40"/>
              <w:right w:type="dxa" w:w="100"/>
            </w:tcMar>
          </w:tcPr>
          <w:p>
            <w:pPr>
              <w:spacing w:after="40"/>
            </w:pPr>
            <w:r>
              <w:rPr>
                <w:rFonts w:ascii="Calibri"/>
                <w:color w:val="1C1C1C"/>
                <w:sz w:val="20"/>
                <w:szCs w:val="20"/>
              </w:rPr>
              <w:t xml:space="preserve">5. Carry Trade Simples</w:t>
            </w:r>
          </w:p>
        </w:tc>
        <w:tc>
          <w:tcPr>
            <w:tcW w:type="pct" w:w="14%"/>
            <w:shd w:fill="F5F2E8" w:val="clear"/>
            <w:tcMar>
              <w:top w:type="dxa" w:w="40"/>
              <w:left w:type="dxa" w:w="100"/>
              <w:bottom w:type="dxa" w:w="40"/>
              <w:right w:type="dxa" w:w="100"/>
            </w:tcMar>
          </w:tcPr>
          <w:p>
            <w:pPr>
              <w:spacing w:after="40"/>
            </w:pPr>
            <w:r>
              <w:rPr>
                <w:rFonts w:ascii="Calibri"/>
                <w:color w:val="1C1C1C"/>
                <w:sz w:val="20"/>
                <w:szCs w:val="20"/>
              </w:rPr>
              <w:t xml:space="preserve">Moedas de alta taxa apreciam</w:t>
            </w:r>
          </w:p>
        </w:tc>
        <w:tc>
          <w:tcPr>
            <w:tcW w:type="pct" w:w="14%"/>
            <w:shd w:fill="F5F2E8" w:val="clear"/>
            <w:tcMar>
              <w:top w:type="dxa" w:w="40"/>
              <w:left w:type="dxa" w:w="100"/>
              <w:bottom w:type="dxa" w:w="40"/>
              <w:right w:type="dxa" w:w="100"/>
            </w:tcMar>
          </w:tcPr>
          <w:p>
            <w:pPr>
              <w:spacing w:after="40"/>
            </w:pPr>
            <w:r>
              <w:rPr>
                <w:rFonts w:ascii="Calibri"/>
                <w:color w:val="1C1C1C"/>
                <w:sz w:val="20"/>
                <w:szCs w:val="20"/>
              </w:rPr>
              <w:t xml:space="preserve">High rate diff</w:t>
            </w:r>
          </w:p>
        </w:tc>
        <w:tc>
          <w:tcPr>
            <w:tcW w:type="pct" w:w="14%"/>
            <w:shd w:fill="F5F2E8" w:val="clear"/>
            <w:tcMar>
              <w:top w:type="dxa" w:w="40"/>
              <w:left w:type="dxa" w:w="100"/>
              <w:bottom w:type="dxa" w:w="40"/>
              <w:right w:type="dxa" w:w="100"/>
            </w:tcMar>
          </w:tcPr>
          <w:p>
            <w:pPr>
              <w:spacing w:after="40"/>
            </w:pPr>
            <w:r>
              <w:rPr>
                <w:rFonts w:ascii="Calibri"/>
                <w:color w:val="1C1C1C"/>
                <w:sz w:val="20"/>
                <w:szCs w:val="20"/>
              </w:rPr>
              <w:t xml:space="preserve">Daily/W1</w:t>
            </w:r>
          </w:p>
        </w:tc>
        <w:tc>
          <w:tcPr>
            <w:tcW w:type="pct" w:w="14%"/>
            <w:shd w:fill="F5F2E8" w:val="clear"/>
            <w:tcMar>
              <w:top w:type="dxa" w:w="40"/>
              <w:left w:type="dxa" w:w="100"/>
              <w:bottom w:type="dxa" w:w="40"/>
              <w:right w:type="dxa" w:w="100"/>
            </w:tcMar>
          </w:tcPr>
          <w:p>
            <w:pPr>
              <w:spacing w:after="40"/>
            </w:pPr>
            <w:r>
              <w:rPr>
                <w:rFonts w:ascii="Calibri"/>
                <w:color w:val="1C1C1C"/>
                <w:sz w:val="20"/>
                <w:szCs w:val="20"/>
              </w:rPr>
              <w:t xml:space="preserve">Media</w:t>
            </w:r>
          </w:p>
        </w:tc>
        <w:tc>
          <w:tcPr>
            <w:tcW w:type="pct" w:w="14%"/>
            <w:shd w:fill="F5F2E8" w:val="clear"/>
            <w:tcMar>
              <w:top w:type="dxa" w:w="40"/>
              <w:left w:type="dxa" w:w="100"/>
              <w:bottom w:type="dxa" w:w="40"/>
              <w:right w:type="dxa" w:w="100"/>
            </w:tcMar>
          </w:tcPr>
          <w:p>
            <w:pPr>
              <w:spacing w:after="40"/>
            </w:pPr>
            <w:r>
              <w:rPr>
                <w:rFonts w:ascii="Calibri"/>
                <w:color w:val="1C1C1C"/>
                <w:sz w:val="20"/>
                <w:szCs w:val="20"/>
              </w:rPr>
              <w:t xml:space="preserve">Muito alta</w:t>
            </w:r>
          </w:p>
        </w:tc>
        <w:tc>
          <w:tcPr>
            <w:tcW w:type="pct" w:w="14%"/>
            <w:shd w:fill="F5F2E8" w:val="clear"/>
            <w:tcMar>
              <w:top w:type="dxa" w:w="40"/>
              <w:left w:type="dxa" w:w="100"/>
              <w:bottom w:type="dxa" w:w="40"/>
              <w:right w:type="dxa" w:w="100"/>
            </w:tcMar>
          </w:tcPr>
          <w:p>
            <w:pPr>
              <w:spacing w:after="40"/>
            </w:pPr>
            <w:r>
              <w:rPr>
                <w:rFonts w:ascii="Calibri"/>
                <w:color w:val="1C1C1C"/>
                <w:sz w:val="20"/>
                <w:szCs w:val="20"/>
              </w:rPr>
              <w:t xml:space="preserve">PRIORIDADE 3</w:t>
            </w:r>
          </w:p>
        </w:tc>
      </w:tr>
      <w:tr>
        <w:trPr>
          <w:cantSplit/>
        </w:trPr>
        <w:tc>
          <w:tcPr>
            <w:tcW w:type="pct" w:w="14%"/>
            <w:shd w:fill="FFFFFF" w:val="clear"/>
            <w:tcMar>
              <w:top w:type="dxa" w:w="40"/>
              <w:left w:type="dxa" w:w="100"/>
              <w:bottom w:type="dxa" w:w="40"/>
              <w:right w:type="dxa" w:w="100"/>
            </w:tcMar>
          </w:tcPr>
          <w:p>
            <w:pPr>
              <w:spacing w:after="40"/>
            </w:pPr>
            <w:r>
              <w:rPr>
                <w:rFonts w:ascii="Calibri"/>
                <w:color w:val="1C1C1C"/>
                <w:sz w:val="20"/>
                <w:szCs w:val="20"/>
              </w:rPr>
              <w:t xml:space="preserve">6. Mean Reversion (BB+RSI)</w:t>
            </w:r>
          </w:p>
        </w:tc>
        <w:tc>
          <w:tcPr>
            <w:tcW w:type="pct" w:w="14%"/>
            <w:shd w:fill="FFFFFF" w:val="clear"/>
            <w:tcMar>
              <w:top w:type="dxa" w:w="40"/>
              <w:left w:type="dxa" w:w="100"/>
              <w:bottom w:type="dxa" w:w="40"/>
              <w:right w:type="dxa" w:w="100"/>
            </w:tcMar>
          </w:tcPr>
          <w:p>
            <w:pPr>
              <w:spacing w:after="40"/>
            </w:pPr>
            <w:r>
              <w:rPr>
                <w:rFonts w:ascii="Calibri"/>
                <w:color w:val="1C1C1C"/>
                <w:sz w:val="20"/>
                <w:szCs w:val="20"/>
              </w:rPr>
              <w:t xml:space="preserve">Precos revertem a media em mercados laterais</w:t>
            </w:r>
          </w:p>
        </w:tc>
        <w:tc>
          <w:tcPr>
            <w:tcW w:type="pct" w:w="14%"/>
            <w:shd w:fill="FFFFFF" w:val="clear"/>
            <w:tcMar>
              <w:top w:type="dxa" w:w="40"/>
              <w:left w:type="dxa" w:w="100"/>
              <w:bottom w:type="dxa" w:w="40"/>
              <w:right w:type="dxa" w:w="100"/>
            </w:tcMar>
          </w:tcPr>
          <w:p>
            <w:pPr>
              <w:spacing w:after="40"/>
            </w:pPr>
            <w:r>
              <w:rPr>
                <w:rFonts w:ascii="Calibri"/>
                <w:color w:val="1C1C1C"/>
                <w:sz w:val="20"/>
                <w:szCs w:val="20"/>
              </w:rPr>
              <w:t xml:space="preserve">Ranging</w:t>
            </w:r>
          </w:p>
        </w:tc>
        <w:tc>
          <w:tcPr>
            <w:tcW w:type="pct" w:w="14%"/>
            <w:shd w:fill="FFFFFF" w:val="clear"/>
            <w:tcMar>
              <w:top w:type="dxa" w:w="40"/>
              <w:left w:type="dxa" w:w="100"/>
              <w:bottom w:type="dxa" w:w="40"/>
              <w:right w:type="dxa" w:w="100"/>
            </w:tcMar>
          </w:tcPr>
          <w:p>
            <w:pPr>
              <w:spacing w:after="40"/>
            </w:pPr>
            <w:r>
              <w:rPr>
                <w:rFonts w:ascii="Calibri"/>
                <w:color w:val="1C1C1C"/>
                <w:sz w:val="20"/>
                <w:szCs w:val="20"/>
              </w:rPr>
              <w:t xml:space="preserve">H1/H4</w:t>
            </w:r>
          </w:p>
        </w:tc>
        <w:tc>
          <w:tcPr>
            <w:tcW w:type="pct" w:w="14%"/>
            <w:shd w:fill="FFFFFF" w:val="clear"/>
            <w:tcMar>
              <w:top w:type="dxa" w:w="40"/>
              <w:left w:type="dxa" w:w="100"/>
              <w:bottom w:type="dxa" w:w="40"/>
              <w:right w:type="dxa" w:w="100"/>
            </w:tcMar>
          </w:tcPr>
          <w:p>
            <w:pPr>
              <w:spacing w:after="40"/>
            </w:pPr>
            <w:r>
              <w:rPr>
                <w:rFonts w:ascii="Calibri"/>
                <w:color w:val="1C1C1C"/>
                <w:sz w:val="20"/>
                <w:szCs w:val="20"/>
              </w:rPr>
              <w:t xml:space="preserve">Media</w:t>
            </w:r>
          </w:p>
        </w:tc>
        <w:tc>
          <w:tcPr>
            <w:tcW w:type="pct" w:w="14%"/>
            <w:shd w:fill="FFFFFF" w:val="clear"/>
            <w:tcMar>
              <w:top w:type="dxa" w:w="40"/>
              <w:left w:type="dxa" w:w="100"/>
              <w:bottom w:type="dxa" w:w="40"/>
              <w:right w:type="dxa" w:w="100"/>
            </w:tcMar>
          </w:tcPr>
          <w:p>
            <w:pPr>
              <w:spacing w:after="40"/>
            </w:pPr>
            <w:r>
              <w:rPr>
                <w:rFonts w:ascii="Calibri"/>
                <w:color w:val="1C1C1C"/>
                <w:sz w:val="20"/>
                <w:szCs w:val="20"/>
              </w:rPr>
              <w:t xml:space="preserve">Moderada</w:t>
            </w:r>
          </w:p>
        </w:tc>
        <w:tc>
          <w:tcPr>
            <w:tcW w:type="pct" w:w="14%"/>
            <w:shd w:fill="FFFFFF" w:val="clear"/>
            <w:tcMar>
              <w:top w:type="dxa" w:w="40"/>
              <w:left w:type="dxa" w:w="100"/>
              <w:bottom w:type="dxa" w:w="40"/>
              <w:right w:type="dxa" w:w="100"/>
            </w:tcMar>
          </w:tcPr>
          <w:p>
            <w:pPr>
              <w:spacing w:after="40"/>
            </w:pPr>
            <w:r>
              <w:rPr>
                <w:rFonts w:ascii="Calibri"/>
                <w:color w:val="1C1C1C"/>
                <w:sz w:val="20"/>
                <w:szCs w:val="20"/>
              </w:rPr>
              <w:t xml:space="preserve">PRIORIDADE 3</w:t>
            </w:r>
          </w:p>
        </w:tc>
      </w:tr>
      <w:tr>
        <w:trPr>
          <w:cantSplit/>
        </w:trPr>
        <w:tc>
          <w:tcPr>
            <w:tcW w:type="pct" w:w="14%"/>
            <w:shd w:fill="F5F2E8" w:val="clear"/>
            <w:tcMar>
              <w:top w:type="dxa" w:w="40"/>
              <w:left w:type="dxa" w:w="100"/>
              <w:bottom w:type="dxa" w:w="40"/>
              <w:right w:type="dxa" w:w="100"/>
            </w:tcMar>
          </w:tcPr>
          <w:p>
            <w:pPr>
              <w:spacing w:after="40"/>
            </w:pPr>
            <w:r>
              <w:rPr>
                <w:rFonts w:ascii="Calibri"/>
                <w:color w:val="1C1C1C"/>
                <w:sz w:val="20"/>
                <w:szCs w:val="20"/>
              </w:rPr>
              <w:t xml:space="preserve">7. Regime-Filtered Trend</w:t>
            </w:r>
          </w:p>
        </w:tc>
        <w:tc>
          <w:tcPr>
            <w:tcW w:type="pct" w:w="14%"/>
            <w:shd w:fill="F5F2E8" w:val="clear"/>
            <w:tcMar>
              <w:top w:type="dxa" w:w="40"/>
              <w:left w:type="dxa" w:w="100"/>
              <w:bottom w:type="dxa" w:w="40"/>
              <w:right w:type="dxa" w:w="100"/>
            </w:tcMar>
          </w:tcPr>
          <w:p>
            <w:pPr>
              <w:spacing w:after="40"/>
            </w:pPr>
            <w:r>
              <w:rPr>
                <w:rFonts w:ascii="Calibri"/>
                <w:color w:val="1C1C1C"/>
                <w:sz w:val="20"/>
                <w:szCs w:val="20"/>
              </w:rPr>
              <w:t xml:space="preserve">Trend + filtro de regime (ADX/Hurst)</w:t>
            </w:r>
          </w:p>
        </w:tc>
        <w:tc>
          <w:tcPr>
            <w:tcW w:type="pct" w:w="14%"/>
            <w:shd w:fill="F5F2E8" w:val="clear"/>
            <w:tcMar>
              <w:top w:type="dxa" w:w="40"/>
              <w:left w:type="dxa" w:w="100"/>
              <w:bottom w:type="dxa" w:w="40"/>
              <w:right w:type="dxa" w:w="100"/>
            </w:tcMar>
          </w:tcPr>
          <w:p>
            <w:pPr>
              <w:spacing w:after="40"/>
            </w:pPr>
            <w:r>
              <w:rPr>
                <w:rFonts w:ascii="Calibri"/>
                <w:color w:val="1C1C1C"/>
                <w:sz w:val="20"/>
                <w:szCs w:val="20"/>
              </w:rPr>
              <w:t xml:space="preserve">Trending forte</w:t>
            </w:r>
          </w:p>
        </w:tc>
        <w:tc>
          <w:tcPr>
            <w:tcW w:type="pct" w:w="14%"/>
            <w:shd w:fill="F5F2E8" w:val="clear"/>
            <w:tcMar>
              <w:top w:type="dxa" w:w="40"/>
              <w:left w:type="dxa" w:w="100"/>
              <w:bottom w:type="dxa" w:w="40"/>
              <w:right w:type="dxa" w:w="100"/>
            </w:tcMar>
          </w:tcPr>
          <w:p>
            <w:pPr>
              <w:spacing w:after="40"/>
            </w:pPr>
            <w:r>
              <w:rPr>
                <w:rFonts w:ascii="Calibri"/>
                <w:color w:val="1C1C1C"/>
                <w:sz w:val="20"/>
                <w:szCs w:val="20"/>
              </w:rPr>
              <w:t xml:space="preserve">H4/Daily</w:t>
            </w:r>
          </w:p>
        </w:tc>
        <w:tc>
          <w:tcPr>
            <w:tcW w:type="pct" w:w="14%"/>
            <w:shd w:fill="F5F2E8" w:val="clear"/>
            <w:tcMar>
              <w:top w:type="dxa" w:w="40"/>
              <w:left w:type="dxa" w:w="100"/>
              <w:bottom w:type="dxa" w:w="40"/>
              <w:right w:type="dxa" w:w="100"/>
            </w:tcMar>
          </w:tcPr>
          <w:p>
            <w:pPr>
              <w:spacing w:after="40"/>
            </w:pPr>
            <w:r>
              <w:rPr>
                <w:rFonts w:ascii="Calibri"/>
                <w:color w:val="1C1C1C"/>
                <w:sz w:val="20"/>
                <w:szCs w:val="20"/>
              </w:rPr>
              <w:t xml:space="preserve">Alta</w:t>
            </w:r>
          </w:p>
        </w:tc>
        <w:tc>
          <w:tcPr>
            <w:tcW w:type="pct" w:w="14%"/>
            <w:shd w:fill="F5F2E8" w:val="clear"/>
            <w:tcMar>
              <w:top w:type="dxa" w:w="40"/>
              <w:left w:type="dxa" w:w="100"/>
              <w:bottom w:type="dxa" w:w="40"/>
              <w:right w:type="dxa" w:w="100"/>
            </w:tcMar>
          </w:tcPr>
          <w:p>
            <w:pPr>
              <w:spacing w:after="40"/>
            </w:pPr>
            <w:r>
              <w:rPr>
                <w:rFonts w:ascii="Calibri"/>
                <w:color w:val="1C1C1C"/>
                <w:sz w:val="20"/>
                <w:szCs w:val="20"/>
              </w:rPr>
              <w:t xml:space="preserve">Moderada</w:t>
            </w:r>
          </w:p>
        </w:tc>
        <w:tc>
          <w:tcPr>
            <w:tcW w:type="pct" w:w="14%"/>
            <w:shd w:fill="F5F2E8" w:val="clear"/>
            <w:tcMar>
              <w:top w:type="dxa" w:w="40"/>
              <w:left w:type="dxa" w:w="100"/>
              <w:bottom w:type="dxa" w:w="40"/>
              <w:right w:type="dxa" w:w="100"/>
            </w:tcMar>
          </w:tcPr>
          <w:p>
            <w:pPr>
              <w:spacing w:after="40"/>
            </w:pPr>
            <w:r>
              <w:rPr>
                <w:rFonts w:ascii="Calibri"/>
                <w:color w:val="1C1C1C"/>
                <w:sz w:val="20"/>
                <w:szCs w:val="20"/>
              </w:rPr>
              <w:t xml:space="preserve">PRIORIDADE 4</w:t>
            </w:r>
          </w:p>
        </w:tc>
      </w:tr>
      <w:tr>
        <w:trPr>
          <w:cantSplit/>
        </w:trPr>
        <w:tc>
          <w:tcPr>
            <w:tcW w:type="pct" w:w="14%"/>
            <w:shd w:fill="FFFFFF" w:val="clear"/>
            <w:tcMar>
              <w:top w:type="dxa" w:w="40"/>
              <w:left w:type="dxa" w:w="100"/>
              <w:bottom w:type="dxa" w:w="40"/>
              <w:right w:type="dxa" w:w="100"/>
            </w:tcMar>
          </w:tcPr>
          <w:p>
            <w:pPr>
              <w:spacing w:after="40"/>
            </w:pPr>
            <w:r>
              <w:rPr>
                <w:rFonts w:ascii="Calibri"/>
                <w:color w:val="1C1C1C"/>
                <w:sz w:val="20"/>
                <w:szCs w:val="20"/>
              </w:rPr>
              <w:t xml:space="preserve">8. Multi-TF Momentum</w:t>
            </w:r>
          </w:p>
        </w:tc>
        <w:tc>
          <w:tcPr>
            <w:tcW w:type="pct" w:w="14%"/>
            <w:shd w:fill="FFFFFF" w:val="clear"/>
            <w:tcMar>
              <w:top w:type="dxa" w:w="40"/>
              <w:left w:type="dxa" w:w="100"/>
              <w:bottom w:type="dxa" w:w="40"/>
              <w:right w:type="dxa" w:w="100"/>
            </w:tcMar>
          </w:tcPr>
          <w:p>
            <w:pPr>
              <w:spacing w:after="40"/>
            </w:pPr>
            <w:r>
              <w:rPr>
                <w:rFonts w:ascii="Calibri"/>
                <w:color w:val="1C1C1C"/>
                <w:sz w:val="20"/>
                <w:szCs w:val="20"/>
              </w:rPr>
              <w:t xml:space="preserve">Alinhamento de momentum em multiplos TF</w:t>
            </w:r>
          </w:p>
        </w:tc>
        <w:tc>
          <w:tcPr>
            <w:tcW w:type="pct" w:w="14%"/>
            <w:shd w:fill="FFFFFF" w:val="clear"/>
            <w:tcMar>
              <w:top w:type="dxa" w:w="40"/>
              <w:left w:type="dxa" w:w="100"/>
              <w:bottom w:type="dxa" w:w="40"/>
              <w:right w:type="dxa" w:w="100"/>
            </w:tcMar>
          </w:tcPr>
          <w:p>
            <w:pPr>
              <w:spacing w:after="40"/>
            </w:pPr>
            <w:r>
              <w:rPr>
                <w:rFonts w:ascii="Calibri"/>
                <w:color w:val="1C1C1C"/>
                <w:sz w:val="20"/>
                <w:szCs w:val="20"/>
              </w:rPr>
              <w:t xml:space="preserve">Multi-TF</w:t>
            </w:r>
          </w:p>
        </w:tc>
        <w:tc>
          <w:tcPr>
            <w:tcW w:type="pct" w:w="14%"/>
            <w:shd w:fill="FFFFFF" w:val="clear"/>
            <w:tcMar>
              <w:top w:type="dxa" w:w="40"/>
              <w:left w:type="dxa" w:w="100"/>
              <w:bottom w:type="dxa" w:w="40"/>
              <w:right w:type="dxa" w:w="100"/>
            </w:tcMar>
          </w:tcPr>
          <w:p>
            <w:pPr>
              <w:spacing w:after="40"/>
            </w:pPr>
            <w:r>
              <w:rPr>
                <w:rFonts w:ascii="Calibri"/>
                <w:color w:val="1C1C1C"/>
                <w:sz w:val="20"/>
                <w:szCs w:val="20"/>
              </w:rPr>
              <w:t xml:space="preserve">H1/H4</w:t>
            </w:r>
          </w:p>
        </w:tc>
        <w:tc>
          <w:tcPr>
            <w:tcW w:type="pct" w:w="14%"/>
            <w:shd w:fill="FFFFFF" w:val="clear"/>
            <w:tcMar>
              <w:top w:type="dxa" w:w="40"/>
              <w:left w:type="dxa" w:w="100"/>
              <w:bottom w:type="dxa" w:w="40"/>
              <w:right w:type="dxa" w:w="100"/>
            </w:tcMar>
          </w:tcPr>
          <w:p>
            <w:pPr>
              <w:spacing w:after="40"/>
            </w:pPr>
            <w:r>
              <w:rPr>
                <w:rFonts w:ascii="Calibri"/>
                <w:color w:val="1C1C1C"/>
                <w:sz w:val="20"/>
                <w:szCs w:val="20"/>
              </w:rPr>
              <w:t xml:space="preserve">Media</w:t>
            </w:r>
          </w:p>
        </w:tc>
        <w:tc>
          <w:tcPr>
            <w:tcW w:type="pct" w:w="14%"/>
            <w:shd w:fill="FFFFFF" w:val="clear"/>
            <w:tcMar>
              <w:top w:type="dxa" w:w="40"/>
              <w:left w:type="dxa" w:w="100"/>
              <w:bottom w:type="dxa" w:w="40"/>
              <w:right w:type="dxa" w:w="100"/>
            </w:tcMar>
          </w:tcPr>
          <w:p>
            <w:pPr>
              <w:spacing w:after="40"/>
            </w:pPr>
            <w:r>
              <w:rPr>
                <w:rFonts w:ascii="Calibri"/>
                <w:color w:val="1C1C1C"/>
                <w:sz w:val="20"/>
                <w:szCs w:val="20"/>
              </w:rPr>
              <w:t xml:space="preserve">Moderada</w:t>
            </w:r>
          </w:p>
        </w:tc>
        <w:tc>
          <w:tcPr>
            <w:tcW w:type="pct" w:w="14%"/>
            <w:shd w:fill="FFFFFF" w:val="clear"/>
            <w:tcMar>
              <w:top w:type="dxa" w:w="40"/>
              <w:left w:type="dxa" w:w="100"/>
              <w:bottom w:type="dxa" w:w="40"/>
              <w:right w:type="dxa" w:w="100"/>
            </w:tcMar>
          </w:tcPr>
          <w:p>
            <w:pPr>
              <w:spacing w:after="40"/>
            </w:pPr>
            <w:r>
              <w:rPr>
                <w:rFonts w:ascii="Calibri"/>
                <w:color w:val="1C1C1C"/>
                <w:sz w:val="20"/>
                <w:szCs w:val="20"/>
              </w:rPr>
              <w:t xml:space="preserve">PRIORIDADE 4</w:t>
            </w:r>
          </w:p>
        </w:tc>
      </w:tr>
    </w:tbl>
    <w:p>
      <w:pPr>
        <w:spacing w:after="60"/>
      </w:pPr>
    </w:p>
    <w:p>
      <w:pPr>
        <w:pStyle w:val="Heading1"/>
        <w:spacing w:after="200" w:before="480" w:line="312"/>
      </w:pPr>
      <w:bookmarkStart w:id="100075" w:name="_Toc100075"/>
      <w:r>
        <w:rPr>
          <w:rFonts w:ascii="Times New Roman"/>
          <w:b/>
          <w:bCs/>
          <w:color w:val="1A1A1A"/>
          <w:sz w:val="32"/>
          <w:szCs w:val="32"/>
        </w:rPr>
        <w:t xml:space="preserve">PARTE 6 - Experimentos e Hipoteses Testaveis</w:t>
      </w:r>
      <w:bookmarkEnd w:id="100075"/>
    </w:p>
    <w:p>
      <w:pPr>
        <w:spacing w:after="120" w:line="312"/>
        <w:jc w:val="both"/>
      </w:pPr>
      <w:r>
        <w:rPr>
          <w:rFonts w:ascii="Times New Roman"/>
          <w:color w:val="1C1C1C"/>
          <w:sz w:val="22"/>
          <w:szCs w:val="22"/>
        </w:rPr>
        <w:t xml:space="preserve">Cada estrategia prioritaria e transformada em uma hipotese testavel com delineamento experimental. Os experimentos sao desenhados para testar robustez, nao para otimizar parametros. A pergunta central e: 'Este comportamento existe de forma robusta, ou e um artefato de parametros especificos?'</w:t>
      </w:r>
    </w:p>
    <w:p>
      <w:pPr>
        <w:pStyle w:val="Heading2"/>
        <w:spacing w:after="160" w:before="360" w:line="312"/>
      </w:pPr>
      <w:bookmarkStart w:id="100076" w:name="_Toc100076"/>
      <w:r>
        <w:rPr>
          <w:rFonts w:ascii="Times New Roman"/>
          <w:b/>
          <w:bCs/>
          <w:color w:val="1A1A1A"/>
          <w:sz w:val="28"/>
          <w:szCs w:val="28"/>
        </w:rPr>
        <w:t xml:space="preserve">18. Experimentos para as Estrategias Prioritarias</w:t>
      </w:r>
      <w:bookmarkEnd w:id="100076"/>
    </w:p>
    <w:p>
      <w:pPr>
        <w:pStyle w:val="Heading3"/>
        <w:spacing w:after="120" w:before="240" w:line="312"/>
      </w:pPr>
      <w:bookmarkStart w:id="100077" w:name="_Toc100077"/>
      <w:r>
        <w:rPr>
          <w:rFonts w:ascii="Times New Roman"/>
          <w:b/>
          <w:bCs/>
          <w:color w:val="333333"/>
          <w:sz w:val="24"/>
          <w:szCs w:val="24"/>
        </w:rPr>
        <w:t xml:space="preserve">18.1 Experimento 1: Trend Following (EMA Crossover)</w:t>
      </w:r>
      <w:bookmarkEnd w:id="100077"/>
    </w:p>
    <w:p>
      <w:pPr>
        <w:spacing w:after="120" w:line="312"/>
        <w:jc w:val="both"/>
      </w:pPr>
      <w:r>
        <w:rPr>
          <w:rFonts w:ascii="Times New Roman"/>
          <w:b/>
          <w:bCs/>
          <w:color w:val="1C1C1C"/>
          <w:sz w:val="22"/>
          <w:szCs w:val="22"/>
        </w:rPr>
        <w:t xml:space="preserve">Hipotese: </w:t>
      </w:r>
      <w:r>
        <w:rPr>
          <w:rFonts w:ascii="Times New Roman"/>
          <w:color w:val="1C1C1C"/>
          <w:sz w:val="22"/>
          <w:szCs w:val="22"/>
        </w:rPr>
        <w:t xml:space="preserve">A combinacao EMA50 &gt; EMA200 com ADX &gt; 25 apresenta expectativa positiva em pares majors do Forex, persistente ao longo de multiplos periodos e pares.</w:t>
      </w:r>
    </w:p>
    <w:p>
      <w:pPr>
        <w:spacing w:after="120" w:line="312"/>
        <w:jc w:val="both"/>
      </w:pPr>
      <w:r>
        <w:rPr>
          <w:rFonts w:ascii="Times New Roman"/>
          <w:b/>
          <w:bCs/>
          <w:color w:val="1C1C1C"/>
          <w:sz w:val="22"/>
          <w:szCs w:val="22"/>
        </w:rPr>
        <w:t xml:space="preserve">Variaveis independentes: </w:t>
      </w:r>
      <w:r>
        <w:rPr>
          <w:rFonts w:ascii="Times New Roman"/>
          <w:color w:val="1C1C1C"/>
          <w:sz w:val="22"/>
          <w:szCs w:val="22"/>
        </w:rPr>
        <w:t xml:space="preserve">(a) Par de combinacao EMA: EMA10/EMA30, EMA20/EMA50, EMA50/EMA200. (b) Filtro ADX: sem filtro, ADX &gt; 20, ADX &gt; 25, ADX &gt; 30. (c) Par Forex: EUR/USD, GBP/USD, USD/JPY, GBP/JPY. (d) Timeframe: H1, H4. (e) Periodo: 2015-2024 (10 anos).</w:t>
      </w:r>
    </w:p>
    <w:p>
      <w:pPr>
        <w:spacing w:after="120" w:line="312"/>
        <w:jc w:val="both"/>
      </w:pPr>
      <w:r>
        <w:rPr>
          <w:rFonts w:ascii="Times New Roman"/>
          <w:b/>
          <w:bCs/>
          <w:color w:val="1C1C1C"/>
          <w:sz w:val="22"/>
          <w:szCs w:val="22"/>
        </w:rPr>
        <w:t xml:space="preserve">Variaveis dependentes: </w:t>
      </w:r>
      <w:r>
        <w:rPr>
          <w:rFonts w:ascii="Times New Roman"/>
          <w:color w:val="1C1C1C"/>
          <w:sz w:val="22"/>
          <w:szCs w:val="22"/>
        </w:rPr>
        <w:t xml:space="preserve">Sharpe Ratio, Profit Factor, Max Drawdown, Win Rate, Expectancy (em R-multiples).</w:t>
      </w:r>
    </w:p>
    <w:p>
      <w:pPr>
        <w:spacing w:after="120" w:line="312"/>
        <w:jc w:val="both"/>
      </w:pPr>
      <w:r>
        <w:rPr>
          <w:rFonts w:ascii="Times New Roman"/>
          <w:b/>
          <w:bCs/>
          <w:color w:val="1C1C1C"/>
          <w:sz w:val="22"/>
          <w:szCs w:val="22"/>
        </w:rPr>
        <w:t xml:space="preserve">Metodo: </w:t>
      </w:r>
      <w:r>
        <w:rPr>
          <w:rFonts w:ascii="Times New Roman"/>
          <w:color w:val="1C1C1C"/>
          <w:sz w:val="22"/>
          <w:szCs w:val="22"/>
        </w:rPr>
        <w:t xml:space="preserve">Para cada combinacao de variaveis, executar backtest com custos realistas (spread + slippage + comissao). Separar 70% IS e 30% OOS. Reportar metricas para IS e OOS. Se OOS &lt; 50% do IS Sharpe, a combinacao e suspeita de overfitting.</w:t>
      </w:r>
    </w:p>
    <w:p>
      <w:pPr>
        <w:spacing w:after="120" w:line="312"/>
        <w:jc w:val="both"/>
      </w:pPr>
      <w:r>
        <w:rPr>
          <w:rFonts w:ascii="Times New Roman"/>
          <w:b/>
          <w:bCs/>
          <w:color w:val="1C1C1C"/>
          <w:sz w:val="22"/>
          <w:szCs w:val="22"/>
        </w:rPr>
        <w:t xml:space="preserve">Criterio de sucesso: </w:t>
      </w:r>
      <w:r>
        <w:rPr>
          <w:rFonts w:ascii="Times New Roman"/>
          <w:color w:val="1C1C1C"/>
          <w:sz w:val="22"/>
          <w:szCs w:val="22"/>
        </w:rPr>
        <w:t xml:space="preserve">Sharpe OOS &gt; 0.5 E Profit Factor OOS &gt; 1.3 E Max Drawdown &lt; 25% E consistente em pelo menos 3 dos 4 pares testados.</w:t>
      </w:r>
    </w:p>
    <w:p>
      <w:pPr>
        <w:pStyle w:val="Heading3"/>
        <w:spacing w:after="120" w:before="240" w:line="312"/>
      </w:pPr>
      <w:bookmarkStart w:id="100078" w:name="_Toc100078"/>
      <w:r>
        <w:rPr>
          <w:rFonts w:ascii="Times New Roman"/>
          <w:b/>
          <w:bCs/>
          <w:color w:val="333333"/>
          <w:sz w:val="24"/>
          <w:szCs w:val="24"/>
        </w:rPr>
        <w:t xml:space="preserve">18.2 Experimento 2: Time-Series Momentum</w:t>
      </w:r>
      <w:bookmarkEnd w:id="100078"/>
    </w:p>
    <w:p>
      <w:pPr>
        <w:spacing w:after="120" w:line="312"/>
        <w:jc w:val="both"/>
      </w:pPr>
      <w:r>
        <w:rPr>
          <w:rFonts w:ascii="Times New Roman"/>
          <w:b/>
          <w:bCs/>
          <w:color w:val="1C1C1C"/>
          <w:sz w:val="22"/>
          <w:szCs w:val="22"/>
        </w:rPr>
        <w:t xml:space="preserve">Hipotese: </w:t>
      </w:r>
      <w:r>
        <w:rPr>
          <w:rFonts w:ascii="Times New Roman"/>
          <w:color w:val="1C1C1C"/>
          <w:sz w:val="22"/>
          <w:szCs w:val="22"/>
        </w:rPr>
        <w:t xml:space="preserve">O sinal de momentum baseado em retorno dos ultimos 3, 6 e 12 meses apresenta expectativa positiva em pares de moedas, consistente com os achados de Moskowitz, Ooi e Pedersen (2012).</w:t>
      </w:r>
    </w:p>
    <w:p>
      <w:pPr>
        <w:spacing w:after="120" w:line="312"/>
        <w:jc w:val="both"/>
      </w:pPr>
      <w:r>
        <w:rPr>
          <w:rFonts w:ascii="Times New Roman"/>
          <w:b/>
          <w:bCs/>
          <w:color w:val="1C1C1C"/>
          <w:sz w:val="22"/>
          <w:szCs w:val="22"/>
        </w:rPr>
        <w:t xml:space="preserve">Variaveis: </w:t>
      </w:r>
      <w:r>
        <w:rPr>
          <w:rFonts w:ascii="Times New Roman"/>
          <w:color w:val="1C1C1C"/>
          <w:sz w:val="22"/>
          <w:szCs w:val="22"/>
        </w:rPr>
        <w:t xml:space="preserve">(a) Horizonte de lookback: 3, 6, 12 meses. (b) Pares: EUR/USD, GBP/USD, USD/JPY, AUD/USD, NZD/USD. (c) Rebalanceamento: semanal, mensal, trimestral. (d) Filtragem: sem filtro, volatilidade (excluir top 20% volatil), momentum intermediario (excluir se retorno recente muito extremo).</w:t>
      </w:r>
    </w:p>
    <w:p>
      <w:pPr>
        <w:spacing w:after="120" w:line="312"/>
        <w:jc w:val="both"/>
      </w:pPr>
      <w:r>
        <w:rPr>
          <w:rFonts w:ascii="Times New Roman"/>
          <w:b/>
          <w:bCs/>
          <w:color w:val="1C1C1C"/>
          <w:sz w:val="22"/>
          <w:szCs w:val="22"/>
        </w:rPr>
        <w:t xml:space="preserve">Criterio de sucesso: </w:t>
      </w:r>
      <w:r>
        <w:rPr>
          <w:rFonts w:ascii="Times New Roman"/>
          <w:color w:val="1C1C1C"/>
          <w:sz w:val="22"/>
          <w:szCs w:val="22"/>
        </w:rPr>
        <w:t xml:space="preserve">Retorno anualizado OOS &gt; 3% E Sharpe OOS &gt; 0.4 E Max Drawdown &lt; 20%. A intencao e replicar parcialmente os resultados academicos em um framework realista.</w:t>
      </w:r>
    </w:p>
    <w:p>
      <w:pPr>
        <w:pStyle w:val="Heading3"/>
        <w:spacing w:after="120" w:before="240" w:line="312"/>
      </w:pPr>
      <w:bookmarkStart w:id="100079" w:name="_Toc100079"/>
      <w:r>
        <w:rPr>
          <w:rFonts w:ascii="Times New Roman"/>
          <w:b/>
          <w:bCs/>
          <w:color w:val="333333"/>
          <w:sz w:val="24"/>
          <w:szCs w:val="24"/>
        </w:rPr>
        <w:t xml:space="preserve">18.3 Experimento 3: Volatility Breakout</w:t>
      </w:r>
      <w:bookmarkEnd w:id="100079"/>
    </w:p>
    <w:p>
      <w:pPr>
        <w:spacing w:after="120" w:line="312"/>
        <w:jc w:val="both"/>
      </w:pPr>
      <w:r>
        <w:rPr>
          <w:rFonts w:ascii="Times New Roman"/>
          <w:b/>
          <w:bCs/>
          <w:color w:val="1C1C1C"/>
          <w:sz w:val="22"/>
          <w:szCs w:val="22"/>
        </w:rPr>
        <w:t xml:space="preserve">Hipotese: </w:t>
      </w:r>
      <w:r>
        <w:rPr>
          <w:rFonts w:ascii="Times New Roman"/>
          <w:color w:val="1C1C1C"/>
          <w:sz w:val="22"/>
          <w:szCs w:val="22"/>
        </w:rPr>
        <w:t xml:space="preserve">Breakouts de maxima/minima de N barras apresentam expectativa positiva quando precedidos por compressao de volatilidade (ATR baixo). O sinal e robusto em diferentes valores de N e diferentes niveis de compressao.</w:t>
      </w:r>
    </w:p>
    <w:p>
      <w:pPr>
        <w:spacing w:after="120" w:line="312"/>
        <w:jc w:val="both"/>
      </w:pPr>
      <w:r>
        <w:rPr>
          <w:rFonts w:ascii="Times New Roman"/>
          <w:b/>
          <w:bCs/>
          <w:color w:val="1C1C1C"/>
          <w:sz w:val="22"/>
          <w:szCs w:val="22"/>
        </w:rPr>
        <w:t xml:space="preserve">Variaveis: </w:t>
      </w:r>
      <w:r>
        <w:rPr>
          <w:rFonts w:ascii="Times New Roman"/>
          <w:color w:val="1C1C1C"/>
          <w:sz w:val="22"/>
          <w:szCs w:val="22"/>
        </w:rPr>
        <w:t xml:space="preserve">(a) N (periodo do breakout): 10, 20, 50 barras. (b) Nivel de volatilidade (ATR): &lt; 0.5*media, &lt; 0.7*media, &lt; media, qualquer. (c) Par: EUR/USD, GBP/USD, GBP/JPY. (d) Timeframe: H1, H4. (e) Filtro adicional: sem filtro, ADX &gt; 20, direcao do trend diario. (f) Stop loss: 1.5 ATR, 2 ATR, 3 ATR. (g) TP: 2 ATR, 3 ATR, trailing stop.</w:t>
      </w:r>
    </w:p>
    <w:p>
      <w:pPr>
        <w:spacing w:after="120" w:line="312"/>
        <w:jc w:val="both"/>
      </w:pPr>
      <w:r>
        <w:rPr>
          <w:rFonts w:ascii="Times New Roman"/>
          <w:b/>
          <w:bCs/>
          <w:color w:val="1C1C1C"/>
          <w:sz w:val="22"/>
          <w:szCs w:val="22"/>
        </w:rPr>
        <w:t xml:space="preserve">Criterio de sucesso: </w:t>
      </w:r>
      <w:r>
        <w:rPr>
          <w:rFonts w:ascii="Times New Roman"/>
          <w:color w:val="1C1C1C"/>
          <w:sz w:val="22"/>
          <w:szCs w:val="22"/>
        </w:rPr>
        <w:t xml:space="preserve">O padrao (breakout + compressao) apresenta Sharpe &gt; 0.5 em OOS em pelo menos 3 combinacoes de N e timeframe, com consistencia entre pares. Se o resultado depende de um par de parametros especifico, o padrao nao e robusto.</w:t>
      </w:r>
    </w:p>
    <w:p>
      <w:pPr>
        <w:pStyle w:val="Heading3"/>
        <w:spacing w:after="120" w:before="240" w:line="312"/>
      </w:pPr>
      <w:bookmarkStart w:id="100080" w:name="_Toc100080"/>
      <w:r>
        <w:rPr>
          <w:rFonts w:ascii="Times New Roman"/>
          <w:b/>
          <w:bCs/>
          <w:color w:val="333333"/>
          <w:sz w:val="24"/>
          <w:szCs w:val="24"/>
        </w:rPr>
        <w:t xml:space="preserve">18.4 Experimento 4: Asian Range Breakout</w:t>
      </w:r>
      <w:bookmarkEnd w:id="100080"/>
    </w:p>
    <w:p>
      <w:pPr>
        <w:spacing w:after="120" w:line="312"/>
        <w:jc w:val="both"/>
      </w:pPr>
      <w:r>
        <w:rPr>
          <w:rFonts w:ascii="Times New Roman"/>
          <w:b/>
          <w:bCs/>
          <w:color w:val="1C1C1C"/>
          <w:sz w:val="22"/>
          <w:szCs w:val="22"/>
        </w:rPr>
        <w:t xml:space="preserve">Hipotese: </w:t>
      </w:r>
      <w:r>
        <w:rPr>
          <w:rFonts w:ascii="Times New Roman"/>
          <w:color w:val="1C1C1C"/>
          <w:sz w:val="22"/>
          <w:szCs w:val="22"/>
        </w:rPr>
        <w:t xml:space="preserve">Breakouts do range formado durante a sessao asiatica (22:00-06:00 GMT) na abertura de Londres (08:00 GMT) apresentam expectativa positiva em pares como EUR/USD e GBP/USD, especialmente quando o range asiatico e mais estreito que a media.</w:t>
      </w:r>
    </w:p>
    <w:p>
      <w:pPr>
        <w:spacing w:after="120" w:line="312"/>
        <w:jc w:val="both"/>
      </w:pPr>
      <w:r>
        <w:rPr>
          <w:rFonts w:ascii="Times New Roman"/>
          <w:b/>
          <w:bCs/>
          <w:color w:val="1C1C1C"/>
          <w:sz w:val="22"/>
          <w:szCs w:val="22"/>
        </w:rPr>
        <w:t xml:space="preserve">Variaveis: </w:t>
      </w:r>
      <w:r>
        <w:rPr>
          <w:rFonts w:ascii="Times New Roman"/>
          <w:color w:val="1C1C1C"/>
          <w:sz w:val="22"/>
          <w:szCs w:val="22"/>
        </w:rPr>
        <w:t xml:space="preserve">(a) Definicao do range: High/Low exato, High/Low com buffer de 5 pips. (b) Filtro de range estreito: ATR &lt; media, range &lt; media do range dos ultimos 20 dias. (c) Par: EUR/USD, GBP/USD, EUR/GBP. (d) Direcao: qualquer breakout, breakout a favor do trend diario, breakout com pullback anterior. (e) Stop: 50% do range, 100% do range. (f) TP: 1x range, 2x range. (g) Validacao: nao operar em dias de NFP ou FOMC.</w:t>
      </w:r>
    </w:p>
    <w:p>
      <w:pPr>
        <w:spacing w:after="120" w:line="312"/>
        <w:jc w:val="both"/>
      </w:pPr>
      <w:r>
        <w:rPr>
          <w:rFonts w:ascii="Times New Roman"/>
          <w:b/>
          <w:bCs/>
          <w:color w:val="1C1C1C"/>
          <w:sz w:val="22"/>
          <w:szCs w:val="22"/>
        </w:rPr>
        <w:t xml:space="preserve">Criterio de sucesso: </w:t>
      </w:r>
      <w:r>
        <w:rPr>
          <w:rFonts w:ascii="Times New Roman"/>
          <w:color w:val="1C1C1C"/>
          <w:sz w:val="22"/>
          <w:szCs w:val="22"/>
        </w:rPr>
        <w:t xml:space="preserve">Sharpe OOS &gt; 0.3 (edge modesto, tipico de estrategias intraday) E consistencia em pelo menos 2 dos 3 pares. Se o edge desaparece apos incorporar custos, a estrategia nao e viavel.</w:t>
      </w:r>
    </w:p>
    <w:p>
      <w:pPr>
        <w:pStyle w:val="Heading3"/>
        <w:spacing w:after="120" w:before="240" w:line="312"/>
      </w:pPr>
      <w:bookmarkStart w:id="100081" w:name="_Toc100081"/>
      <w:r>
        <w:rPr>
          <w:rFonts w:ascii="Times New Roman"/>
          <w:b/>
          <w:bCs/>
          <w:color w:val="333333"/>
          <w:sz w:val="24"/>
          <w:szCs w:val="24"/>
        </w:rPr>
        <w:t xml:space="preserve">18.5 Experimento 5: Carry Trade Simples</w:t>
      </w:r>
      <w:bookmarkEnd w:id="100081"/>
    </w:p>
    <w:p>
      <w:pPr>
        <w:spacing w:after="120" w:line="312"/>
        <w:jc w:val="both"/>
      </w:pPr>
      <w:r>
        <w:rPr>
          <w:rFonts w:ascii="Times New Roman"/>
          <w:b/>
          <w:bCs/>
          <w:color w:val="1C1C1C"/>
          <w:sz w:val="22"/>
          <w:szCs w:val="22"/>
        </w:rPr>
        <w:t xml:space="preserve">Hipotese: </w:t>
      </w:r>
      <w:r>
        <w:rPr>
          <w:rFonts w:ascii="Times New Roman"/>
          <w:color w:val="1C1C1C"/>
          <w:sz w:val="22"/>
          <w:szCs w:val="22"/>
        </w:rPr>
        <w:t xml:space="preserve">Manter posicoes longas em moedas de alta taxa de juros e short em moedas de baixa taxa gera retornos positivos no longo prazo, condizente com o forward premium puzzle. O risco de drawdown severo e mitigado por stop loss amplo e diversificacao.</w:t>
      </w:r>
    </w:p>
    <w:p>
      <w:pPr>
        <w:spacing w:after="120" w:line="312"/>
        <w:jc w:val="both"/>
      </w:pPr>
      <w:r>
        <w:rPr>
          <w:rFonts w:ascii="Times New Roman"/>
          <w:b/>
          <w:bCs/>
          <w:color w:val="1C1C1C"/>
          <w:sz w:val="22"/>
          <w:szCs w:val="22"/>
        </w:rPr>
        <w:t xml:space="preserve">Variaveis: </w:t>
      </w:r>
      <w:r>
        <w:rPr>
          <w:rFonts w:ascii="Times New Roman"/>
          <w:color w:val="1C1C1C"/>
          <w:sz w:val="22"/>
          <w:szCs w:val="22"/>
        </w:rPr>
        <w:t xml:space="preserve">(a) Diferencial minimo de juros: 1%, 2%, 3%. (b) Pares: AUD/JPY, NZD/JPY, GBP/JPY. (c) Stop loss: sem stop, 5%, 10%. (d) Rebalanceamento: semanal, mensal. (e) Filtro: VIX &lt; 20 (aversion to risk baixa), sem filtro. (f) Horizonte: 2010-2024.</w:t>
      </w:r>
    </w:p>
    <w:p>
      <w:pPr>
        <w:spacing w:after="120" w:line="312"/>
        <w:jc w:val="both"/>
      </w:pPr>
      <w:r>
        <w:rPr>
          <w:rFonts w:ascii="Times New Roman"/>
          <w:b/>
          <w:bCs/>
          <w:color w:val="1C1C1C"/>
          <w:sz w:val="22"/>
          <w:szCs w:val="22"/>
        </w:rPr>
        <w:t xml:space="preserve">Criterio de sucesso: </w:t>
      </w:r>
      <w:r>
        <w:rPr>
          <w:rFonts w:ascii="Times New Roman"/>
          <w:color w:val="1C1C1C"/>
          <w:sz w:val="22"/>
          <w:szCs w:val="22"/>
        </w:rPr>
        <w:t xml:space="preserve">Retorno anualizado &gt; swap + 2% E Max Drawdown &lt; 30% E Sharpe &gt; 0.5. O carry trade e uma estrategia de baixa frequencia e longo prazo; o foco e em robustez estatistica e nao em Sharpe alto.</w:t>
      </w:r>
    </w:p>
    <w:p>
      <w:pPr>
        <w:pStyle w:val="Heading3"/>
        <w:spacing w:after="120" w:before="240" w:line="312"/>
      </w:pPr>
      <w:bookmarkStart w:id="100082" w:name="_Toc100082"/>
      <w:r>
        <w:rPr>
          <w:rFonts w:ascii="Times New Roman"/>
          <w:b/>
          <w:bCs/>
          <w:color w:val="333333"/>
          <w:sz w:val="24"/>
          <w:szCs w:val="24"/>
        </w:rPr>
        <w:t xml:space="preserve">18.6 Experimento 6: Mean Reversion (BB + RSI)</w:t>
      </w:r>
      <w:bookmarkEnd w:id="100082"/>
    </w:p>
    <w:p>
      <w:pPr>
        <w:spacing w:after="120" w:line="312"/>
        <w:jc w:val="both"/>
      </w:pPr>
      <w:r>
        <w:rPr>
          <w:rFonts w:ascii="Times New Roman"/>
          <w:b/>
          <w:bCs/>
          <w:color w:val="1C1C1C"/>
          <w:sz w:val="22"/>
          <w:szCs w:val="22"/>
        </w:rPr>
        <w:t xml:space="preserve">Hipotese: </w:t>
      </w:r>
      <w:r>
        <w:rPr>
          <w:rFonts w:ascii="Times New Roman"/>
          <w:color w:val="1C1C1C"/>
          <w:sz w:val="22"/>
          <w:szCs w:val="22"/>
        </w:rPr>
        <w:t xml:space="preserve">Em mercados laterais (ADX &lt; 20), entradas no sentido oposto quando o preco toca a Bollinger Band inferior com RSI &lt; 30 (ou Bollinger superior com RSI &gt; 70) apresentam expectativa positiva.</w:t>
      </w:r>
    </w:p>
    <w:p>
      <w:pPr>
        <w:spacing w:after="120" w:line="312"/>
        <w:jc w:val="both"/>
      </w:pPr>
      <w:r>
        <w:rPr>
          <w:rFonts w:ascii="Times New Roman"/>
          <w:b/>
          <w:bCs/>
          <w:color w:val="1C1C1C"/>
          <w:sz w:val="22"/>
          <w:szCs w:val="22"/>
        </w:rPr>
        <w:t xml:space="preserve">Variaveis: </w:t>
      </w:r>
      <w:r>
        <w:rPr>
          <w:rFonts w:ascii="Times New Roman"/>
          <w:color w:val="1C1C1C"/>
          <w:sz w:val="22"/>
          <w:szCs w:val="22"/>
        </w:rPr>
        <w:t xml:space="preserve">(a) Parametros BB: SMA 20 com 2 desvios, SMA 20 com 2.5 desvios. (b) Parametros RSI: 14 periodos, thresholds 30/70. (c) Filtro de regime: ADX &lt; 15, ADX &lt; 20, ADX &lt; 25. (d) Par: EUR/USD, EUR/GBP (pares com tendencia mais fraca). (e) Stop: 1.5 ATR, 2 ATR. (f) TP: SMA(20), Banda oposta, 2 ATR.</w:t>
      </w:r>
    </w:p>
    <w:p>
      <w:pPr>
        <w:spacing w:after="120" w:line="312"/>
        <w:jc w:val="both"/>
      </w:pPr>
      <w:r>
        <w:rPr>
          <w:rFonts w:ascii="Times New Roman"/>
          <w:b/>
          <w:bCs/>
          <w:color w:val="1C1C1C"/>
          <w:sz w:val="22"/>
          <w:szCs w:val="22"/>
        </w:rPr>
        <w:t xml:space="preserve">Criterio de sucesso: </w:t>
      </w:r>
      <w:r>
        <w:rPr>
          <w:rFonts w:ascii="Times New Roman"/>
          <w:color w:val="1C1C1C"/>
          <w:sz w:val="22"/>
          <w:szCs w:val="22"/>
        </w:rPr>
        <w:t xml:space="preserve">Sharpe OOS &gt; 0.3 E consistencia em pelo menos 2 pares. O maior risco e overfitting nos thresholds de RSI e BB. Se o resultado melhora drasticamente com parametros especificos, provavelmente e overfitting.</w:t>
      </w:r>
    </w:p>
    <w:p>
      <w:pPr>
        <w:pStyle w:val="Heading3"/>
        <w:spacing w:after="120" w:before="240" w:line="312"/>
      </w:pPr>
      <w:bookmarkStart w:id="100083" w:name="_Toc100083"/>
      <w:r>
        <w:rPr>
          <w:rFonts w:ascii="Times New Roman"/>
          <w:b/>
          <w:bCs/>
          <w:color w:val="333333"/>
          <w:sz w:val="24"/>
          <w:szCs w:val="24"/>
        </w:rPr>
        <w:t xml:space="preserve">18.7 Experimento 7: Regime-Filtered Trend Following</w:t>
      </w:r>
      <w:bookmarkEnd w:id="100083"/>
    </w:p>
    <w:p>
      <w:pPr>
        <w:spacing w:after="120" w:line="312"/>
        <w:jc w:val="both"/>
      </w:pPr>
      <w:r>
        <w:rPr>
          <w:rFonts w:ascii="Times New Roman"/>
          <w:b/>
          <w:bCs/>
          <w:color w:val="1C1C1C"/>
          <w:sz w:val="22"/>
          <w:szCs w:val="22"/>
        </w:rPr>
        <w:t xml:space="preserve">Hipotese: </w:t>
      </w:r>
      <w:r>
        <w:rPr>
          <w:rFonts w:ascii="Times New Roman"/>
          <w:color w:val="1C1C1C"/>
          <w:sz w:val="22"/>
          <w:szCs w:val="22"/>
        </w:rPr>
        <w:t xml:space="preserve">Aplicar trend following apenas quando o regime de mercado e identificado como tendencial (ADX &gt; 25 E Hurst &gt; 0.55) melhora significativamente o desempenho comparado ao trend following sem filtro de regime.</w:t>
      </w:r>
    </w:p>
    <w:p>
      <w:pPr>
        <w:spacing w:after="120" w:line="312"/>
        <w:jc w:val="both"/>
      </w:pPr>
      <w:r>
        <w:rPr>
          <w:rFonts w:ascii="Times New Roman"/>
          <w:b/>
          <w:bCs/>
          <w:color w:val="1C1C1C"/>
          <w:sz w:val="22"/>
          <w:szCs w:val="22"/>
        </w:rPr>
        <w:t xml:space="preserve">Variaveis: </w:t>
      </w:r>
      <w:r>
        <w:rPr>
          <w:rFonts w:ascii="Times New Roman"/>
          <w:color w:val="1C1C1C"/>
          <w:sz w:val="22"/>
          <w:szCs w:val="22"/>
        </w:rPr>
        <w:t xml:space="preserve">(a) Detector de regime: ADX simples, ADX + Hurst, HMM. (b) Estrategia base: EMA crossover. (c) Par: GBP/USD, GBP/JPY. (d) Janela de Hurst: 100, 200, 500 barras. (e) Thresholds: ADX &gt; 20/25/30, Hurst &gt; 0.5/0.55/0.6.</w:t>
      </w:r>
    </w:p>
    <w:p>
      <w:pPr>
        <w:spacing w:after="120" w:line="312"/>
        <w:jc w:val="both"/>
      </w:pPr>
      <w:r>
        <w:rPr>
          <w:rFonts w:ascii="Times New Roman"/>
          <w:b/>
          <w:bCs/>
          <w:color w:val="1C1C1C"/>
          <w:sz w:val="22"/>
          <w:szCs w:val="22"/>
        </w:rPr>
        <w:t xml:space="preserve">Criterio de sucesso: </w:t>
      </w:r>
      <w:r>
        <w:rPr>
          <w:rFonts w:ascii="Times New Roman"/>
          <w:color w:val="1C1C1C"/>
          <w:sz w:val="22"/>
          <w:szCs w:val="22"/>
        </w:rPr>
        <w:t xml:space="preserve">Sharpe OOS do sistema filtrado &gt; 1.2x Sharpe OOS do sistema sem filtro E Max Drawdown reduzido em pelo menos 20%. Se o filtro de regime nao melhora significativamente, a complexidade adicional nao e justificada.</w:t>
      </w:r>
    </w:p>
    <w:p>
      <w:pPr>
        <w:pStyle w:val="Heading3"/>
        <w:spacing w:after="120" w:before="240" w:line="312"/>
      </w:pPr>
      <w:bookmarkStart w:id="100084" w:name="_Toc100084"/>
      <w:r>
        <w:rPr>
          <w:rFonts w:ascii="Times New Roman"/>
          <w:b/>
          <w:bCs/>
          <w:color w:val="333333"/>
          <w:sz w:val="24"/>
          <w:szCs w:val="24"/>
        </w:rPr>
        <w:t xml:space="preserve">18.8 Experimento 8: Multi-Timeframe Momentum</w:t>
      </w:r>
      <w:bookmarkEnd w:id="100084"/>
    </w:p>
    <w:p>
      <w:pPr>
        <w:spacing w:after="120" w:line="312"/>
        <w:jc w:val="both"/>
      </w:pPr>
      <w:r>
        <w:rPr>
          <w:rFonts w:ascii="Times New Roman"/>
          <w:b/>
          <w:bCs/>
          <w:color w:val="1C1C1C"/>
          <w:sz w:val="22"/>
          <w:szCs w:val="22"/>
        </w:rPr>
        <w:t xml:space="preserve">Hipotese: </w:t>
      </w:r>
      <w:r>
        <w:rPr>
          <w:rFonts w:ascii="Times New Roman"/>
          <w:color w:val="1C1C1C"/>
          <w:sz w:val="22"/>
          <w:szCs w:val="22"/>
        </w:rPr>
        <w:t xml:space="preserve">Alinhar sinais de momentum em multiplos timeframes (Daily + H4 + H1) melhora a qualidade dos sinais de entrada comparado ao momentum em timeframe unico.</w:t>
      </w:r>
    </w:p>
    <w:p>
      <w:pPr>
        <w:spacing w:after="120" w:line="312"/>
        <w:jc w:val="both"/>
      </w:pPr>
      <w:r>
        <w:rPr>
          <w:rFonts w:ascii="Times New Roman"/>
          <w:b/>
          <w:bCs/>
          <w:color w:val="1C1C1C"/>
          <w:sz w:val="22"/>
          <w:szCs w:val="22"/>
        </w:rPr>
        <w:t xml:space="preserve">Variaveis: </w:t>
      </w:r>
      <w:r>
        <w:rPr>
          <w:rFonts w:ascii="Times New Roman"/>
          <w:color w:val="1C1C1C"/>
          <w:sz w:val="22"/>
          <w:szCs w:val="22"/>
        </w:rPr>
        <w:t xml:space="preserve">(a) Timeframes: Daily+H4, Daily+H4+H1, H4+H1. (b) Horizonte de momentum por TF: proporcional ao TF (ex: 20 barras H1, 20 barras H4, 20 barras Daily). (c) Par: EUR/USD, GBP/USD. (d) Regra de alinhamento: todos os TFs devem concordar, maioria dos TFs concorda. (e) Stop: 2 ATR do timeframe inferior. (f) TP: trailing stop 3 ATR.</w:t>
      </w:r>
    </w:p>
    <w:p>
      <w:pPr>
        <w:spacing w:after="120" w:line="312"/>
        <w:jc w:val="both"/>
      </w:pPr>
      <w:r>
        <w:rPr>
          <w:rFonts w:ascii="Times New Roman"/>
          <w:b/>
          <w:bCs/>
          <w:color w:val="1C1C1C"/>
          <w:sz w:val="22"/>
          <w:szCs w:val="22"/>
        </w:rPr>
        <w:t xml:space="preserve">Criterio de sucesso: </w:t>
      </w:r>
      <w:r>
        <w:rPr>
          <w:rFonts w:ascii="Times New Roman"/>
          <w:color w:val="1C1C1C"/>
          <w:sz w:val="22"/>
          <w:szCs w:val="22"/>
        </w:rPr>
        <w:t xml:space="preserve">Sharpe OOS &gt; 0.5 E Win Rate &gt; 45%. A principal vantagem esperada e reducao de sinais falsos (maior win rate), mesmo que o payoff ratio individual seja menor.</w:t>
      </w:r>
    </w:p>
    <w:p>
      <w:pPr>
        <w:pStyle w:val="Heading2"/>
        <w:spacing w:after="160" w:before="360" w:line="312"/>
      </w:pPr>
      <w:bookmarkStart w:id="100085" w:name="_Toc100085"/>
      <w:r>
        <w:rPr>
          <w:rFonts w:ascii="Times New Roman"/>
          <w:b/>
          <w:bCs/>
          <w:color w:val="1A1A1A"/>
          <w:sz w:val="28"/>
          <w:szCs w:val="28"/>
        </w:rPr>
        <w:t xml:space="preserve">19. Roadmap de Implementacao</w:t>
      </w:r>
      <w:bookmarkEnd w:id="100085"/>
    </w:p>
    <w:p>
      <w:pPr>
        <w:spacing w:after="120" w:line="312"/>
        <w:jc w:val="both"/>
      </w:pPr>
      <w:r>
        <w:rPr>
          <w:rFonts w:ascii="Times New Roman"/>
          <w:color w:val="1C1C1C"/>
          <w:sz w:val="22"/>
          <w:szCs w:val="22"/>
        </w:rPr>
        <w:t xml:space="preserve">Apos a conclusao desta pesquisa, o proximo passo e executar os experimentos acima em ordem de prioridade. Cada experimento segue um fluxo padronizado: (1) coletar dados historicos via MetaTrader 5 Python API; (2) implementar a estrategia em Python usando backtrader ou framework proprio; (3) executar backtest com custos realistas; (4) analisar metricas IS e OOS; (5) se o criterio de sucesso for atingido, implementar em conta demo; (6) monitorar desempenho em tempo real por no minimo 3 meses antes de considerar capital real.</w:t>
      </w:r>
    </w:p>
    <w:p>
      <w:pPr>
        <w:spacing w:after="120" w:line="312"/>
        <w:jc w:val="both"/>
      </w:pPr>
      <w:r>
        <w:rPr>
          <w:rFonts w:ascii="Times New Roman"/>
          <w:b/>
          <w:bCs/>
          <w:color w:val="1C1C1C"/>
          <w:sz w:val="22"/>
          <w:szCs w:val="22"/>
        </w:rPr>
        <w:t xml:space="preserve">Prioridade de execucao: </w:t>
      </w:r>
      <w:r>
        <w:rPr>
          <w:rFonts w:ascii="Times New Roman"/>
          <w:color w:val="1C1C1C"/>
          <w:sz w:val="22"/>
          <w:szCs w:val="22"/>
        </w:rPr>
        <w:t xml:space="preserve">Experimento 1 (Trend Following) e Experimento 2 (Time-Series Momentum) devem ser executados primeiro, por terem a menor complexidade e maior evidencia academica. Em seguida, Experimento 3 (Volatility Breakout) e Experimento 4 (Asian Range). Os experimentos 5-8 devem ser executados apos validacao dos primeiros.</w:t>
      </w:r>
    </w:p>
    <w:sectPr>
      <w:headerReference w:type="default" r:id="rId9"/>
      <w:footerReference w:type="default" r:id="rId10"/>
      <w:type w:val="nextPage"/>
      <w:pgSz w:w="11906" w:h="16838" w:orient="portrait"/>
      <w:pgMar w:top="1440" w:right="1417" w:bottom="1440" w:left="1701" w:header="708" w:footer="708" w:gutter="0"/>
      <w:pgNumType w:start="1" w:fmt="4"/>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888888"/>
        <w:sz w:val="18"/>
        <w:szCs w:val="18"/>
      </w:rPr>
      <w:t xml:space="preserve">PAGE \* ROMAN \* MERGEFORMAT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888888"/>
        <w:sz w:val="18"/>
        <w:szCs w:val="18"/>
      </w:rPr>
      <w:t xml:space="preserve">PAGE \* arabic \* MERGEFORMAT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Calibri"/>
        <w:color w:val="888888"/>
        <w:sz w:val="16"/>
        <w:szCs w:val="16"/>
      </w:rPr>
      <w:t xml:space="preserve">Pesquisa de Estrategias para Bot Algoritmico de Forex</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Calibri"/>
        <w:color w:val="888888"/>
        <w:sz w:val="16"/>
        <w:szCs w:val="16"/>
      </w:rPr>
      <w:t xml:space="preserve">Pesquisa de Estrategias para Bot Algoritmico de Forex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Hei"/>
        <w:color w:val="1C1C1C"/>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80" w:line="312"/>
      <w:outlineLvl w:val="0"/>
    </w:pPr>
    <w:rPr>
      <w:rFonts w:ascii="Times New Roman" w:eastAsia="SimHei"/>
      <w:b/>
      <w:bCs/>
      <w:color w:val="1A1A1A"/>
      <w:sz w:val="32"/>
      <w:szCs w:val="32"/>
    </w:rPr>
  </w:style>
  <w:style w:type="paragraph" w:styleId="Heading2">
    <w:name w:val="Heading 2"/>
    <w:basedOn w:val="Normal"/>
    <w:next w:val="Normal"/>
    <w:qFormat/>
    <w:pPr>
      <w:spacing w:after="160" w:before="360" w:line="312"/>
      <w:outlineLvl w:val="1"/>
    </w:pPr>
    <w:rPr>
      <w:rFonts w:ascii="Times New Roman" w:eastAsia="SimHei"/>
      <w:b/>
      <w:bCs/>
      <w:color w:val="1A1A1A"/>
      <w:sz w:val="28"/>
      <w:szCs w:val="28"/>
    </w:rPr>
  </w:style>
  <w:style w:type="paragraph" w:styleId="Heading3">
    <w:name w:val="Heading 3"/>
    <w:basedOn w:val="Normal"/>
    <w:next w:val="Normal"/>
    <w:qFormat/>
    <w:pPr>
      <w:spacing w:after="120" w:before="240" w:line="312"/>
      <w:outlineLvl w:val="2"/>
    </w:pPr>
    <w:rPr>
      <w:rFonts w:ascii="Times New Roman" w:eastAsia="SimHei"/>
      <w:b/>
      <w:bCs/>
      <w:color w:val="333333"/>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2026-08-07T14:40:00.912Z</dcterms:created>
  <dcterms:modified xsi:type="dcterms:W3CDTF">2026-08-07T14:40:00.912Z</dcterms:modified>
</cp:coreProperties>
</file>

<file path=docProps/custom.xml><?xml version="1.0" encoding="utf-8"?>
<Properties xmlns="http://schemas.openxmlformats.org/officeDocument/2006/custom-properties" xmlns:vt="http://schemas.openxmlformats.org/officeDocument/2006/docPropsVTypes"/>
</file>