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x_v2_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pStyle w:val="Title"/>
        <w:jc w:val="left"/>
      </w:pPr>
      <w:r>
        <w:t>Documento Mestre de Pesquisa</w:t>
      </w:r>
    </w:p>
    <w:p>
      <w:pPr>
        <w:pStyle w:val="SubtitleV2"/>
      </w:pPr>
      <w:r>
        <w:t>Pesquisa de Estratégias para Bot Algorítmico de Forex - V2 Auditada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7F4E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71717"/>
                <w:sz w:val="19"/>
              </w:rPr>
              <w:t>Status do documento</w:t>
            </w:r>
          </w:p>
          <w:p>
            <w:pPr>
              <w:spacing w:after="0"/>
              <w:jc w:val="both"/>
            </w:pPr>
            <w:r>
              <w:rPr>
                <w:sz w:val="18"/>
              </w:rPr>
              <w:t>Referência técnica de pesquisa. O conteúdo classifica explicitamente definições, evidências, heurísticas e hipóteses. Nenhuma estratégia aqui é considerada aprovada para capital real sem passar pelo protocolo de validação descrito neste documento.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2381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8"/>
              </w:rPr>
              <w:t>Campo</w:t>
            </w:r>
          </w:p>
        </w:tc>
        <w:tc>
          <w:tcPr>
            <w:tcW w:type="dxa" w:w="6917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Versão</w:t>
            </w:r>
          </w:p>
        </w:tc>
        <w:tc>
          <w:tcPr>
            <w:tcW w:type="dxa" w:w="691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2.0 - Auditada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Data</w:t>
            </w:r>
          </w:p>
        </w:tc>
        <w:tc>
          <w:tcPr>
            <w:tcW w:type="dxa" w:w="691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07 de agosto de 2026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Mercado inicial</w:t>
            </w:r>
          </w:p>
        </w:tc>
        <w:tc>
          <w:tcPr>
            <w:tcW w:type="dxa" w:w="691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Forex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Stack planejada</w:t>
            </w:r>
          </w:p>
        </w:tc>
        <w:tc>
          <w:tcPr>
            <w:tcW w:type="dxa" w:w="691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Python + MetaTrader 5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Objetivo</w:t>
            </w:r>
          </w:p>
        </w:tc>
        <w:tc>
          <w:tcPr>
            <w:tcW w:type="dxa" w:w="691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Pesquisa, backtesting, execução em conta demo e validação reprodutível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Escopo de capital real</w:t>
            </w:r>
          </w:p>
        </w:tc>
        <w:tc>
          <w:tcPr>
            <w:tcW w:type="dxa" w:w="691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Fora de escopo até aprovação dos gates de pesquisa e forward test</w:t>
            </w:r>
          </w:p>
        </w:tc>
      </w:tr>
    </w:tbl>
    <w:p>
      <w:pPr>
        <w:spacing w:after="20"/>
      </w:pPr>
    </w:p>
    <w:p>
      <w:pPr>
        <w:pStyle w:val="Heading2"/>
      </w:pPr>
      <w:r>
        <w:t>Como ler esta versão</w:t>
      </w:r>
    </w:p>
    <w:p>
      <w:pPr>
        <w:jc w:val="both"/>
      </w:pPr>
      <w:r>
        <w:t>A V2 preserva a estrutura e as famílias de estratégias da pesquisa original, mas corrige inconsistências técnicas, rebaixa afirmações sem suporte suficiente para o nível de hipótese, separa evidência de regra prática e substitui grandes grades de otimização por um protocolo de experimentação pré-especificado.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</w:trPr>
        <w:tc>
          <w:tcPr>
            <w:tcW w:type="dxa" w:w="1701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8"/>
              </w:rPr>
              <w:t>Marcador</w:t>
            </w:r>
          </w:p>
        </w:tc>
        <w:tc>
          <w:tcPr>
            <w:tcW w:type="dxa" w:w="3402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8"/>
              </w:rPr>
              <w:t>Uso no documento</w:t>
            </w:r>
          </w:p>
        </w:tc>
        <w:tc>
          <w:tcPr>
            <w:tcW w:type="dxa" w:w="4195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8"/>
              </w:rPr>
              <w:t>Exemplo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DEFINIÇÃO</w:t>
            </w:r>
          </w:p>
        </w:tc>
        <w:tc>
          <w:tcPr>
            <w:tcW w:type="dxa" w:w="3402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Fórmula, mecânica ou conceito verificável.</w:t>
            </w:r>
          </w:p>
        </w:tc>
        <w:tc>
          <w:tcPr>
            <w:tcW w:type="dxa" w:w="4195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MACD padrão = EMA(12) - EMA(26); sinal = EMA(9) do MACD.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EVIDÊNCIA</w:t>
            </w:r>
          </w:p>
        </w:tc>
        <w:tc>
          <w:tcPr>
            <w:tcW w:type="dxa" w:w="3402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Resultado sustentado por fonte acadêmica ou técnica adequada.</w:t>
            </w:r>
          </w:p>
        </w:tc>
        <w:tc>
          <w:tcPr>
            <w:tcW w:type="dxa" w:w="4195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Time-series momentum foi documentado em futuros de moedas dentro de uma amostra multiativos [R1].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HEURÍSTICA</w:t>
            </w:r>
          </w:p>
        </w:tc>
        <w:tc>
          <w:tcPr>
            <w:tcW w:type="dxa" w:w="3402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Regra prática útil, mas sem validade universal.</w:t>
            </w:r>
          </w:p>
        </w:tc>
        <w:tc>
          <w:tcPr>
            <w:tcW w:type="dxa" w:w="4195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ADX &gt; 25 como filtro de tendência.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HIPÓTESE</w:t>
            </w:r>
          </w:p>
        </w:tc>
        <w:tc>
          <w:tcPr>
            <w:tcW w:type="dxa" w:w="3402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Regra que o projeto precisa testar e pode refutar.</w:t>
            </w:r>
          </w:p>
        </w:tc>
        <w:tc>
          <w:tcPr>
            <w:tcW w:type="dxa" w:w="4195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Breakout de 20 barras após compressão de ATR possui expectativa líquida positiva.</w:t>
            </w:r>
          </w:p>
        </w:tc>
      </w:tr>
    </w:tbl>
    <w:p>
      <w:pPr>
        <w:spacing w:after="20"/>
      </w:pPr>
    </w:p>
    <w:p>
      <w:pPr>
        <w:pStyle w:val="Heading2"/>
      </w:pPr>
      <w:r>
        <w:t>Mapa do documento</w:t>
      </w:r>
    </w:p>
    <w:p>
      <w:pPr>
        <w:pStyle w:val="ListBullet"/>
        <w:spacing w:after="40"/>
        <w:ind w:left="312" w:hanging="142"/>
      </w:pPr>
      <w:r>
        <w:rPr>
          <w:sz w:val="19"/>
        </w:rPr>
        <w:t>PARTE 0 - Auditoria, governança e correções da V1</w:t>
      </w:r>
    </w:p>
    <w:p>
      <w:pPr>
        <w:pStyle w:val="ListBullet"/>
        <w:spacing w:after="40"/>
        <w:ind w:left="312" w:hanging="142"/>
      </w:pPr>
      <w:r>
        <w:rPr>
          <w:sz w:val="19"/>
        </w:rPr>
        <w:t>PARTE 1 - Fundamentos quantitativos revisados</w:t>
      </w:r>
    </w:p>
    <w:p>
      <w:pPr>
        <w:pStyle w:val="ListBullet"/>
        <w:spacing w:after="40"/>
        <w:ind w:left="312" w:hanging="142"/>
      </w:pPr>
      <w:r>
        <w:rPr>
          <w:sz w:val="19"/>
        </w:rPr>
        <w:t>PARTE 2 - Famílias de estratégias e força da evidência</w:t>
      </w:r>
    </w:p>
    <w:p>
      <w:pPr>
        <w:pStyle w:val="ListBullet"/>
        <w:spacing w:after="40"/>
        <w:ind w:left="312" w:hanging="142"/>
      </w:pPr>
      <w:r>
        <w:rPr>
          <w:sz w:val="19"/>
        </w:rPr>
        <w:t>PARTE 3 - Dados, execução e backtesting reprodutível</w:t>
      </w:r>
    </w:p>
    <w:p>
      <w:pPr>
        <w:pStyle w:val="ListBullet"/>
        <w:spacing w:after="40"/>
        <w:ind w:left="312" w:hanging="142"/>
      </w:pPr>
      <w:r>
        <w:rPr>
          <w:sz w:val="19"/>
        </w:rPr>
        <w:t>PARTE 4 - Engenharia de features e Machine Learning</w:t>
      </w:r>
    </w:p>
    <w:p>
      <w:pPr>
        <w:pStyle w:val="ListBullet"/>
        <w:spacing w:after="40"/>
        <w:ind w:left="312" w:hanging="142"/>
      </w:pPr>
      <w:r>
        <w:rPr>
          <w:sz w:val="19"/>
        </w:rPr>
        <w:t>PARTE 5 - Experimentos prioritários pré-especificados</w:t>
      </w:r>
    </w:p>
    <w:p>
      <w:pPr>
        <w:pStyle w:val="ListBullet"/>
        <w:spacing w:after="40"/>
        <w:ind w:left="312" w:hanging="142"/>
      </w:pPr>
      <w:r>
        <w:rPr>
          <w:sz w:val="19"/>
        </w:rPr>
        <w:t>PARTE 6 - Roadmap de implementação</w:t>
      </w:r>
    </w:p>
    <w:p>
      <w:pPr>
        <w:pStyle w:val="ListBullet"/>
        <w:spacing w:after="40"/>
        <w:ind w:left="312" w:hanging="142"/>
      </w:pPr>
      <w:r>
        <w:rPr>
          <w:sz w:val="19"/>
        </w:rPr>
        <w:t>Apêndices - Templates, checklist e referências verificadas</w:t>
      </w:r>
    </w:p>
    <w:p>
      <w:r>
        <w:br w:type="page"/>
      </w:r>
    </w:p>
    <w:p>
      <w:pPr>
        <w:pStyle w:val="Heading1"/>
      </w:pPr>
      <w:r>
        <w:t>PARTE 0 - Auditoria, Governança e Correções da V1</w:t>
      </w:r>
    </w:p>
    <w:p>
      <w:pPr>
        <w:pStyle w:val="Heading2"/>
      </w:pPr>
      <w:r>
        <w:t>0.1 Objetivo da auditoria</w:t>
      </w:r>
    </w:p>
    <w:p>
      <w:pPr>
        <w:jc w:val="both"/>
      </w:pPr>
      <w:r>
        <w:t>A primeira pesquisa cumpriu bem o papel de criar um banco amplo de ideias e transformar conceitos em regras programáveis. A auditoria tem uma função diferente: impedir que uma afirmação plausível seja confundida com evidência, impedir que uma definição incorreta chegue ao código e estabelecer regras de experimentação que reduzam look-ahead bias, data snooping e overfitting.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3EED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71717"/>
                <w:sz w:val="19"/>
              </w:rPr>
              <w:t>Princípio central</w:t>
            </w:r>
          </w:p>
          <w:p>
            <w:pPr>
              <w:spacing w:after="0"/>
              <w:jc w:val="both"/>
            </w:pPr>
            <w:r>
              <w:rPr>
                <w:sz w:val="18"/>
              </w:rPr>
              <w:t>O bot não será construído para “encontrar a estratégia vencedora”. Ele será construído para testar hipóteses de forma reproduzível e descartar rapidamente regras que não sobrevivam a custos, validação temporal, sensibilidade de parâmetros e mudanças de regime.</w:t>
            </w:r>
          </w:p>
        </w:tc>
      </w:tr>
    </w:tbl>
    <w:p>
      <w:pPr>
        <w:spacing w:after="20"/>
      </w:pPr>
    </w:p>
    <w:p>
      <w:pPr>
        <w:pStyle w:val="Heading2"/>
      </w:pPr>
      <w:r>
        <w:t>0.2 Registro de correções V1 -&gt; V2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</w:trPr>
        <w:tc>
          <w:tcPr>
            <w:tcW w:type="dxa" w:w="1247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Severidade</w:t>
            </w:r>
          </w:p>
        </w:tc>
        <w:tc>
          <w:tcPr>
            <w:tcW w:type="dxa" w:w="1757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Tema</w:t>
            </w:r>
          </w:p>
        </w:tc>
        <w:tc>
          <w:tcPr>
            <w:tcW w:type="dxa" w:w="6180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Correção aplicada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Crítico</w:t>
            </w:r>
          </w:p>
        </w:tc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MACD</w:t>
            </w:r>
          </w:p>
        </w:tc>
        <w:tc>
          <w:tcPr>
            <w:tcW w:type="dxa" w:w="618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A diferença SMA50-SMA200 não é o MACD padrão. A definição correta usa EMA12-EMA26 e sinal EMA9.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Crítico</w:t>
            </w:r>
          </w:p>
        </w:tc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Supertrend</w:t>
            </w:r>
          </w:p>
        </w:tc>
        <w:tc>
          <w:tcPr>
            <w:tcW w:type="dxa" w:w="618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A direção estava invertida: em uptrend a linha operacional fica abaixo do preço; em downtrend, acima.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Importante</w:t>
            </w:r>
          </w:p>
        </w:tc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Bollinger Bands</w:t>
            </w:r>
          </w:p>
        </w:tc>
        <w:tc>
          <w:tcPr>
            <w:tcW w:type="dxa" w:w="618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±2 desvios não deve ser tratado como intervalo de confiança de 95% para preços financeiros.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Importante</w:t>
            </w:r>
          </w:p>
        </w:tc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CCI</w:t>
            </w:r>
          </w:p>
        </w:tc>
        <w:tc>
          <w:tcPr>
            <w:tcW w:type="dxa" w:w="618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É um oscilador normalizado por mean deviation; não é um z-score tradicional e “mais sólido” não é uma conclusão demonstrada.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Importante</w:t>
            </w:r>
          </w:p>
        </w:tc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Correlação de indicadores</w:t>
            </w:r>
          </w:p>
        </w:tc>
        <w:tc>
          <w:tcPr>
            <w:tcW w:type="dxa" w:w="618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Números fixos de correlação foram removidos; correlação será medida no nosso dataset, por ativo, período e timeframe.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Crítico</w:t>
            </w:r>
          </w:p>
        </w:tc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Swing High/Low</w:t>
            </w:r>
          </w:p>
        </w:tc>
        <w:tc>
          <w:tcPr>
            <w:tcW w:type="dxa" w:w="618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Uma definição que usa N barras futuras só fica conhecida em i+N; usar o swing em i cria look-ahead bias.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Crítico</w:t>
            </w:r>
          </w:p>
        </w:tc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False breakout</w:t>
            </w:r>
          </w:p>
        </w:tc>
        <w:tc>
          <w:tcPr>
            <w:tcW w:type="dxa" w:w="618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Close[i+K] pode rotular historicamente um breakout falso, mas não pode ser usado como informação disponível em i.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Importante</w:t>
            </w:r>
          </w:p>
        </w:tc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Hurst</w:t>
            </w:r>
          </w:p>
        </w:tc>
        <w:tc>
          <w:tcPr>
            <w:tcW w:type="dxa" w:w="618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H&gt;0,6 e H&lt;0,4 deixam de ser “regras de regime” e passam a heurísticas/hipóteses que exigem teste.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Importante</w:t>
            </w:r>
          </w:p>
        </w:tc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Volatilidade</w:t>
            </w:r>
          </w:p>
        </w:tc>
        <w:tc>
          <w:tcPr>
            <w:tcW w:type="dxa" w:w="618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ARCH/GARCH sustentam clustering de volatilidade, não provam que compressão gera breakout direcional lucrativo.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Importante</w:t>
            </w:r>
          </w:p>
        </w:tc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PPP / Mean Reversion</w:t>
            </w:r>
          </w:p>
        </w:tc>
        <w:tc>
          <w:tcPr>
            <w:tcW w:type="dxa" w:w="618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PPP sustenta mean reversion de real exchange rates em horizontes longos; não valida diretamente BB+RSI intraday.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Crítico</w:t>
            </w:r>
          </w:p>
        </w:tc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Momentum</w:t>
            </w:r>
          </w:p>
        </w:tc>
        <w:tc>
          <w:tcPr>
            <w:tcW w:type="dxa" w:w="618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Time-series momentum [R1] foi separado de cross-sectional currency momentum [R2].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Crítico</w:t>
            </w:r>
          </w:p>
        </w:tc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Carry Trade</w:t>
            </w:r>
          </w:p>
        </w:tc>
        <w:tc>
          <w:tcPr>
            <w:tcW w:type="dxa" w:w="618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O forward premium puzzle é relacionado principalmente à Uncovered Interest Parity (UIP), não à Covered Interest Parity.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Importante</w:t>
            </w:r>
          </w:p>
        </w:tc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Londres / turnover</w:t>
            </w:r>
          </w:p>
        </w:tc>
        <w:tc>
          <w:tcPr>
            <w:tcW w:type="dxa" w:w="618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A participação do Reino Unido no turnover do BIS se refere à localização dos sales desks, não ao percentual negociado dentro de uma janela horária da sessão.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Crítico</w:t>
            </w:r>
          </w:p>
        </w:tc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Sessões / DST</w:t>
            </w:r>
          </w:p>
        </w:tc>
        <w:tc>
          <w:tcPr>
            <w:tcW w:type="dxa" w:w="618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Horários fixos em GMT foram removidos. Sessões serão definidas por timezones IANA e convertidas para UTC.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Importante</w:t>
            </w:r>
          </w:p>
        </w:tc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Freqtrade</w:t>
            </w:r>
          </w:p>
        </w:tc>
        <w:tc>
          <w:tcPr>
            <w:tcW w:type="dxa" w:w="618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Removido como framework de Forex: a documentação oficial o define como bot de cripto [T4].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Crítico</w:t>
            </w:r>
          </w:p>
        </w:tc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Expectancy</w:t>
            </w:r>
          </w:p>
        </w:tc>
        <w:tc>
          <w:tcPr>
            <w:tcW w:type="dxa" w:w="618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Corrigida a equivalência errada entre WR 40%/payoff 3:1 e WR 60%/payoff 1:1.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Importante</w:t>
            </w:r>
          </w:p>
        </w:tc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Thresholds de métricas</w:t>
            </w:r>
          </w:p>
        </w:tc>
        <w:tc>
          <w:tcPr>
            <w:tcW w:type="dxa" w:w="618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PF&gt;1,5, Sharpe&gt;1, MDD&lt;20% etc. passam a heurísticas, não gates científicos isolados.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Importante</w:t>
            </w:r>
          </w:p>
        </w:tc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OOS vs IS</w:t>
            </w:r>
          </w:p>
        </w:tc>
        <w:tc>
          <w:tcPr>
            <w:tcW w:type="dxa" w:w="618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Removida a regra “Sharpe OOS &gt; 50% do IS” como critério científico.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Importante</w:t>
            </w:r>
          </w:p>
        </w:tc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Monte Carlo</w:t>
            </w:r>
          </w:p>
        </w:tc>
        <w:tc>
          <w:tcPr>
            <w:tcW w:type="dxa" w:w="618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Percentil extremo na reordenação de trades não diagnostica sozinho data snooping.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Importante</w:t>
            </w:r>
          </w:p>
        </w:tc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Timing</w:t>
            </w:r>
          </w:p>
        </w:tc>
        <w:tc>
          <w:tcPr>
            <w:tcW w:type="dxa" w:w="618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É válido calcular sinal no fechamento de t e executar em t+1; o erro é preencher retroativamente em t.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Importante</w:t>
            </w:r>
          </w:p>
        </w:tc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Log returns</w:t>
            </w:r>
          </w:p>
        </w:tc>
        <w:tc>
          <w:tcPr>
            <w:tcW w:type="dxa" w:w="618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Mantida a aditividade temporal; removida a ideia de que +X% e -X% tenham magnitudes log simétricas.</w:t>
            </w:r>
          </w:p>
        </w:tc>
      </w:tr>
    </w:tbl>
    <w:p>
      <w:pPr>
        <w:spacing w:after="20"/>
      </w:pPr>
    </w:p>
    <w:p>
      <w:pPr>
        <w:pStyle w:val="Heading2"/>
      </w:pPr>
      <w:r>
        <w:t>0.3 Hierarquia de evidência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</w:trPr>
        <w:tc>
          <w:tcPr>
            <w:tcW w:type="dxa" w:w="907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8"/>
              </w:rPr>
              <w:t>Grau</w:t>
            </w:r>
          </w:p>
        </w:tc>
        <w:tc>
          <w:tcPr>
            <w:tcW w:type="dxa" w:w="4139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8"/>
              </w:rPr>
              <w:t>Interpretação</w:t>
            </w:r>
          </w:p>
        </w:tc>
        <w:tc>
          <w:tcPr>
            <w:tcW w:type="dxa" w:w="4139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A</w:t>
            </w:r>
          </w:p>
        </w:tc>
        <w:tc>
          <w:tcPr>
            <w:tcW w:type="dxa" w:w="4139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Evidência acadêmica forte e diretamente relevante à família de estratégia.</w:t>
            </w:r>
          </w:p>
        </w:tc>
        <w:tc>
          <w:tcPr>
            <w:tcW w:type="dxa" w:w="4139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Pode motivar replicação, mas não aprova nossa implementação.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B</w:t>
            </w:r>
          </w:p>
        </w:tc>
        <w:tc>
          <w:tcPr>
            <w:tcW w:type="dxa" w:w="4139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Evidência relevante, porém em instrumento, horizonte ou implementação diferente.</w:t>
            </w:r>
          </w:p>
        </w:tc>
        <w:tc>
          <w:tcPr>
            <w:tcW w:type="dxa" w:w="4139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Motiva hipótese com cautela.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C</w:t>
            </w:r>
          </w:p>
        </w:tc>
        <w:tc>
          <w:tcPr>
            <w:tcW w:type="dxa" w:w="4139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Mecanismo plausível ou evidência empírica limitada.</w:t>
            </w:r>
          </w:p>
        </w:tc>
        <w:tc>
          <w:tcPr>
            <w:tcW w:type="dxa" w:w="4139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Exige teste robusto antes de qualquer promoção.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D</w:t>
            </w:r>
          </w:p>
        </w:tc>
        <w:tc>
          <w:tcPr>
            <w:tcW w:type="dxa" w:w="4139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Heurística, trader lore ou regra sem fonte primária suficiente.</w:t>
            </w:r>
          </w:p>
        </w:tc>
        <w:tc>
          <w:tcPr>
            <w:tcW w:type="dxa" w:w="4139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Somente laboratório; nunca assumir edge.</w:t>
            </w:r>
          </w:p>
        </w:tc>
      </w:tr>
    </w:tbl>
    <w:p>
      <w:pPr>
        <w:spacing w:after="20"/>
      </w:pPr>
    </w:p>
    <w:p>
      <w:pPr>
        <w:pStyle w:val="Heading2"/>
      </w:pPr>
      <w:r>
        <w:t>0.4 Regra de promoção de uma ideia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4F4F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t>IDEIA -&gt; HIPÓTESE PRÉ-ESPECIFICADA -&gt; BACKTEST DE DESENVOLVIMENTO</w:t>
              <w:br/>
              <w:t xml:space="preserve">      -&gt; SENSIBILIDADE -&gt; VALIDAÇÃO -&gt; LOCKBOX OOS</w:t>
              <w:br/>
              <w:t xml:space="preserve">      -&gt; STRESS DE CUSTOS -&gt; FORWARD TEST DEMO -&gt; CANDIDATA A PRODUÇÃO</w:t>
            </w:r>
          </w:p>
        </w:tc>
      </w:tr>
    </w:tbl>
    <w:p>
      <w:pPr>
        <w:spacing w:after="20"/>
      </w:pPr>
    </w:p>
    <w:p>
      <w:pPr>
        <w:jc w:val="both"/>
      </w:pPr>
      <w:r>
        <w:t>Uma estratégia pode morrer em qualquer etapa. “Morrer no laboratório” é um resultado positivo do processo: significa que uma hipótese fraca foi eliminada antes de consumir capital, tempo de operação ou complexidade de software.</w:t>
      </w:r>
    </w:p>
    <w:p>
      <w:r>
        <w:br w:type="page"/>
      </w:r>
    </w:p>
    <w:p>
      <w:pPr>
        <w:pStyle w:val="Heading1"/>
      </w:pPr>
      <w:r>
        <w:t>PARTE 1 - Fundamentos Quantitativos Revisados</w:t>
      </w:r>
    </w:p>
    <w:p>
      <w:pPr>
        <w:pStyle w:val="Heading2"/>
      </w:pPr>
      <w:r>
        <w:t>1. Indicadores técnicos: definição antes de interpretação</w:t>
      </w:r>
    </w:p>
    <w:p>
      <w:pPr>
        <w:jc w:val="both"/>
      </w:pPr>
      <w:r>
        <w:t>Indicadores serão tratados como transformações matemáticas do preço, volatilidade e atividade, e não como sinais de compra ou venda por natureza. A estratégia deve especificar qual informação incremental o indicador pretende fornecer e verificar se essa informação não é redundante com outras features.</w:t>
      </w:r>
    </w:p>
    <w:p>
      <w:pPr>
        <w:pStyle w:val="Heading3"/>
      </w:pPr>
      <w:r>
        <w:t>1.1 Médias móveis e MACD</w:t>
      </w:r>
    </w:p>
    <w:p>
      <w:pPr>
        <w:jc w:val="both"/>
      </w:pPr>
      <w:r>
        <w:rPr>
          <w:rFonts w:ascii="Liberation Sans" w:hAnsi="Liberation Sans"/>
          <w:b/>
          <w:color w:val="245A8D"/>
        </w:rPr>
        <w:t xml:space="preserve">[DEFINIÇÃO] </w:t>
      </w:r>
      <w:r>
        <w:t>SMA(N) é a média aritmética dos últimos N valores. EMA(N) usa atualização recursiva com alpha = 2/(N+1). WMA atribui pesos lineares. O MACD padrão usa a diferença EMA(12)-EMA(26), normalmente com uma EMA(9) do MACD como linha de sinal.</w:t>
      </w:r>
    </w:p>
    <w:p>
      <w:pPr>
        <w:jc w:val="both"/>
      </w:pPr>
      <w:r>
        <w:rPr>
          <w:rFonts w:ascii="Liberation Sans" w:hAnsi="Liberation Sans"/>
          <w:b/>
          <w:color w:val="B56618"/>
        </w:rPr>
        <w:t xml:space="preserve">[HEURÍSTICA] </w:t>
      </w:r>
      <w:r>
        <w:t>Preço acima de uma média longa, slope positivo ou crossover de médias podem ser usados como proxies de tendência. Nenhum período específico (20, 50, 200) é universalmente ótimo.</w:t>
      </w:r>
    </w:p>
    <w:p>
      <w:pPr>
        <w:jc w:val="both"/>
      </w:pPr>
      <w:r>
        <w:rPr>
          <w:rFonts w:ascii="Liberation Sans" w:hAnsi="Liberation Sans"/>
          <w:b/>
          <w:color w:val="A33A2A"/>
        </w:rPr>
        <w:t xml:space="preserve">[HIPÓTESE] </w:t>
      </w:r>
      <w:r>
        <w:t>Crossover de médias possui expectativa positiva após custos em determinados pares/timeframes e mantém sinal fora da amostra.</w:t>
      </w:r>
    </w:p>
    <w:p>
      <w:pPr>
        <w:pStyle w:val="Heading3"/>
      </w:pPr>
      <w:r>
        <w:t>1.2 ADX e Directional Movement</w:t>
      </w:r>
    </w:p>
    <w:p>
      <w:pPr>
        <w:jc w:val="both"/>
      </w:pPr>
      <w:r>
        <w:rPr>
          <w:rFonts w:ascii="Liberation Sans" w:hAnsi="Liberation Sans"/>
          <w:b/>
          <w:color w:val="245A8D"/>
        </w:rPr>
        <w:t xml:space="preserve">[DEFINIÇÃO] </w:t>
      </w:r>
      <w:r>
        <w:t>ADX mede intensidade do movimento direcional derivado de +DI e -DI; não informa sozinho a direção. Thresholds como 20/25/30 são convenções práticas, não fronteiras estatísticas universais.</w:t>
      </w:r>
    </w:p>
    <w:p>
      <w:pPr>
        <w:jc w:val="both"/>
      </w:pPr>
      <w:r>
        <w:rPr>
          <w:rFonts w:ascii="Liberation Sans" w:hAnsi="Liberation Sans"/>
          <w:b/>
          <w:color w:val="A33A2A"/>
        </w:rPr>
        <w:t xml:space="preserve">[HIPÓTESE] </w:t>
      </w:r>
      <w:r>
        <w:t>Filtrar uma estratégia de tendência por ADX reduz whipsaws o suficiente para compensar a perda de oportunidades.</w:t>
      </w:r>
    </w:p>
    <w:p>
      <w:pPr>
        <w:pStyle w:val="Heading3"/>
      </w:pPr>
      <w:r>
        <w:t>1.3 RSI, Stochastic, Williams %R e CCI</w:t>
      </w:r>
    </w:p>
    <w:p>
      <w:pPr>
        <w:jc w:val="both"/>
      </w:pPr>
      <w:r>
        <w:rPr>
          <w:rFonts w:ascii="Liberation Sans" w:hAnsi="Liberation Sans"/>
          <w:b/>
          <w:color w:val="245A8D"/>
        </w:rPr>
        <w:t xml:space="preserve">[DEFINIÇÃO] </w:t>
      </w:r>
      <w:r>
        <w:t>RSI resume o balanço entre ganhos e perdas suavizados; Stochastic e Williams %R localizam o fechamento dentro do range recente; CCI normaliza o desvio do Typical Price em relação à média por uma mean deviation escalada.</w:t>
      </w:r>
    </w:p>
    <w:p>
      <w:pPr>
        <w:jc w:val="both"/>
      </w:pPr>
      <w:r>
        <w:t>A V2 elimina correlações fixas entre esses osciladores. A redundância será avaliada com correlação rolling, mutual information quando necessário e, principalmente, pelo ganho marginal no backtest OOS.</w:t>
      </w:r>
    </w:p>
    <w:p>
      <w:pPr>
        <w:jc w:val="both"/>
      </w:pPr>
      <w:r>
        <w:rPr>
          <w:rFonts w:ascii="Liberation Sans" w:hAnsi="Liberation Sans"/>
          <w:b/>
          <w:color w:val="B56618"/>
        </w:rPr>
        <w:t xml:space="preserve">[HEURÍSTICA] </w:t>
      </w:r>
      <w:r>
        <w:t>RSI 70/30, Stochastic 80/20 e CCI ±100 são thresholds tradicionais. Eles são candidatos a teste, não fatos sobre sobrecompra/sobrevenda.</w:t>
      </w:r>
    </w:p>
    <w:p>
      <w:pPr>
        <w:pStyle w:val="Heading3"/>
      </w:pPr>
      <w:r>
        <w:t>1.4 ATR, desvio-padrão, Bollinger e Keltner</w:t>
      </w:r>
    </w:p>
    <w:p>
      <w:pPr>
        <w:jc w:val="both"/>
      </w:pPr>
      <w:r>
        <w:rPr>
          <w:rFonts w:ascii="Liberation Sans" w:hAnsi="Liberation Sans"/>
          <w:b/>
          <w:color w:val="245A8D"/>
        </w:rPr>
        <w:t xml:space="preserve">[DEFINIÇÃO] </w:t>
      </w:r>
      <w:r>
        <w:t>True Range = max(H-L, |H-C_prev|, |L-C_prev|). ATR é uma média/suavização do True Range e mede magnitude de movimento, não direção.</w:t>
      </w:r>
    </w:p>
    <w:p>
      <w:pPr>
        <w:jc w:val="both"/>
      </w:pPr>
      <w:r>
        <w:rPr>
          <w:rFonts w:ascii="Liberation Sans" w:hAnsi="Liberation Sans"/>
          <w:b/>
          <w:color w:val="245A8D"/>
        </w:rPr>
        <w:t xml:space="preserve">[DEFINIÇÃO] </w:t>
      </w:r>
      <w:r>
        <w:t>Bollinger Bands combinam média móvel e desvio-padrão rolling. O parâmetro de 2 desvios tem analogia com a cobertura de uma normal teórica, mas séries financeiras não permitem interpretar a banda como intervalo de confiança de 95%.</w:t>
      </w:r>
    </w:p>
    <w:p>
      <w:pPr>
        <w:jc w:val="both"/>
      </w:pPr>
      <w:r>
        <w:rPr>
          <w:rFonts w:ascii="Liberation Sans" w:hAnsi="Liberation Sans"/>
          <w:b/>
          <w:color w:val="245A8D"/>
        </w:rPr>
        <w:t xml:space="preserve">[DEFINIÇÃO] </w:t>
      </w:r>
      <w:r>
        <w:t>Keltner Channels usam uma linha central (frequentemente EMA) e bandas baseadas em múltiplos de ATR. A combinação BB/Keltner pode descrever compressão, mas não garante direção do movimento seguinte.</w:t>
      </w:r>
    </w:p>
    <w:p>
      <w:pPr>
        <w:pStyle w:val="Heading3"/>
      </w:pPr>
      <w:r>
        <w:t>1.5 Supertrend</w:t>
      </w:r>
    </w:p>
    <w:p>
      <w:pPr>
        <w:jc w:val="both"/>
      </w:pPr>
      <w:r>
        <w:rPr>
          <w:rFonts w:ascii="Liberation Sans" w:hAnsi="Liberation Sans"/>
          <w:b/>
          <w:color w:val="245A8D"/>
        </w:rPr>
        <w:t xml:space="preserve">[DEFINIÇÃO] </w:t>
      </w:r>
      <w:r>
        <w:t>Supertrend deriva bandas de preço médio e ATR e alterna a banda ativa conforme o preço. Em regime de alta, a linha ativa fica abaixo do preço; em regime de baixa, acima.</w:t>
      </w:r>
    </w:p>
    <w:p>
      <w:pPr>
        <w:jc w:val="both"/>
      </w:pPr>
      <w:r>
        <w:rPr>
          <w:rFonts w:ascii="Liberation Sans" w:hAnsi="Liberation Sans"/>
          <w:b/>
          <w:color w:val="A33A2A"/>
        </w:rPr>
        <w:t xml:space="preserve">[HIPÓTESE] </w:t>
      </w:r>
      <w:r>
        <w:t>Supertrend agrega informação suficiente para superar uma regra mais simples de média + ATR, após custos e fora da amostra.</w:t>
      </w:r>
    </w:p>
    <w:p>
      <w:pPr>
        <w:pStyle w:val="Heading2"/>
      </w:pPr>
      <w:r>
        <w:t>2. Price Action Quantitativo e Causalidade</w:t>
      </w:r>
    </w:p>
    <w:p>
      <w:pPr>
        <w:jc w:val="both"/>
      </w:pPr>
      <w:r>
        <w:t>Formalizar price action continua sendo útil, mas a V2 diferencia “rótulo histórico” de “sinal disponível em tempo real”. Esta distinção será implementada no backtester e testada automaticamente.</w:t>
      </w:r>
    </w:p>
    <w:p>
      <w:pPr>
        <w:pStyle w:val="Heading3"/>
      </w:pPr>
      <w:r>
        <w:t>2.1 Swing High e Swing Low</w:t>
      </w:r>
    </w:p>
    <w:p>
      <w:pPr>
        <w:jc w:val="both"/>
      </w:pPr>
      <w:r>
        <w:rPr>
          <w:rFonts w:ascii="Liberation Sans" w:hAnsi="Liberation Sans"/>
          <w:b/>
          <w:color w:val="245A8D"/>
        </w:rPr>
        <w:t xml:space="preserve">[DEFINIÇÃO] </w:t>
      </w:r>
      <w:r>
        <w:t>Um swing confirmado com N barras de cada lado pode ser definido por High[i] maior que as N máximas à esquerda e à direita (análogamente para swing low).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8EDE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71717"/>
                <w:sz w:val="19"/>
              </w:rPr>
              <w:t>Regra anti-look-ahead</w:t>
            </w:r>
          </w:p>
          <w:p>
            <w:pPr>
              <w:spacing w:after="0"/>
              <w:jc w:val="both"/>
            </w:pPr>
            <w:r>
              <w:rPr>
                <w:sz w:val="18"/>
              </w:rPr>
              <w:t>Se a confirmação exige N barras à direita, o swing de índice i somente entra no estado do algoritmo em i+N. O backtester deve armazenar discovery_time separadamente de event_time.</w:t>
            </w:r>
          </w:p>
        </w:tc>
      </w:tr>
    </w:tbl>
    <w:p>
      <w:pPr>
        <w:spacing w:after="20"/>
      </w:pPr>
    </w:p>
    <w:p>
      <w:pPr>
        <w:pStyle w:val="Heading3"/>
      </w:pPr>
      <w:r>
        <w:t>2.2 Higher High / Higher Low / Break of Structure</w:t>
      </w:r>
    </w:p>
    <w:p>
      <w:pPr>
        <w:jc w:val="both"/>
      </w:pPr>
      <w:r>
        <w:rPr>
          <w:rFonts w:ascii="Liberation Sans" w:hAnsi="Liberation Sans"/>
          <w:b/>
          <w:color w:val="245A8D"/>
        </w:rPr>
        <w:t xml:space="preserve">[DEFINIÇÃO] </w:t>
      </w:r>
      <w:r>
        <w:t>HH/HL/LH/LL podem ser construídos sobre swings já confirmados. Break of Structure pode ser definido como fechamento acima/abaixo de um swing confirmado anterior.</w:t>
      </w:r>
    </w:p>
    <w:p>
      <w:pPr>
        <w:jc w:val="both"/>
      </w:pPr>
      <w:r>
        <w:rPr>
          <w:rFonts w:ascii="Liberation Sans" w:hAnsi="Liberation Sans"/>
          <w:b/>
          <w:color w:val="A33A2A"/>
        </w:rPr>
        <w:t xml:space="preserve">[HIPÓTESE] </w:t>
      </w:r>
      <w:r>
        <w:t>BOS com magnitude normalizada por ATR possui probabilidade de continuação maior do que breakouts pequenos e sobrevive aos custos.</w:t>
      </w:r>
    </w:p>
    <w:p>
      <w:pPr>
        <w:pStyle w:val="Heading3"/>
      </w:pPr>
      <w:r>
        <w:t>2.3 Range, breakout e false breakout</w:t>
      </w:r>
    </w:p>
    <w:p>
      <w:pPr>
        <w:jc w:val="both"/>
      </w:pPr>
      <w:r>
        <w:rPr>
          <w:rFonts w:ascii="Liberation Sans" w:hAnsi="Liberation Sans"/>
          <w:b/>
          <w:color w:val="245A8D"/>
        </w:rPr>
        <w:t xml:space="preserve">[DEFINIÇÃO] </w:t>
      </w:r>
      <w:r>
        <w:t>Breakout de N barras: Close[t] &gt; max(High[t-N:t-1]) para alta, ou Close[t] &lt; min(Low[t-N:t-1]) para baixa. Todos os níveis usados devem ser conhecidos antes do fechamento de t.</w:t>
      </w:r>
    </w:p>
    <w:p>
      <w:pPr>
        <w:jc w:val="both"/>
      </w:pPr>
      <w:r>
        <w:rPr>
          <w:rFonts w:ascii="Liberation Sans" w:hAnsi="Liberation Sans"/>
          <w:b/>
          <w:color w:val="245A8D"/>
        </w:rPr>
        <w:t xml:space="preserve">[DEFINIÇÃO] </w:t>
      </w:r>
      <w:r>
        <w:t>False breakout pode ser um label ex-post: após um rompimento, o preço retorna à faixa dentro de K barras. Este label só pode ser conhecido depois das K barras.</w:t>
      </w:r>
    </w:p>
    <w:p>
      <w:pPr>
        <w:jc w:val="both"/>
      </w:pPr>
      <w:r>
        <w:rPr>
          <w:rFonts w:ascii="Liberation Sans" w:hAnsi="Liberation Sans"/>
          <w:b/>
          <w:color w:val="A33A2A"/>
        </w:rPr>
        <w:t xml:space="preserve">[HIPÓTESE] </w:t>
      </w:r>
      <w:r>
        <w:t>Breakouts precedidos por compressão de volatilidade têm expectancy superior ao breakout sem filtro.</w:t>
      </w:r>
    </w:p>
    <w:p>
      <w:pPr>
        <w:pStyle w:val="Heading3"/>
      </w:pPr>
      <w:r>
        <w:t>2.4 Candle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4F4F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t>body_ratio = abs(close-open) / max(high-low, eps)</w:t>
              <w:br/>
              <w:t>upper_wick = (high-max(open,close)) / max(high-low, eps)</w:t>
              <w:br/>
              <w:t>lower_wick = (min(open,close)-low) / max(high-low, eps)</w:t>
              <w:br/>
              <w:t>range_norm = (high-low) / ATR</w:t>
            </w:r>
          </w:p>
        </w:tc>
      </w:tr>
    </w:tbl>
    <w:p>
      <w:pPr>
        <w:spacing w:after="20"/>
      </w:pPr>
    </w:p>
    <w:p>
      <w:pPr>
        <w:jc w:val="both"/>
      </w:pPr>
      <w:r>
        <w:t>Essas features quantificam formas de candle sem atribuir automaticamente significado direcional. Thresholds como body_ratio &gt; 0,6 são heurísticas que precisam ser testadas.</w:t>
      </w:r>
    </w:p>
    <w:p>
      <w:pPr>
        <w:pStyle w:val="Heading2"/>
      </w:pPr>
      <w:r>
        <w:t>3. Regimes de mercado</w:t>
      </w:r>
    </w:p>
    <w:p>
      <w:pPr>
        <w:jc w:val="both"/>
      </w:pPr>
      <w:r>
        <w:t>A ideia de regime é útil como arquitetura: uma estratégia pode se comportar de forma diferente sob combinações de tendência, volatilidade e liquidez. A V2, porém, evita tratar um detector como “verdade do mercado”. Um regime é uma classificação operacional construída por features.</w:t>
      </w:r>
    </w:p>
    <w:p>
      <w:pPr>
        <w:pStyle w:val="Heading3"/>
      </w:pPr>
      <w:r>
        <w:t>3.1 Detectores simples</w:t>
      </w:r>
    </w:p>
    <w:p>
      <w:pPr>
        <w:pStyle w:val="ListBullet"/>
        <w:spacing w:after="40"/>
        <w:ind w:left="312" w:hanging="142"/>
      </w:pPr>
      <w:r>
        <w:rPr>
          <w:sz w:val="19"/>
        </w:rPr>
        <w:t>ADX e slope/diferença de médias: simples, auditável e adequado como baseline.</w:t>
      </w:r>
    </w:p>
    <w:p>
      <w:pPr>
        <w:pStyle w:val="ListBullet"/>
        <w:spacing w:after="40"/>
        <w:ind w:left="312" w:hanging="142"/>
      </w:pPr>
      <w:r>
        <w:rPr>
          <w:sz w:val="19"/>
        </w:rPr>
        <w:t>Volatilidade relativa: ATR curto / ATR longo, desvio-padrão rolling ou percentil de volatilidade.</w:t>
      </w:r>
    </w:p>
    <w:p>
      <w:pPr>
        <w:pStyle w:val="ListBullet"/>
        <w:spacing w:after="40"/>
        <w:ind w:left="312" w:hanging="142"/>
      </w:pPr>
      <w:r>
        <w:rPr>
          <w:sz w:val="19"/>
        </w:rPr>
        <w:t>Bollinger Band Width: medida normalizada de dispersão; percentis devem ser calculados somente com histórico disponível.</w:t>
      </w:r>
    </w:p>
    <w:p>
      <w:pPr>
        <w:pStyle w:val="ListBullet"/>
        <w:spacing w:after="40"/>
        <w:ind w:left="312" w:hanging="142"/>
      </w:pPr>
      <w:r>
        <w:rPr>
          <w:sz w:val="19"/>
        </w:rPr>
        <w:t>Autocorrelação de retornos: pode ser estimada em janelas rolling; significância e estabilidade devem ser verificadas.</w:t>
      </w:r>
    </w:p>
    <w:p>
      <w:pPr>
        <w:pStyle w:val="Heading3"/>
      </w:pPr>
      <w:r>
        <w:t>3.2 Hurst Exponent</w:t>
      </w:r>
    </w:p>
    <w:p>
      <w:pPr>
        <w:jc w:val="both"/>
      </w:pPr>
      <w:r>
        <w:rPr>
          <w:rFonts w:ascii="Liberation Sans" w:hAnsi="Liberation Sans"/>
          <w:b/>
          <w:color w:val="245A8D"/>
        </w:rPr>
        <w:t xml:space="preserve">[DEFINIÇÃO] </w:t>
      </w:r>
      <w:r>
        <w:t>O expoente de Hurst caracteriza propriedades de persistência/long memory conforme o estimador e o processo analisado. A interpretação H&gt;0,5 persistente e H&lt;0,5 antipersistente é conceitual, mas estimativas em mercados são sensíveis a janela, método, tendências e mudanças estruturais.</w:t>
      </w:r>
    </w:p>
    <w:p>
      <w:pPr>
        <w:jc w:val="both"/>
      </w:pPr>
      <w:r>
        <w:rPr>
          <w:rFonts w:ascii="Liberation Sans" w:hAnsi="Liberation Sans"/>
          <w:b/>
          <w:color w:val="B56618"/>
        </w:rPr>
        <w:t xml:space="preserve">[HEURÍSTICA] </w:t>
      </w:r>
      <w:r>
        <w:t>H&gt;0,6 = “trending” e H&lt;0,4 = “mean reverting” são thresholds experimentais, não regras universais.</w:t>
      </w:r>
    </w:p>
    <w:p>
      <w:pPr>
        <w:jc w:val="both"/>
      </w:pPr>
      <w:r>
        <w:rPr>
          <w:rFonts w:ascii="Liberation Sans" w:hAnsi="Liberation Sans"/>
          <w:b/>
          <w:color w:val="A33A2A"/>
        </w:rPr>
        <w:t xml:space="preserve">[HIPÓTESE] </w:t>
      </w:r>
      <w:r>
        <w:t>Hurst acrescenta poder preditivo ao baseline ADX/volatilidade suficiente para justificar complexidade adicional.</w:t>
      </w:r>
    </w:p>
    <w:p>
      <w:pPr>
        <w:pStyle w:val="Heading3"/>
      </w:pPr>
      <w:r>
        <w:t>3.3 HMM, GMM e clustering</w:t>
      </w:r>
    </w:p>
    <w:p>
      <w:pPr>
        <w:jc w:val="both"/>
      </w:pPr>
      <w:r>
        <w:rPr>
          <w:rFonts w:ascii="Liberation Sans" w:hAnsi="Liberation Sans"/>
          <w:b/>
          <w:color w:val="245A8D"/>
        </w:rPr>
        <w:t xml:space="preserve">[DEFINIÇÃO] </w:t>
      </w:r>
      <w:r>
        <w:t>Hidden Markov Models modelam estados latentes com probabilidades de transição; Gaussian Mixture Models atribuem probabilidades de pertencimento a clusters; K-Means produz partições rígidas.</w:t>
      </w:r>
    </w:p>
    <w:p>
      <w:pPr>
        <w:jc w:val="both"/>
      </w:pPr>
      <w:r>
        <w:rPr>
          <w:rFonts w:ascii="Liberation Sans" w:hAnsi="Liberation Sans"/>
          <w:b/>
          <w:color w:val="A33A2A"/>
        </w:rPr>
        <w:t xml:space="preserve">[HIPÓTESE] </w:t>
      </w:r>
      <w:r>
        <w:t>Um regime probabilístico treinado sem leakage melhora o desempenho OOS de uma estratégia base e continua útil após custos e drift.</w:t>
      </w:r>
    </w:p>
    <w:p>
      <w:pPr>
        <w:jc w:val="both"/>
      </w:pPr>
      <w:r>
        <w:t>Modelos de regime serão introduzidos somente depois de existir um baseline simples que possa ser comparado. Complexidade sem benchmark é impossível de justificar.</w:t>
      </w:r>
    </w:p>
    <w:p>
      <w:pPr>
        <w:pStyle w:val="Heading2"/>
      </w:pPr>
      <w:r>
        <w:t>4. Gestão de risco</w:t>
      </w:r>
    </w:p>
    <w:p>
      <w:pPr>
        <w:jc w:val="both"/>
      </w:pPr>
      <w:r>
        <w:t>Gestão de risco não cria edge, mas determina a distribuição de P&amp;L e a sobrevivência operacional. A V2 separa risco da estratégia de sinal e risco de portfólio/exposição.</w:t>
      </w:r>
    </w:p>
    <w:p>
      <w:pPr>
        <w:pStyle w:val="Heading3"/>
      </w:pPr>
      <w:r>
        <w:t>4.1 Position sizing monetário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4F4F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t>risk_cash = equity * risk_fraction</w:t>
              <w:br/>
              <w:t>position_size = risk_cash / loss_per_unit_if_stop_hits</w:t>
            </w:r>
          </w:p>
        </w:tc>
      </w:tr>
    </w:tbl>
    <w:p>
      <w:pPr>
        <w:spacing w:after="20"/>
      </w:pPr>
    </w:p>
    <w:p>
      <w:pPr>
        <w:jc w:val="both"/>
      </w:pPr>
      <w:r>
        <w:t>Em Forex, loss_per_unit deve usar especificações do símbolo, contract size, point/pip value, moeda de cotação e conversão para a moeda da conta. Evitar fórmulas que assumem “$10 por pip” para todos os pares. Na implementação MT5, o sizing deve ser conferido com funções de cálculo do próprio terminal quando possível.</w:t>
      </w:r>
    </w:p>
    <w:p>
      <w:pPr>
        <w:pStyle w:val="Heading3"/>
      </w:pPr>
      <w:r>
        <w:t>4.2 Stop, trailing e break-even</w:t>
      </w:r>
    </w:p>
    <w:p>
      <w:pPr>
        <w:jc w:val="both"/>
      </w:pPr>
      <w:r>
        <w:rPr>
          <w:rFonts w:ascii="Liberation Sans" w:hAnsi="Liberation Sans"/>
          <w:b/>
          <w:color w:val="B56618"/>
        </w:rPr>
        <w:t xml:space="preserve">[HEURÍSTICA] </w:t>
      </w:r>
      <w:r>
        <w:t>Stops de 1,5-3 ATR, trailing por ATR e mover para break-even após 1R são regras práticas. Devem ser comparadas com saídas mais simples e nunca escolhidas por aparência visual.</w:t>
      </w:r>
    </w:p>
    <w:p>
      <w:pPr>
        <w:jc w:val="both"/>
      </w:pPr>
      <w:r>
        <w:t>Toda regra de saída será incluída na pré-especificação. Mudar stop/target depois de ver o resultado é uma forma de model selection e entra na contagem de testes.</w:t>
      </w:r>
    </w:p>
    <w:p>
      <w:pPr>
        <w:pStyle w:val="Heading3"/>
      </w:pPr>
      <w:r>
        <w:t>4.3 Exposição correlacionada</w:t>
      </w:r>
    </w:p>
    <w:p>
      <w:pPr>
        <w:jc w:val="both"/>
      </w:pPr>
      <w:r>
        <w:t>Correlações entre pares são dinâmicas. Em vez de assumir EURUSD/GBPUSD = 0,8, o sistema calculará correlação rolling de retornos e também exposição por moeda. Duas posições podem ser diferentes em pares, mas concentradas no mesmo fator USD.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4F4F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t>Exemplo conceitual:</w:t>
              <w:br/>
              <w:t>LONG EURUSD  -&gt; +EUR / -USD</w:t>
              <w:br/>
              <w:t>LONG GBPUSD  -&gt; +GBP / -USD</w:t>
              <w:br/>
              <w:t>Resultado: exposição concentrada short USD, apesar de dois símbolos.</w:t>
            </w:r>
          </w:p>
        </w:tc>
      </w:tr>
    </w:tbl>
    <w:p>
      <w:pPr>
        <w:spacing w:after="20"/>
      </w:pPr>
    </w:p>
    <w:p>
      <w:pPr>
        <w:pStyle w:val="Heading2"/>
      </w:pPr>
      <w:r>
        <w:t>5. Métricas: o que medir e o que não transformar em dogma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</w:trPr>
        <w:tc>
          <w:tcPr>
            <w:tcW w:type="dxa" w:w="1701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Métrica</w:t>
            </w:r>
          </w:p>
        </w:tc>
        <w:tc>
          <w:tcPr>
            <w:tcW w:type="dxa" w:w="3458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Uso principal</w:t>
            </w:r>
          </w:p>
        </w:tc>
        <w:tc>
          <w:tcPr>
            <w:tcW w:type="dxa" w:w="3969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Observação V2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Expectancy</w:t>
            </w:r>
          </w:p>
        </w:tc>
        <w:tc>
          <w:tcPr>
            <w:tcW w:type="dxa" w:w="345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Resultado médio por trade, preferencialmente em R e líquido de custos.</w:t>
            </w:r>
          </w:p>
        </w:tc>
        <w:tc>
          <w:tcPr>
            <w:tcW w:type="dxa" w:w="3969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Principal métrica operacional; reportar IC/bootstrap.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Profit Factor</w:t>
            </w:r>
          </w:p>
        </w:tc>
        <w:tc>
          <w:tcPr>
            <w:tcW w:type="dxa" w:w="345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Gross profit / gross loss.</w:t>
            </w:r>
          </w:p>
        </w:tc>
        <w:tc>
          <w:tcPr>
            <w:tcW w:type="dxa" w:w="3969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Sensível a poucos outliers e número de trades.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Sharpe</w:t>
            </w:r>
          </w:p>
        </w:tc>
        <w:tc>
          <w:tcPr>
            <w:tcW w:type="dxa" w:w="345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Retorno por volatilidade total.</w:t>
            </w:r>
          </w:p>
        </w:tc>
        <w:tc>
          <w:tcPr>
            <w:tcW w:type="dxa" w:w="3969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Comparar com incerteza, não usar threshold isolado.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Sortino</w:t>
            </w:r>
          </w:p>
        </w:tc>
        <w:tc>
          <w:tcPr>
            <w:tcW w:type="dxa" w:w="345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Retorno por downside deviation.</w:t>
            </w:r>
          </w:p>
        </w:tc>
        <w:tc>
          <w:tcPr>
            <w:tcW w:type="dxa" w:w="3969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Útil quando distribuição é assimétrica.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Max Drawdown</w:t>
            </w:r>
          </w:p>
        </w:tc>
        <w:tc>
          <w:tcPr>
            <w:tcW w:type="dxa" w:w="345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Pior queda pico-vale observada.</w:t>
            </w:r>
          </w:p>
        </w:tc>
        <w:tc>
          <w:tcPr>
            <w:tcW w:type="dxa" w:w="3969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Histórico não é limite para o futuro.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Calmar</w:t>
            </w:r>
          </w:p>
        </w:tc>
        <w:tc>
          <w:tcPr>
            <w:tcW w:type="dxa" w:w="345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Retorno anualizado / MDD.</w:t>
            </w:r>
          </w:p>
        </w:tc>
        <w:tc>
          <w:tcPr>
            <w:tcW w:type="dxa" w:w="3969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Complementa Sharpe para estratégias com drawdowns longos.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MAE / MFE</w:t>
            </w:r>
          </w:p>
        </w:tc>
        <w:tc>
          <w:tcPr>
            <w:tcW w:type="dxa" w:w="345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Excursão adversa/favorável por trade.</w:t>
            </w:r>
          </w:p>
        </w:tc>
        <w:tc>
          <w:tcPr>
            <w:tcW w:type="dxa" w:w="3969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Ajuda a estudar stops/exits sem retroajustar regra.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Turnover / Exposure</w:t>
            </w:r>
          </w:p>
        </w:tc>
        <w:tc>
          <w:tcPr>
            <w:tcW w:type="dxa" w:w="345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Frequência e tempo de risco.</w:t>
            </w:r>
          </w:p>
        </w:tc>
        <w:tc>
          <w:tcPr>
            <w:tcW w:type="dxa" w:w="3969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Conecta performance a custo e capacidade.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Trade count</w:t>
            </w:r>
          </w:p>
        </w:tc>
        <w:tc>
          <w:tcPr>
            <w:tcW w:type="dxa" w:w="345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Tamanho amostral.</w:t>
            </w:r>
          </w:p>
        </w:tc>
        <w:tc>
          <w:tcPr>
            <w:tcW w:type="dxa" w:w="3969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Interpretar junto de dependência temporal e clusters.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3EED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71717"/>
                <w:sz w:val="19"/>
              </w:rPr>
              <w:t>Correção de expectancy</w:t>
            </w:r>
          </w:p>
          <w:p>
            <w:pPr>
              <w:spacing w:after="0"/>
              <w:jc w:val="both"/>
            </w:pPr>
            <w:r>
              <w:rPr>
                <w:sz w:val="18"/>
              </w:rPr>
              <w:t>WR 40% com ganho médio 3R e perda média 1R gera 0,40×3 - 0,60×1 = +0,60R. WR 60% com ganho médio 1R e perda média 1R gera +0,20R. Portanto, não são equivalentes.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PARTE 2 - Famílias de Estratégias e Força da Evidência</w:t>
      </w:r>
    </w:p>
    <w:p>
      <w:pPr>
        <w:jc w:val="both"/>
      </w:pPr>
      <w:r>
        <w:t>A força da evidência abaixo se refere à família de comportamento, não à nossa regra específica. Uma estratégia implementada em MT5 pode diferir do estudo acadêmico em instrumento (spot vs futures/forwards), financiamento, custos, horário e método de execução.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cantSplit/>
        </w:trPr>
        <w:tc>
          <w:tcPr>
            <w:tcW w:type="dxa" w:w="1757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Família</w:t>
            </w:r>
          </w:p>
        </w:tc>
        <w:tc>
          <w:tcPr>
            <w:tcW w:type="dxa" w:w="1134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Evidência da família</w:t>
            </w:r>
          </w:p>
        </w:tc>
        <w:tc>
          <w:tcPr>
            <w:tcW w:type="dxa" w:w="1247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Evidência da regra atual</w:t>
            </w:r>
          </w:p>
        </w:tc>
        <w:tc>
          <w:tcPr>
            <w:tcW w:type="dxa" w:w="3061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Base</w:t>
            </w:r>
          </w:p>
        </w:tc>
        <w:tc>
          <w:tcPr>
            <w:tcW w:type="dxa" w:w="2268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Status no projeto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Time-Series Momentum</w:t>
            </w:r>
          </w:p>
        </w:tc>
        <w:tc>
          <w:tcPr>
            <w:tcW w:type="dxa" w:w="113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A</w:t>
            </w:r>
          </w:p>
        </w:tc>
        <w:tc>
          <w:tcPr>
            <w:tcW w:type="dxa" w:w="124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B</w:t>
            </w:r>
          </w:p>
        </w:tc>
        <w:tc>
          <w:tcPr>
            <w:tcW w:type="dxa" w:w="306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Persistência de 1-12 meses em futuros de moedas dentro de amostra multiativos [R1].</w:t>
            </w:r>
          </w:p>
        </w:tc>
        <w:tc>
          <w:tcPr>
            <w:tcW w:type="dxa" w:w="226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Excelente candidata de replicação; retail spot exige modelar carry/swap.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Currency Momentum cross-sectional</w:t>
            </w:r>
          </w:p>
        </w:tc>
        <w:tc>
          <w:tcPr>
            <w:tcW w:type="dxa" w:w="113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A</w:t>
            </w:r>
          </w:p>
        </w:tc>
        <w:tc>
          <w:tcPr>
            <w:tcW w:type="dxa" w:w="124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</w:t>
            </w:r>
          </w:p>
        </w:tc>
        <w:tc>
          <w:tcPr>
            <w:tcW w:type="dxa" w:w="306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Spread winner-loser documentado em moedas [R2].</w:t>
            </w:r>
          </w:p>
        </w:tc>
        <w:tc>
          <w:tcPr>
            <w:tcW w:type="dxa" w:w="226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Estratégia de portfólio; diferente de sinal em um único par.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Carry Trade</w:t>
            </w:r>
          </w:p>
        </w:tc>
        <w:tc>
          <w:tcPr>
            <w:tcW w:type="dxa" w:w="113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A</w:t>
            </w:r>
          </w:p>
        </w:tc>
        <w:tc>
          <w:tcPr>
            <w:tcW w:type="dxa" w:w="124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B</w:t>
            </w:r>
          </w:p>
        </w:tc>
        <w:tc>
          <w:tcPr>
            <w:tcW w:type="dxa" w:w="306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Retornos de carry e relação com volatilidade global FX [R3][R4].</w:t>
            </w:r>
          </w:p>
        </w:tc>
        <w:tc>
          <w:tcPr>
            <w:tcW w:type="dxa" w:w="226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Tail risk e implementação retail dependente do swap.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Trend Following por médias</w:t>
            </w:r>
          </w:p>
        </w:tc>
        <w:tc>
          <w:tcPr>
            <w:tcW w:type="dxa" w:w="113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B</w:t>
            </w:r>
          </w:p>
        </w:tc>
        <w:tc>
          <w:tcPr>
            <w:tcW w:type="dxa" w:w="124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</w:t>
            </w:r>
          </w:p>
        </w:tc>
        <w:tc>
          <w:tcPr>
            <w:tcW w:type="dxa" w:w="306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Relacionada à evidência de trend/time-series momentum, mas EMA+ADX é regra específica.</w:t>
            </w:r>
          </w:p>
        </w:tc>
        <w:tc>
          <w:tcPr>
            <w:tcW w:type="dxa" w:w="226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Boa primeira estratégia de engenharia.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Volatility Breakout</w:t>
            </w:r>
          </w:p>
        </w:tc>
        <w:tc>
          <w:tcPr>
            <w:tcW w:type="dxa" w:w="113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B</w:t>
            </w:r>
          </w:p>
        </w:tc>
        <w:tc>
          <w:tcPr>
            <w:tcW w:type="dxa" w:w="124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</w:t>
            </w:r>
          </w:p>
        </w:tc>
        <w:tc>
          <w:tcPr>
            <w:tcW w:type="dxa" w:w="306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Clustering de volatilidade é bem estabelecido [R5][R6]; direção do breakout é hipótese.</w:t>
            </w:r>
          </w:p>
        </w:tc>
        <w:tc>
          <w:tcPr>
            <w:tcW w:type="dxa" w:w="226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Boa candidata para laboratório.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Mean Reversion intraday</w:t>
            </w:r>
          </w:p>
        </w:tc>
        <w:tc>
          <w:tcPr>
            <w:tcW w:type="dxa" w:w="113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B</w:t>
            </w:r>
          </w:p>
        </w:tc>
        <w:tc>
          <w:tcPr>
            <w:tcW w:type="dxa" w:w="124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D</w:t>
            </w:r>
          </w:p>
        </w:tc>
        <w:tc>
          <w:tcPr>
            <w:tcW w:type="dxa" w:w="306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PPP/real exchange rate mostra reversão em horizontes de anos [R8][R17], não valida BB/RSI H1.</w:t>
            </w:r>
          </w:p>
        </w:tc>
        <w:tc>
          <w:tcPr>
            <w:tcW w:type="dxa" w:w="226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Experimental.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Session / London Breakout</w:t>
            </w:r>
          </w:p>
        </w:tc>
        <w:tc>
          <w:tcPr>
            <w:tcW w:type="dxa" w:w="113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</w:t>
            </w:r>
          </w:p>
        </w:tc>
        <w:tc>
          <w:tcPr>
            <w:tcW w:type="dxa" w:w="124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D</w:t>
            </w:r>
          </w:p>
        </w:tc>
        <w:tc>
          <w:tcPr>
            <w:tcW w:type="dxa" w:w="306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Há sazonalidade intraday em FX, mas a regra Asian Range específica carece de suporte primário robusto.</w:t>
            </w:r>
          </w:p>
        </w:tc>
        <w:tc>
          <w:tcPr>
            <w:tcW w:type="dxa" w:w="226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Experimental; exige timezone correto.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Statistical Arbitrage</w:t>
            </w:r>
          </w:p>
        </w:tc>
        <w:tc>
          <w:tcPr>
            <w:tcW w:type="dxa" w:w="113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A (método)</w:t>
            </w:r>
          </w:p>
        </w:tc>
        <w:tc>
          <w:tcPr>
            <w:tcW w:type="dxa" w:w="124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</w:t>
            </w:r>
          </w:p>
        </w:tc>
        <w:tc>
          <w:tcPr>
            <w:tcW w:type="dxa" w:w="306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Cointegração fornece fundamento estatístico [R7].</w:t>
            </w:r>
          </w:p>
        </w:tc>
        <w:tc>
          <w:tcPr>
            <w:tcW w:type="dxa" w:w="226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Par e estabilidade precisam ser descobertos sem data snooping.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Regime-Filtered Trend</w:t>
            </w:r>
          </w:p>
        </w:tc>
        <w:tc>
          <w:tcPr>
            <w:tcW w:type="dxa" w:w="113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</w:t>
            </w:r>
          </w:p>
        </w:tc>
        <w:tc>
          <w:tcPr>
            <w:tcW w:type="dxa" w:w="124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D</w:t>
            </w:r>
          </w:p>
        </w:tc>
        <w:tc>
          <w:tcPr>
            <w:tcW w:type="dxa" w:w="306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Arquitetura plausível; benefício de ADX/Hurst/HMM é específico.</w:t>
            </w:r>
          </w:p>
        </w:tc>
        <w:tc>
          <w:tcPr>
            <w:tcW w:type="dxa" w:w="226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Somente após baseline.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Multi-Timeframe</w:t>
            </w:r>
          </w:p>
        </w:tc>
        <w:tc>
          <w:tcPr>
            <w:tcW w:type="dxa" w:w="113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</w:t>
            </w:r>
          </w:p>
        </w:tc>
        <w:tc>
          <w:tcPr>
            <w:tcW w:type="dxa" w:w="124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D</w:t>
            </w:r>
          </w:p>
        </w:tc>
        <w:tc>
          <w:tcPr>
            <w:tcW w:type="dxa" w:w="306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Consistência entre horizontes é intuitiva, mas ganho incremental precisa ser demonstrado.</w:t>
            </w:r>
          </w:p>
        </w:tc>
        <w:tc>
          <w:tcPr>
            <w:tcW w:type="dxa" w:w="226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Somente após baseline.</w:t>
            </w:r>
          </w:p>
        </w:tc>
      </w:tr>
    </w:tbl>
    <w:p>
      <w:pPr>
        <w:spacing w:after="20"/>
      </w:pPr>
    </w:p>
    <w:p>
      <w:pPr>
        <w:pStyle w:val="Heading2"/>
      </w:pPr>
      <w:r>
        <w:t>6. Trend Following</w:t>
      </w:r>
    </w:p>
    <w:p>
      <w:pPr>
        <w:jc w:val="both"/>
      </w:pPr>
      <w:r>
        <w:rPr>
          <w:rFonts w:ascii="Liberation Sans" w:hAnsi="Liberation Sans"/>
          <w:b/>
          <w:color w:val="2E7D32"/>
        </w:rPr>
        <w:t xml:space="preserve">[EVIDÊNCIA] </w:t>
      </w:r>
      <w:r>
        <w:t>Time-series momentum documenta persistência de retornos em futuros de moedas e outros ativos para horizontes de aproximadamente 1-12 meses [R1]. Isso sustenta a investigação da família “trend/momentum”, não um crossover EMA específico.</w:t>
      </w:r>
    </w:p>
    <w:p>
      <w:pPr>
        <w:jc w:val="both"/>
      </w:pPr>
      <w:r>
        <w:rPr>
          <w:rFonts w:ascii="Liberation Sans" w:hAnsi="Liberation Sans"/>
          <w:b/>
          <w:color w:val="A33A2A"/>
        </w:rPr>
        <w:t xml:space="preserve">[HIPÓTESE] </w:t>
      </w:r>
      <w:r>
        <w:t>EMA20/EMA50 ou EMA50/EMA200 no H1/H4 possui expectancy líquida positiva e estabilidade entre pares.</w:t>
      </w:r>
    </w:p>
    <w:p>
      <w:pPr>
        <w:jc w:val="both"/>
      </w:pPr>
      <w:r>
        <w:t>Condições de falha esperadas: mercados laterais, reversões frequentes, custos elevados em sinais curtos e períodos em que a tendência muda mais rápido do que o indicador. O experimento deve medir a sequência de perdas e o custo dos whipsaws.</w:t>
      </w:r>
    </w:p>
    <w:p>
      <w:pPr>
        <w:pStyle w:val="Heading2"/>
      </w:pPr>
      <w:r>
        <w:t>7. Momentum: duas famílias diferentes</w:t>
      </w:r>
    </w:p>
    <w:p>
      <w:pPr>
        <w:pStyle w:val="Heading3"/>
      </w:pPr>
      <w:r>
        <w:t>7.1 Time-Series Momentum (TSMOM)</w:t>
      </w:r>
    </w:p>
    <w:p>
      <w:pPr>
        <w:jc w:val="both"/>
      </w:pPr>
      <w:r>
        <w:rPr>
          <w:rFonts w:ascii="Liberation Sans" w:hAnsi="Liberation Sans"/>
          <w:b/>
          <w:color w:val="2E7D32"/>
        </w:rPr>
        <w:t xml:space="preserve">[EVIDÊNCIA] </w:t>
      </w:r>
      <w:r>
        <w:t>Moskowitz, Ooi e Pedersen (2012) documentam time-series momentum em 58 instrumentos líquidos de futuros, incluindo moedas, com persistência de retornos entre 1 e 12 meses [R1].</w:t>
      </w:r>
    </w:p>
    <w:p>
      <w:pPr>
        <w:jc w:val="both"/>
      </w:pPr>
      <w:r>
        <w:t>A replicação do paper em um bot retail spot não é literal: futuros/forwards incorporam estrutura de carry diferente do spot com swap do broker. Por isso haverá uma trilha acadêmica de replicação e uma trilha de implementação retail.</w:t>
      </w:r>
    </w:p>
    <w:p>
      <w:pPr>
        <w:pStyle w:val="Heading3"/>
      </w:pPr>
      <w:r>
        <w:t>7.2 Cross-Sectional Currency Momentum</w:t>
      </w:r>
    </w:p>
    <w:p>
      <w:pPr>
        <w:jc w:val="both"/>
      </w:pPr>
      <w:r>
        <w:rPr>
          <w:rFonts w:ascii="Liberation Sans" w:hAnsi="Liberation Sans"/>
          <w:b/>
          <w:color w:val="2E7D32"/>
        </w:rPr>
        <w:t xml:space="preserve">[EVIDÊNCIA] </w:t>
      </w:r>
      <w:r>
        <w:t>Menkhoff, Sarno, Schmeling e Schrimpf (2012) estudam cross-sectional momentum: formar portfólios de moedas vencedoras e perdedoras entre si. Isso é distinto de comprar EURUSD porque o retorno do próprio EURUSD foi positivo [R2].</w:t>
      </w:r>
    </w:p>
    <w:p>
      <w:pPr>
        <w:jc w:val="both"/>
      </w:pPr>
      <w:r>
        <w:t>Esta família é relevante para uma futura versão multi-pair/portfolio, mas não é prioridade para o primeiro executor de um único sinal por par.</w:t>
      </w:r>
    </w:p>
    <w:p>
      <w:pPr>
        <w:pStyle w:val="Heading2"/>
      </w:pPr>
      <w:r>
        <w:t>8. Volatility Expansion / Breakout</w:t>
      </w:r>
    </w:p>
    <w:p>
      <w:pPr>
        <w:jc w:val="both"/>
      </w:pPr>
      <w:r>
        <w:rPr>
          <w:rFonts w:ascii="Liberation Sans" w:hAnsi="Liberation Sans"/>
          <w:b/>
          <w:color w:val="2E7D32"/>
        </w:rPr>
        <w:t xml:space="preserve">[EVIDÊNCIA] </w:t>
      </w:r>
      <w:r>
        <w:t>ARCH e GARCH formalizam heterocedasticidade condicional e persistência/clustering de volatilidade [R5][R6].</w:t>
      </w:r>
    </w:p>
    <w:p>
      <w:pPr>
        <w:jc w:val="both"/>
      </w:pPr>
      <w:r>
        <w:rPr>
          <w:rFonts w:ascii="Liberation Sans" w:hAnsi="Liberation Sans"/>
          <w:b/>
          <w:color w:val="A33A2A"/>
        </w:rPr>
        <w:t xml:space="preserve">[HIPÓTESE] </w:t>
      </w:r>
      <w:r>
        <w:t>Uma compressão operacional (ex.: ATR curto/ATR longo baixo) seguida de rompimento de máxima/mínima recente apresenta continuidade suficiente para pagar spread, comissão e slippage.</w:t>
      </w:r>
    </w:p>
    <w:p>
      <w:pPr>
        <w:jc w:val="both"/>
      </w:pPr>
      <w:r>
        <w:t>A direção do breakout não é implicada pela literatura de GARCH. A V2 elimina frases como “compressão é seguida de expansão direcional na maioria das vezes” quando não houver fonte primária específica para a regra.</w:t>
      </w:r>
    </w:p>
    <w:p>
      <w:pPr>
        <w:pStyle w:val="Heading2"/>
      </w:pPr>
      <w:r>
        <w:t>9. Mean Reversion</w:t>
      </w:r>
    </w:p>
    <w:p>
      <w:pPr>
        <w:jc w:val="both"/>
      </w:pPr>
      <w:r>
        <w:rPr>
          <w:rFonts w:ascii="Liberation Sans" w:hAnsi="Liberation Sans"/>
          <w:b/>
          <w:color w:val="2E7D32"/>
        </w:rPr>
        <w:t xml:space="preserve">[EVIDÊNCIA] </w:t>
      </w:r>
      <w:r>
        <w:t>A literatura de PPP encontra mean reversion em real exchange rates, mas com meia-vida estimada em anos; Frankel e Rose encontraram aproximadamente quatro anos em painel amplo [R8], e trabalhos posteriores reportam valores igualmente longos [R17].</w:t>
      </w:r>
    </w:p>
    <w:p>
      <w:pPr>
        <w:jc w:val="both"/>
      </w:pPr>
      <w:r>
        <w:rPr>
          <w:rFonts w:ascii="Liberation Sans" w:hAnsi="Liberation Sans"/>
          <w:b/>
          <w:color w:val="A33A2A"/>
        </w:rPr>
        <w:t xml:space="preserve">[HIPÓTESE] </w:t>
      </w:r>
      <w:r>
        <w:t>Em H1/H4, um desvio normalizado do preço em regime lateral reverte à média com expectativa líquida positiva. Esta hipótese não é validada pela PPP.</w:t>
      </w:r>
    </w:p>
    <w:p>
      <w:pPr>
        <w:jc w:val="both"/>
      </w:pPr>
      <w:r>
        <w:t>A V2 prefere um z-score simples/normalizado como baseline. RSI e Bollinger podem ser adicionados posteriormente para medir ganho incremental, evitando empilhar osciladores que descrevem a mesma informação.</w:t>
      </w:r>
    </w:p>
    <w:p>
      <w:pPr>
        <w:pStyle w:val="Heading2"/>
      </w:pPr>
      <w:r>
        <w:t>10. Carry Trade</w:t>
      </w:r>
    </w:p>
    <w:p>
      <w:pPr>
        <w:jc w:val="both"/>
      </w:pPr>
      <w:r>
        <w:rPr>
          <w:rFonts w:ascii="Liberation Sans" w:hAnsi="Liberation Sans"/>
          <w:b/>
          <w:color w:val="2E7D32"/>
        </w:rPr>
        <w:t xml:space="preserve">[EVIDÊNCIA] </w:t>
      </w:r>
      <w:r>
        <w:t>Carry trade - financiar em moedas de baixa taxa e investir em moedas de alta taxa - possui literatura robusta. Menkhoff et al. relacionam os retornos a risco de volatilidade global FX [R3], e Burnside et al. analisam os retornos e o peso problem [R4].</w:t>
      </w:r>
    </w:p>
    <w:p>
      <w:pPr>
        <w:jc w:val="both"/>
      </w:pPr>
      <w:r>
        <w:rPr>
          <w:rFonts w:ascii="Liberation Sans" w:hAnsi="Liberation Sans"/>
          <w:b/>
          <w:color w:val="245A8D"/>
        </w:rPr>
        <w:t xml:space="preserve">[DEFINIÇÃO] </w:t>
      </w:r>
      <w:r>
        <w:t>O forward premium puzzle é uma violação empírica associada à Uncovered Interest Parity (UIP). Covered Interest Parity é uma relação de arbitragem envolvendo spot, forward e juros e não deve ser confundida com UIP.</w:t>
      </w:r>
    </w:p>
    <w:p>
      <w:pPr>
        <w:jc w:val="both"/>
      </w:pPr>
      <w:r>
        <w:t>No retail MT5, o retorno de carry observado é mediado pela política de swap do broker, markup, rollover e direção long/short. A implementação deve usar especificações reais do símbolo e nunca inferir carry apenas da taxa do banco central.</w:t>
      </w:r>
    </w:p>
    <w:p>
      <w:pPr>
        <w:pStyle w:val="Heading2"/>
      </w:pPr>
      <w:r>
        <w:t>11. Session-Based / London Open</w:t>
      </w:r>
    </w:p>
    <w:p>
      <w:pPr>
        <w:jc w:val="both"/>
      </w:pPr>
      <w:r>
        <w:rPr>
          <w:rFonts w:ascii="Liberation Sans" w:hAnsi="Liberation Sans"/>
          <w:b/>
          <w:color w:val="2E7D32"/>
        </w:rPr>
        <w:t xml:space="preserve">[EVIDÊNCIA] </w:t>
      </w:r>
      <w:r>
        <w:t>O mercado FX tem forte estrutura intradiária de liquidez e volatilidade, e Londres continua sendo o maior centro geográfico de FX. O BIS reportou que sales desks no Reino Unido responderam por 38% do turnover global em abril de 2025 [R13].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3EED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71717"/>
                <w:sz w:val="19"/>
              </w:rPr>
              <w:t>Correção de interpretação</w:t>
            </w:r>
          </w:p>
          <w:p>
            <w:pPr>
              <w:spacing w:after="0"/>
              <w:jc w:val="both"/>
            </w:pPr>
            <w:r>
              <w:rPr>
                <w:sz w:val="18"/>
              </w:rPr>
              <w:t>38% é participação dos sales desks localizados no Reino Unido, não “38% do volume entre 08:00 e 17:00”. A V2 não converte esse dado geográfico em estatística de sessão.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Liberation Sans" w:hAnsi="Liberation Sans"/>
          <w:b/>
          <w:color w:val="A33A2A"/>
        </w:rPr>
        <w:t xml:space="preserve">[HIPÓTESE] </w:t>
      </w:r>
      <w:r>
        <w:t>O rompimento do range que antecede a abertura local de Londres oferece edge em determinados pares após custos e exclusão de eventos macro.</w:t>
      </w:r>
    </w:p>
    <w:p>
      <w:pPr>
        <w:jc w:val="both"/>
      </w:pPr>
      <w:r>
        <w:t>Sessões serão definidas por Europe/London, America/New_York e Asia/Tokyo usando timezone IANA. Conversões para UTC devem respeitar horário de verão automaticamente [T2][T3].</w:t>
      </w:r>
    </w:p>
    <w:p>
      <w:pPr>
        <w:pStyle w:val="Heading2"/>
      </w:pPr>
      <w:r>
        <w:t>12. Statistical Arbitrage / Cointegration</w:t>
      </w:r>
    </w:p>
    <w:p>
      <w:pPr>
        <w:jc w:val="both"/>
      </w:pPr>
      <w:r>
        <w:rPr>
          <w:rFonts w:ascii="Liberation Sans" w:hAnsi="Liberation Sans"/>
          <w:b/>
          <w:color w:val="2E7D32"/>
        </w:rPr>
        <w:t xml:space="preserve">[EVIDÊNCIA] </w:t>
      </w:r>
      <w:r>
        <w:t>Engle e Granger (1987) fornecem o arcabouço de cointegração para combinações estacionárias de séries não estacionárias [R7].</w:t>
      </w:r>
    </w:p>
    <w:p>
      <w:pPr>
        <w:jc w:val="both"/>
      </w:pPr>
      <w:r>
        <w:rPr>
          <w:rFonts w:ascii="Liberation Sans" w:hAnsi="Liberation Sans"/>
          <w:b/>
          <w:color w:val="A33A2A"/>
        </w:rPr>
        <w:t xml:space="preserve">[HIPÓTESE] </w:t>
      </w:r>
      <w:r>
        <w:t>Existem relações estáveis entre pares/moedas do universo selecionado que produzem spread mean-reverting após custos e continuam cointegradas fora da amostra.</w:t>
      </w:r>
    </w:p>
    <w:p>
      <w:pPr>
        <w:jc w:val="both"/>
      </w:pPr>
      <w:r>
        <w:t>Correlação não implica cointegração. O processo deverá estimar relação, testar estabilidade, evitar selecionar pares pelo mesmo OOS usado para avaliação e possuir regra explícita de invalidação da relação.</w:t>
      </w:r>
    </w:p>
    <w:p>
      <w:pPr>
        <w:pStyle w:val="Heading2"/>
      </w:pPr>
      <w:r>
        <w:t>13. Regime Switching e Multi-Timeframe</w:t>
      </w:r>
    </w:p>
    <w:p>
      <w:pPr>
        <w:jc w:val="both"/>
      </w:pPr>
      <w:r>
        <w:rPr>
          <w:rFonts w:ascii="Liberation Sans" w:hAnsi="Liberation Sans"/>
          <w:b/>
          <w:color w:val="A33A2A"/>
        </w:rPr>
        <w:t xml:space="preserve">[HIPÓTESE] </w:t>
      </w:r>
      <w:r>
        <w:t>Filtrar uma estratégia simples por regime melhora retorno ajustado a risco de forma OOS e reduz drawdown além do que seria esperado pelo simples corte de exposição.</w:t>
      </w:r>
    </w:p>
    <w:p>
      <w:pPr>
        <w:jc w:val="both"/>
      </w:pPr>
      <w:r>
        <w:t>O primeiro filtro a testar será simples (ADX/volatilidade). Hurst, HMM e clustering entram em camadas posteriores. Multi-timeframe será avaliado como feature/filtro incremental, não como princípio assumido.</w:t>
      </w:r>
    </w:p>
    <w:p>
      <w:r>
        <w:br w:type="page"/>
      </w:r>
    </w:p>
    <w:p>
      <w:pPr>
        <w:pStyle w:val="Heading1"/>
      </w:pPr>
      <w:r>
        <w:t>PARTE 3 - Dados, Execução e Backtesting Reprodutível</w:t>
      </w:r>
    </w:p>
    <w:p>
      <w:pPr>
        <w:pStyle w:val="Heading2"/>
      </w:pPr>
      <w:r>
        <w:t>14. Data &amp; Execution Specification - obrigatório antes do primeiro backtest</w:t>
      </w:r>
    </w:p>
    <w:p>
      <w:pPr>
        <w:jc w:val="both"/>
      </w:pPr>
      <w:r>
        <w:t>Dois backtests da mesma regra podem divergir radicalmente por convenções de preço, horário, spread e preenchimento. Por isso, a especificação de dados é parte da estratégia e deve ser versionada junto do código.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2268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Campo</w:t>
            </w:r>
          </w:p>
        </w:tc>
        <w:tc>
          <w:tcPr>
            <w:tcW w:type="dxa" w:w="6917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Regra V2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Fonte</w:t>
            </w:r>
          </w:p>
        </w:tc>
        <w:tc>
          <w:tcPr>
            <w:tcW w:type="dxa" w:w="691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Registrar broker/servidor/terminal e período de coleta.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Timezone bruto</w:t>
            </w:r>
          </w:p>
        </w:tc>
        <w:tc>
          <w:tcPr>
            <w:tcW w:type="dxa" w:w="691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Preservar timestamp original e documentar timezone do feed.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Timezone canônico</w:t>
            </w:r>
          </w:p>
        </w:tc>
        <w:tc>
          <w:tcPr>
            <w:tcW w:type="dxa" w:w="691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Armazenar UTC; gerar campos locais via ZoneInfo/IANA.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DST</w:t>
            </w:r>
          </w:p>
        </w:tc>
        <w:tc>
          <w:tcPr>
            <w:tcW w:type="dxa" w:w="691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Nunca hardcode offset anual. Usar Europe/London, America/New_York etc. [T2][T3].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OHLC</w:t>
            </w:r>
          </w:p>
        </w:tc>
        <w:tc>
          <w:tcPr>
            <w:tcW w:type="dxa" w:w="691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Registrar convenção do broker (Bid/Last/etc.). Não assumir sem verificar.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Bid/Ask</w:t>
            </w:r>
          </w:p>
        </w:tc>
        <w:tc>
          <w:tcPr>
            <w:tcW w:type="dxa" w:w="691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Modelar preço executável por lado da operação; spread faz parte do fill.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Spread</w:t>
            </w:r>
          </w:p>
        </w:tc>
        <w:tc>
          <w:tcPr>
            <w:tcW w:type="dxa" w:w="691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Usar histórico quando disponível; caso contrário, cenário base + stress.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Commission</w:t>
            </w:r>
          </w:p>
        </w:tc>
        <w:tc>
          <w:tcPr>
            <w:tcW w:type="dxa" w:w="691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Configuração real da conta/broker.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Slippage</w:t>
            </w:r>
          </w:p>
        </w:tc>
        <w:tc>
          <w:tcPr>
            <w:tcW w:type="dxa" w:w="691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Modelo explícito, por liquidez/volatilidade; incluir cenários adversos.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Swap/Rollover</w:t>
            </w:r>
          </w:p>
        </w:tc>
        <w:tc>
          <w:tcPr>
            <w:tcW w:type="dxa" w:w="691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Ler especificação do símbolo e regra do broker; não hardcode.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Point/Pip</w:t>
            </w:r>
          </w:p>
        </w:tc>
        <w:tc>
          <w:tcPr>
            <w:tcW w:type="dxa" w:w="691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Derivar de digits/point do símbolo e normalizar por instrumento.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Contract size</w:t>
            </w:r>
          </w:p>
        </w:tc>
        <w:tc>
          <w:tcPr>
            <w:tcW w:type="dxa" w:w="691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Derivar de symbol_info e usar no cálculo monetário.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Volume min/step/max</w:t>
            </w:r>
          </w:p>
        </w:tc>
        <w:tc>
          <w:tcPr>
            <w:tcW w:type="dxa" w:w="691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Respeitar regras do símbolo antes de enviar ordem.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Missing data</w:t>
            </w:r>
          </w:p>
        </w:tc>
        <w:tc>
          <w:tcPr>
            <w:tcW w:type="dxa" w:w="691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Detectar gaps, duplicatas, timezone anomalies e barras impossíveis.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Versão do dataset</w:t>
            </w:r>
          </w:p>
        </w:tc>
        <w:tc>
          <w:tcPr>
            <w:tcW w:type="dxa" w:w="691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Hash/manifesto do arquivo ou registro de data de extração.</w:t>
            </w:r>
          </w:p>
        </w:tc>
      </w:tr>
    </w:tbl>
    <w:p>
      <w:pPr>
        <w:spacing w:after="20"/>
      </w:pPr>
    </w:p>
    <w:p>
      <w:pPr>
        <w:pStyle w:val="Heading3"/>
      </w:pPr>
      <w:r>
        <w:t>14.1 MetaTrader 5 e candle fechado</w:t>
      </w:r>
    </w:p>
    <w:p>
      <w:pPr>
        <w:jc w:val="both"/>
      </w:pPr>
      <w:r>
        <w:rPr>
          <w:rFonts w:ascii="Liberation Sans" w:hAnsi="Liberation Sans"/>
          <w:b/>
          <w:color w:val="245A8D"/>
        </w:rPr>
        <w:t xml:space="preserve">[DEFINIÇÃO] </w:t>
      </w:r>
      <w:r>
        <w:t>Na API Python do MT5, copy_rates_from_pos retorna time, open, high, low, close, tick_volume, spread e real_volume. A barra de índice 0 é a barra atual [T1].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8EDE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71717"/>
                <w:sz w:val="19"/>
              </w:rPr>
              <w:t>Regra operacional</w:t>
            </w:r>
          </w:p>
          <w:p>
            <w:pPr>
              <w:spacing w:after="0"/>
              <w:jc w:val="both"/>
            </w:pPr>
            <w:r>
              <w:rPr>
                <w:sz w:val="18"/>
              </w:rPr>
              <w:t>Uma estratégia baseada em candle fechado não deve usar a barra 0 como se estivesse finalizada. O pipeline deve identificar explicitamente last_closed_bar e separar signal_time de fill_time.</w:t>
            </w:r>
          </w:p>
        </w:tc>
      </w:tr>
    </w:tbl>
    <w:p>
      <w:pPr>
        <w:spacing w:after="20"/>
      </w:pPr>
    </w:p>
    <w:p>
      <w:pPr>
        <w:pStyle w:val="Heading3"/>
      </w:pPr>
      <w:r>
        <w:t>14.2 Modelo de execução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4F4F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t>LONG: entrada ocorre no Ask; saída ocorre no Bid.</w:t>
              <w:br/>
              <w:t>SHORT: entrada ocorre no Bid; saída ocorre no Ask.</w:t>
              <w:br/>
              <w:t>Sinal calculado no fechamento de t -&gt; primeira execução permitida em t+1 ou no próximo tick após o fechamento.</w:t>
              <w:br/>
              <w:t>Nunca preencher no Open[t] usando informação do Close[t].</w:t>
            </w:r>
          </w:p>
        </w:tc>
      </w:tr>
    </w:tbl>
    <w:p>
      <w:pPr>
        <w:spacing w:after="20"/>
      </w:pPr>
    </w:p>
    <w:p>
      <w:pPr>
        <w:jc w:val="both"/>
      </w:pPr>
      <w:r>
        <w:t>Se o backtester usa OHLC sem ticks, precisa de uma política explícita quando stop e target são tocados dentro da mesma barra. A política deve ser conservadora ou baseada em dados intrabar; nunca escolher retroativamente o resultado favorável.</w:t>
      </w:r>
    </w:p>
    <w:p>
      <w:pPr>
        <w:pStyle w:val="Heading3"/>
      </w:pPr>
      <w:r>
        <w:t>14.3 Sessões e DST</w:t>
      </w:r>
    </w:p>
    <w:p>
      <w:pPr>
        <w:jc w:val="both"/>
      </w:pPr>
      <w:r>
        <w:t>Python zoneinfo implementa fusos IANA e lida com transições de horário de verão [T2]. Para Londres, o Reino Unido alterna entre GMT e BST; em 2026, por exemplo, os relógios avançam em 29 de março e retornam em 25 de outubro [T3].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4F4F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t>Europe/London  -&gt; horário local da regra</w:t>
              <w:br/>
              <w:t>America/New_York -&gt; notícias/abertura NY</w:t>
              <w:br/>
              <w:t>Asia/Tokyo       -&gt; sessão Tokyo</w:t>
              <w:br/>
              <w:t>UTC              -&gt; armazenamento e comparação universal</w:t>
            </w:r>
          </w:p>
        </w:tc>
      </w:tr>
    </w:tbl>
    <w:p>
      <w:pPr>
        <w:spacing w:after="20"/>
      </w:pPr>
    </w:p>
    <w:p>
      <w:pPr>
        <w:pStyle w:val="Heading2"/>
      </w:pPr>
      <w:r>
        <w:t>15. Custos reais e stress</w:t>
      </w:r>
    </w:p>
    <w:p>
      <w:pPr>
        <w:jc w:val="both"/>
      </w:pPr>
      <w:r>
        <w:t>Uma estratégia será avaliada em pelo menos três cenários de custo. O cenário “sem custo” pode existir apenas como diagnóstico de edge bruto; nunca como resultado principal.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</w:trPr>
        <w:tc>
          <w:tcPr>
            <w:tcW w:type="dxa" w:w="1701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8"/>
              </w:rPr>
              <w:t>Cenário</w:t>
            </w:r>
          </w:p>
        </w:tc>
        <w:tc>
          <w:tcPr>
            <w:tcW w:type="dxa" w:w="2551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8"/>
              </w:rPr>
              <w:t>Spread/Commission</w:t>
            </w:r>
          </w:p>
        </w:tc>
        <w:tc>
          <w:tcPr>
            <w:tcW w:type="dxa" w:w="1984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8"/>
              </w:rPr>
              <w:t>Slippage</w:t>
            </w:r>
          </w:p>
        </w:tc>
        <w:tc>
          <w:tcPr>
            <w:tcW w:type="dxa" w:w="2948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Bruto</w:t>
            </w:r>
          </w:p>
        </w:tc>
        <w:tc>
          <w:tcPr>
            <w:tcW w:type="dxa" w:w="255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0</w:t>
            </w:r>
          </w:p>
        </w:tc>
        <w:tc>
          <w:tcPr>
            <w:tcW w:type="dxa" w:w="198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0</w:t>
            </w:r>
          </w:p>
        </w:tc>
        <w:tc>
          <w:tcPr>
            <w:tcW w:type="dxa" w:w="294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Diagnóstico: existe sinal antes de fricção?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Base</w:t>
            </w:r>
          </w:p>
        </w:tc>
        <w:tc>
          <w:tcPr>
            <w:tcW w:type="dxa" w:w="255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Configuração histórica/realista</w:t>
            </w:r>
          </w:p>
        </w:tc>
        <w:tc>
          <w:tcPr>
            <w:tcW w:type="dxa" w:w="198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Modelo base</w:t>
            </w:r>
          </w:p>
        </w:tc>
        <w:tc>
          <w:tcPr>
            <w:tcW w:type="dxa" w:w="294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Resultado principal.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Stress +50%</w:t>
            </w:r>
          </w:p>
        </w:tc>
        <w:tc>
          <w:tcPr>
            <w:tcW w:type="dxa" w:w="255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1,5× custo base</w:t>
            </w:r>
          </w:p>
        </w:tc>
        <w:tc>
          <w:tcPr>
            <w:tcW w:type="dxa" w:w="198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1,5× base</w:t>
            </w:r>
          </w:p>
        </w:tc>
        <w:tc>
          <w:tcPr>
            <w:tcW w:type="dxa" w:w="294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Testar margem de segurança.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Stress +100%</w:t>
            </w:r>
          </w:p>
        </w:tc>
        <w:tc>
          <w:tcPr>
            <w:tcW w:type="dxa" w:w="255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2× custo base</w:t>
            </w:r>
          </w:p>
        </w:tc>
        <w:tc>
          <w:tcPr>
            <w:tcW w:type="dxa" w:w="198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2× base</w:t>
            </w:r>
          </w:p>
        </w:tc>
        <w:tc>
          <w:tcPr>
            <w:tcW w:type="dxa" w:w="294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Detectar estratégias que dependem de execução perfeita.</w:t>
            </w:r>
          </w:p>
        </w:tc>
      </w:tr>
    </w:tbl>
    <w:p>
      <w:pPr>
        <w:spacing w:after="20"/>
      </w:pPr>
    </w:p>
    <w:p>
      <w:pPr>
        <w:pStyle w:val="Heading2"/>
      </w:pPr>
      <w:r>
        <w:t>16. Protocolo de backtesting</w:t>
      </w:r>
    </w:p>
    <w:p>
      <w:pPr>
        <w:jc w:val="both"/>
      </w:pPr>
      <w:r>
        <w:t>A V2 substitui a busca do “melhor parâmetro” por um processo de pesquisa com lockbox temporal. O objetivo é estimar incerteza e generalização, não maximizar a curva histórica.</w:t>
      </w:r>
    </w:p>
    <w:p>
      <w:pPr>
        <w:spacing w:after="40"/>
        <w:ind w:left="369" w:hanging="227"/>
      </w:pPr>
      <w:r>
        <w:t>1.  Definir hipótese econômica/estatística e primary specification antes de olhar o resultado.</w:t>
      </w:r>
    </w:p>
    <w:p>
      <w:pPr>
        <w:spacing w:after="40"/>
        <w:ind w:left="369" w:hanging="227"/>
      </w:pPr>
      <w:r>
        <w:t>2.  Congelar dataset e registrar data, broker, timezones e regras de custo.</w:t>
      </w:r>
    </w:p>
    <w:p>
      <w:pPr>
        <w:spacing w:after="40"/>
        <w:ind w:left="369" w:hanging="227"/>
      </w:pPr>
      <w:r>
        <w:t>3.  Separar cronologicamente Research/Development, Validation e Lockbox OOS.</w:t>
      </w:r>
    </w:p>
    <w:p>
      <w:pPr>
        <w:spacing w:after="40"/>
        <w:ind w:left="369" w:hanging="227"/>
      </w:pPr>
      <w:r>
        <w:t>4.  Usar o Research para implementar e depurar. Bugs corrigidos devem ser registrados.</w:t>
      </w:r>
    </w:p>
    <w:p>
      <w:pPr>
        <w:spacing w:after="40"/>
        <w:ind w:left="369" w:hanging="227"/>
      </w:pPr>
      <w:r>
        <w:t>5.  Usar Validation para escolher entre poucas alternativas justificadas.</w:t>
      </w:r>
    </w:p>
    <w:p>
      <w:pPr>
        <w:spacing w:after="40"/>
        <w:ind w:left="369" w:hanging="227"/>
      </w:pPr>
      <w:r>
        <w:t>6.  Abrir o Lockbox OOS somente após congelar regra, parâmetros e custos.</w:t>
      </w:r>
    </w:p>
    <w:p>
      <w:pPr>
        <w:spacing w:after="40"/>
        <w:ind w:left="369" w:hanging="227"/>
      </w:pPr>
      <w:r>
        <w:t>7.  Executar sensitivity tests e cost stress sem transformar o lockbox em novo conjunto de otimização.</w:t>
      </w:r>
    </w:p>
    <w:p>
      <w:pPr>
        <w:spacing w:after="40"/>
        <w:ind w:left="369" w:hanging="227"/>
      </w:pPr>
      <w:r>
        <w:t>8.  Se a regra for alterada após ver o lockbox, criar um novo lockbox futuro/independente; o antigo deixa de ser OOS final.</w:t>
      </w:r>
    </w:p>
    <w:p>
      <w:pPr>
        <w:pStyle w:val="Heading3"/>
      </w:pPr>
      <w:r>
        <w:t>16.1 Parameter sensitivity</w:t>
      </w:r>
    </w:p>
    <w:p>
      <w:pPr>
        <w:jc w:val="both"/>
      </w:pPr>
      <w:r>
        <w:t>Preferir análise one-at-a-time ao redor de um baseline pré-definido. Se for necessário explorar múltiplas dimensões, registrar o número total de configurações e aplicar métodos de multiple testing/overfitting apropriados.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4F4F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t>Exemplo correto de sensibilidade:</w:t>
              <w:br/>
              <w:t>Baseline: N=20, ATR_ratio=0.80, stop=2 ATR</w:t>
              <w:br/>
              <w:t>1) variar N: 15, 20, 30 mantendo os demais fixos</w:t>
              <w:br/>
              <w:t>2) variar ATR_ratio: 0.70, 0.80, 0.90 mantendo os demais fixos</w:t>
              <w:br/>
              <w:t>3) variar stop: 1.5, 2.0, 2.5 ATR mantendo os demais fixos</w:t>
            </w:r>
          </w:p>
        </w:tc>
      </w:tr>
    </w:tbl>
    <w:p>
      <w:pPr>
        <w:spacing w:after="20"/>
      </w:pPr>
    </w:p>
    <w:p>
      <w:pPr>
        <w:pStyle w:val="Heading3"/>
      </w:pPr>
      <w:r>
        <w:t>16.2 Data snooping e multiple testing</w:t>
      </w:r>
    </w:p>
    <w:p>
      <w:pPr>
        <w:jc w:val="both"/>
      </w:pPr>
      <w:r>
        <w:rPr>
          <w:rFonts w:ascii="Liberation Sans" w:hAnsi="Liberation Sans"/>
          <w:b/>
          <w:color w:val="2E7D32"/>
        </w:rPr>
        <w:t xml:space="preserve">[EVIDÊNCIA] </w:t>
      </w:r>
      <w:r>
        <w:t>White (2000) formaliza o problema de data snooping quando os mesmos dados são reutilizados para seleção de modelos [R9]. Sullivan, Timmermann e White aplicam ajustes de data snooping a regras técnicas [R10].</w:t>
      </w:r>
    </w:p>
    <w:p>
      <w:pPr>
        <w:jc w:val="both"/>
      </w:pPr>
      <w:r>
        <w:rPr>
          <w:rFonts w:ascii="Liberation Sans" w:hAnsi="Liberation Sans"/>
          <w:b/>
          <w:color w:val="2E7D32"/>
        </w:rPr>
        <w:t xml:space="preserve">[EVIDÊNCIA] </w:t>
      </w:r>
      <w:r>
        <w:t>Deflated Sharpe Ratio corrige seleção, overfitting de backtest e não-normalidade [R11]. Probability of Backtest Overfitting / CSCV fornece uma forma de estimar risco de selecionar um vencedor in-sample que falha OOS [R12].</w:t>
      </w:r>
    </w:p>
    <w:p>
      <w:pPr>
        <w:jc w:val="both"/>
      </w:pPr>
      <w:r>
        <w:t>Esses métodos não precisam estar na v0.1 do código, mas o design deve registrar todos os experimentos desde o início para que possam ser aplicados quando a pesquisa ganhar escala.</w:t>
      </w:r>
    </w:p>
    <w:p>
      <w:pPr>
        <w:pStyle w:val="Heading3"/>
      </w:pPr>
      <w:r>
        <w:t>16.3 Walk-forward, bootstrap e Monte Carlo</w:t>
      </w:r>
    </w:p>
    <w:p>
      <w:pPr>
        <w:jc w:val="both"/>
      </w:pPr>
      <w:r>
        <w:t>Walk-forward é útil para simular reestimação temporal e drift. Bootstrap pode construir intervalos de confiança, desde que a dependência temporal seja respeitada quando necessário. Reordenação de trades em Monte Carlo estima sensibilidade à sequência de resultados, mas não prova por si só que houve data snooping.</w:t>
      </w:r>
    </w:p>
    <w:p>
      <w:pPr>
        <w:pStyle w:val="Heading3"/>
      </w:pPr>
      <w:r>
        <w:t>16.4 Gates de decisão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</w:trPr>
        <w:tc>
          <w:tcPr>
            <w:tcW w:type="dxa" w:w="1474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Gate</w:t>
            </w:r>
          </w:p>
        </w:tc>
        <w:tc>
          <w:tcPr>
            <w:tcW w:type="dxa" w:w="4535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Pergunta</w:t>
            </w:r>
          </w:p>
        </w:tc>
        <w:tc>
          <w:tcPr>
            <w:tcW w:type="dxa" w:w="3231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Resultado possível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G0 - Integridade</w:t>
            </w:r>
          </w:p>
        </w:tc>
        <w:tc>
          <w:tcPr>
            <w:tcW w:type="dxa" w:w="4535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O backtest é causal e sem leakage?</w:t>
            </w:r>
          </w:p>
        </w:tc>
        <w:tc>
          <w:tcPr>
            <w:tcW w:type="dxa" w:w="323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Falhou -&gt; corrigir; resultados anteriores invalidados.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G1 - Edge bruto</w:t>
            </w:r>
          </w:p>
        </w:tc>
        <w:tc>
          <w:tcPr>
            <w:tcW w:type="dxa" w:w="4535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Há expectancy bruta &gt; 0 de forma consistente?</w:t>
            </w:r>
          </w:p>
        </w:tc>
        <w:tc>
          <w:tcPr>
            <w:tcW w:type="dxa" w:w="323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Não -&gt; arquivar.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G2 - Custos</w:t>
            </w:r>
          </w:p>
        </w:tc>
        <w:tc>
          <w:tcPr>
            <w:tcW w:type="dxa" w:w="4535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Sobrevive ao cenário base e não colapsa no stress?</w:t>
            </w:r>
          </w:p>
        </w:tc>
        <w:tc>
          <w:tcPr>
            <w:tcW w:type="dxa" w:w="323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Não -&gt; arquivar/repensar horizonte.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G3 - Robustez</w:t>
            </w:r>
          </w:p>
        </w:tc>
        <w:tc>
          <w:tcPr>
            <w:tcW w:type="dxa" w:w="4535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Parâmetros vizinhos, pares e subperíodos mantêm comportamento?</w:t>
            </w:r>
          </w:p>
        </w:tc>
        <w:tc>
          <w:tcPr>
            <w:tcW w:type="dxa" w:w="323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Não -&gt; suspeita de overfit.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G4 - OOS</w:t>
            </w:r>
          </w:p>
        </w:tc>
        <w:tc>
          <w:tcPr>
            <w:tcW w:type="dxa" w:w="4535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Lockbox preserva sinal economicamente relevante?</w:t>
            </w:r>
          </w:p>
        </w:tc>
        <w:tc>
          <w:tcPr>
            <w:tcW w:type="dxa" w:w="323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Não -&gt; arquivar ou reformular nova hipótese.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G5 - Demo</w:t>
            </w:r>
          </w:p>
        </w:tc>
        <w:tc>
          <w:tcPr>
            <w:tcW w:type="dxa" w:w="4535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Execução real/dry-run acompanha suposições do backtest?</w:t>
            </w:r>
          </w:p>
        </w:tc>
        <w:tc>
          <w:tcPr>
            <w:tcW w:type="dxa" w:w="323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Não -&gt; corrigir execution model.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PARTE 4 - Engenharia de Features e Machine Learning</w:t>
      </w:r>
    </w:p>
    <w:p>
      <w:pPr>
        <w:pStyle w:val="Heading2"/>
      </w:pPr>
      <w:r>
        <w:t>17. Feature engineering</w:t>
      </w:r>
    </w:p>
    <w:p>
      <w:pPr>
        <w:jc w:val="both"/>
      </w:pPr>
      <w:r>
        <w:t>Features são descrições dos dados disponíveis no instante de decisão. Cada feature deve ter definição, timestamp de disponibilidade e tratamento de missing values. O pipeline deve impedir que scalers, percentis e normalizações usem observações futuras.</w:t>
      </w:r>
    </w:p>
    <w:p>
      <w:pPr>
        <w:pStyle w:val="Heading3"/>
      </w:pPr>
      <w:r>
        <w:t>17.1 Retornos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4F4F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t>simple_return[t] = close[t] / close[t-1] - 1</w:t>
              <w:br/>
              <w:t>log_return[t]    = ln(close[t] / close[t-1])</w:t>
              <w:br/>
              <w:t>N_period_log_return = sum(log_return[t-N+1 : t])</w:t>
            </w:r>
          </w:p>
        </w:tc>
      </w:tr>
    </w:tbl>
    <w:p>
      <w:pPr>
        <w:spacing w:after="20"/>
      </w:pPr>
    </w:p>
    <w:p>
      <w:pPr>
        <w:jc w:val="both"/>
      </w:pPr>
      <w:r>
        <w:t>Log returns são aditivos no tempo. A V2 remove a afirmação de que um ganho simples de +X% e uma perda simples de -X% tenham a mesma magnitude logarítmica; isso não é verdade em geral.</w:t>
      </w:r>
    </w:p>
    <w:p>
      <w:pPr>
        <w:pStyle w:val="Heading3"/>
      </w:pPr>
      <w:r>
        <w:t>17.2 Volatilidade e distância normalizada</w:t>
      </w:r>
    </w:p>
    <w:p>
      <w:pPr>
        <w:pStyle w:val="ListBullet"/>
        <w:spacing w:after="40"/>
        <w:ind w:left="312" w:hanging="142"/>
      </w:pPr>
      <w:r>
        <w:rPr>
          <w:sz w:val="19"/>
        </w:rPr>
        <w:t>ATR_norm = ATR / Close ou, preferencialmente, risco monetário convertido para unidade comparável.</w:t>
      </w:r>
    </w:p>
    <w:p>
      <w:pPr>
        <w:pStyle w:val="ListBullet"/>
        <w:spacing w:after="40"/>
        <w:ind w:left="312" w:hanging="142"/>
      </w:pPr>
      <w:r>
        <w:rPr>
          <w:sz w:val="19"/>
        </w:rPr>
        <w:t>Rolling standard deviation de log returns.</w:t>
      </w:r>
    </w:p>
    <w:p>
      <w:pPr>
        <w:pStyle w:val="ListBullet"/>
        <w:spacing w:after="40"/>
        <w:ind w:left="312" w:hanging="142"/>
      </w:pPr>
      <w:r>
        <w:rPr>
          <w:sz w:val="19"/>
        </w:rPr>
        <w:t>Percentil de volatilidade calculado somente com janela passada.</w:t>
      </w:r>
    </w:p>
    <w:p>
      <w:pPr>
        <w:pStyle w:val="ListBullet"/>
        <w:spacing w:after="40"/>
        <w:ind w:left="312" w:hanging="142"/>
      </w:pPr>
      <w:r>
        <w:rPr>
          <w:sz w:val="19"/>
        </w:rPr>
        <w:t>Distance to mean / rolling std (z-like feature), com cuidado para não assumir normalidade.</w:t>
      </w:r>
    </w:p>
    <w:p>
      <w:pPr>
        <w:pStyle w:val="ListBullet"/>
        <w:spacing w:after="40"/>
        <w:ind w:left="312" w:hanging="142"/>
      </w:pPr>
      <w:r>
        <w:rPr>
          <w:sz w:val="19"/>
        </w:rPr>
        <w:t>Bollinger Band Width e ATR short/long ratio.</w:t>
      </w:r>
    </w:p>
    <w:p>
      <w:pPr>
        <w:pStyle w:val="Heading3"/>
      </w:pPr>
      <w:r>
        <w:t>17.3 Estrutura e candle</w:t>
      </w:r>
    </w:p>
    <w:p>
      <w:pPr>
        <w:pStyle w:val="ListBullet"/>
        <w:spacing w:after="40"/>
        <w:ind w:left="312" w:hanging="142"/>
      </w:pPr>
      <w:r>
        <w:rPr>
          <w:sz w:val="19"/>
        </w:rPr>
        <w:t>dist_to_high_N e dist_to_low_N normalizados por ATR.</w:t>
      </w:r>
    </w:p>
    <w:p>
      <w:pPr>
        <w:pStyle w:val="ListBullet"/>
        <w:spacing w:after="40"/>
        <w:ind w:left="312" w:hanging="142"/>
      </w:pPr>
      <w:r>
        <w:rPr>
          <w:sz w:val="19"/>
        </w:rPr>
        <w:t>breakout_distance somente após o breakout ocorrer; não usar labels futuros como features.</w:t>
      </w:r>
    </w:p>
    <w:p>
      <w:pPr>
        <w:pStyle w:val="ListBullet"/>
        <w:spacing w:after="40"/>
        <w:ind w:left="312" w:hanging="142"/>
      </w:pPr>
      <w:r>
        <w:rPr>
          <w:sz w:val="19"/>
        </w:rPr>
        <w:t>body_ratio, wick ratios e range_norm com proteção contra divisão por zero.</w:t>
      </w:r>
    </w:p>
    <w:p>
      <w:pPr>
        <w:pStyle w:val="ListBullet"/>
        <w:spacing w:after="40"/>
        <w:ind w:left="312" w:hanging="142"/>
      </w:pPr>
      <w:r>
        <w:rPr>
          <w:sz w:val="19"/>
        </w:rPr>
        <w:t>swing_age e distance_to_last_confirmed_swing usando somente swings já confirmados.</w:t>
      </w:r>
    </w:p>
    <w:p>
      <w:pPr>
        <w:pStyle w:val="Heading3"/>
      </w:pPr>
      <w:r>
        <w:t>17.4 Tempo, sessão e eventos</w:t>
      </w:r>
    </w:p>
    <w:p>
      <w:pPr>
        <w:pStyle w:val="ListBullet"/>
        <w:spacing w:after="40"/>
        <w:ind w:left="312" w:hanging="142"/>
      </w:pPr>
      <w:r>
        <w:rPr>
          <w:sz w:val="19"/>
        </w:rPr>
        <w:t>Hora local codificada por seno/cosseno ou categorias, além de UTC.</w:t>
      </w:r>
    </w:p>
    <w:p>
      <w:pPr>
        <w:pStyle w:val="ListBullet"/>
        <w:spacing w:after="40"/>
        <w:ind w:left="312" w:hanging="142"/>
      </w:pPr>
      <w:r>
        <w:rPr>
          <w:sz w:val="19"/>
        </w:rPr>
        <w:t>session_london, session_new_york, overlap, session_tokyo derivados por timezone IANA.</w:t>
      </w:r>
    </w:p>
    <w:p>
      <w:pPr>
        <w:pStyle w:val="ListBullet"/>
        <w:spacing w:after="40"/>
        <w:ind w:left="312" w:hanging="142"/>
      </w:pPr>
      <w:r>
        <w:rPr>
          <w:sz w:val="19"/>
        </w:rPr>
        <w:t>Dia da semana e proximidade de rollover.</w:t>
      </w:r>
    </w:p>
    <w:p>
      <w:pPr>
        <w:pStyle w:val="ListBullet"/>
        <w:spacing w:after="40"/>
        <w:ind w:left="312" w:hanging="142"/>
      </w:pPr>
      <w:r>
        <w:rPr>
          <w:sz w:val="19"/>
        </w:rPr>
        <w:t>Tempo até/depois de evento macro de alto impacto, quando o calendário tiver fonte confiável.</w:t>
      </w:r>
    </w:p>
    <w:p>
      <w:pPr>
        <w:pStyle w:val="Heading2"/>
      </w:pPr>
      <w:r>
        <w:t>18. Machine Learning: somente depois do baseline</w:t>
      </w:r>
    </w:p>
    <w:p>
      <w:pPr>
        <w:jc w:val="both"/>
      </w:pPr>
      <w:r>
        <w:t>ML não será usado para substituir a ausência de hipótese. O primeiro objetivo é construir um pipeline causal e validar regras simples. ML entra quando houver pergunta clara, features consistentes e baseline competitivo.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</w:trPr>
        <w:tc>
          <w:tcPr>
            <w:tcW w:type="dxa" w:w="1701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Modelo</w:t>
            </w:r>
          </w:p>
        </w:tc>
        <w:tc>
          <w:tcPr>
            <w:tcW w:type="dxa" w:w="2891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Uso candidato</w:t>
            </w:r>
          </w:p>
        </w:tc>
        <w:tc>
          <w:tcPr>
            <w:tcW w:type="dxa" w:w="2948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Risco principal</w:t>
            </w:r>
          </w:p>
        </w:tc>
        <w:tc>
          <w:tcPr>
            <w:tcW w:type="dxa" w:w="1757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Prioridade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Logistic Regression</w:t>
            </w:r>
          </w:p>
        </w:tc>
        <w:tc>
          <w:tcPr>
            <w:tcW w:type="dxa" w:w="289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Baseline probabilístico interpretável.</w:t>
            </w:r>
          </w:p>
        </w:tc>
        <w:tc>
          <w:tcPr>
            <w:tcW w:type="dxa" w:w="294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Não linearidade insuficiente / leakage.</w:t>
            </w:r>
          </w:p>
        </w:tc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Primeiro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Random Forest / XGBoost</w:t>
            </w:r>
          </w:p>
        </w:tc>
        <w:tc>
          <w:tcPr>
            <w:tcW w:type="dxa" w:w="289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Interações e não-linearidades em features tabulares.</w:t>
            </w:r>
          </w:p>
        </w:tc>
        <w:tc>
          <w:tcPr>
            <w:tcW w:type="dxa" w:w="294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Overfitting e seleção de features.</w:t>
            </w:r>
          </w:p>
        </w:tc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Depois do baseline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HMM / GMM</w:t>
            </w:r>
          </w:p>
        </w:tc>
        <w:tc>
          <w:tcPr>
            <w:tcW w:type="dxa" w:w="289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Regime probabilístico.</w:t>
            </w:r>
          </w:p>
        </w:tc>
        <w:tc>
          <w:tcPr>
            <w:tcW w:type="dxa" w:w="294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Estados instáveis / look-ahead no fitting.</w:t>
            </w:r>
          </w:p>
        </w:tc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Experimental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LSTM / Transformers</w:t>
            </w:r>
          </w:p>
        </w:tc>
        <w:tc>
          <w:tcPr>
            <w:tcW w:type="dxa" w:w="289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Sequências complexas e grande volume de dados.</w:t>
            </w:r>
          </w:p>
        </w:tc>
        <w:tc>
          <w:tcPr>
            <w:tcW w:type="dxa" w:w="294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Complexidade, drift, baixa interpretabilidade.</w:t>
            </w:r>
          </w:p>
        </w:tc>
        <w:tc>
          <w:tcPr>
            <w:tcW w:type="dxa" w:w="175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Última etapa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3EED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71717"/>
                <w:sz w:val="19"/>
              </w:rPr>
              <w:t>Regra de ouro do ML</w:t>
            </w:r>
          </w:p>
          <w:p>
            <w:pPr>
              <w:spacing w:after="0"/>
              <w:jc w:val="both"/>
            </w:pPr>
            <w:r>
              <w:rPr>
                <w:sz w:val="18"/>
              </w:rPr>
              <w:t>Qualquer modelo deve ser comparado contra um baseline simples no mesmo OOS, com os mesmos custos e o mesmo orçamento de risco. Se a complexidade não gera melhoria robusta, ela não entra em produção.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PARTE 5 - Experimentos Prioritários Pré-Especificados</w:t>
      </w:r>
    </w:p>
    <w:p>
      <w:pPr>
        <w:jc w:val="both"/>
      </w:pPr>
      <w:r>
        <w:t>Os experimentos abaixo não buscam “otimizar até funcionar”. Cada um possui uma primary specification, poucas sensibilidades, critérios de invalidação e dependências técnicas. Os períodos exatos serão congelados depois que o dataset do broker for coletado; a proporção inicial recomendada é aproximadamente 60% Development, 20% Validation e 20% Lockbox OOS em ordem cronológica.</w:t>
      </w:r>
    </w:p>
    <w:p>
      <w:pPr>
        <w:pStyle w:val="Heading2"/>
      </w:pPr>
      <w:r>
        <w:t>19. EXP-001 - Trend Following Baseline (engenharia)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2041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Elemento</w:t>
            </w:r>
          </w:p>
        </w:tc>
        <w:tc>
          <w:tcPr>
            <w:tcW w:type="dxa" w:w="7143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Pré-especificação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Objetivo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Validar o pipeline completo com uma estratégia simples e auditável.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Hipótese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Crossover EMA20/EMA50 em H1 apresenta persistência líquida suficiente em majors.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Universo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EURUSD, GBPUSD, USDJPY, AUDUSD.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Entrada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Crossover confirmado no fechamento de t; entrada no próximo tick/bar t+1.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Stop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2,0 ATR(14).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Saída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Crossover oposto; trailing 3 ATR analisado como variante separada.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Primary spec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EMA20/EMA50, sem ADX.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Sensibilidade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EMA10/30 e EMA50/200; depois ADX&gt;25 como teste incremental, não simultâneo.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Custos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Bruto, base, +50%, +100%.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Kill criteria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Expectancy líquida negativa em Validation/Lockbox ou dependência de um único par/parâmetro.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3EED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71717"/>
                <w:sz w:val="19"/>
              </w:rPr>
              <w:t>Por que começa aqui?</w:t>
            </w:r>
          </w:p>
          <w:p>
            <w:pPr>
              <w:spacing w:after="0"/>
              <w:jc w:val="both"/>
            </w:pPr>
            <w:r>
              <w:rPr>
                <w:sz w:val="18"/>
              </w:rPr>
              <w:t>Não porque EMA20/50 seja “a melhor estratégia”, mas porque ela exercita dados, indicadores, sinal, sizing, stop, execução, custos, logs e métricas com baixa complexidade.</w:t>
            </w:r>
          </w:p>
        </w:tc>
      </w:tr>
    </w:tbl>
    <w:p>
      <w:pPr>
        <w:spacing w:after="20"/>
      </w:pPr>
    </w:p>
    <w:p>
      <w:pPr>
        <w:pStyle w:val="Heading2"/>
      </w:pPr>
      <w:r>
        <w:t>20. EXP-002 - Volatility Breakout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2041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Elemento</w:t>
            </w:r>
          </w:p>
        </w:tc>
        <w:tc>
          <w:tcPr>
            <w:tcW w:type="dxa" w:w="7143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Pré-especificação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Hipótese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Breakout de 20 barras após compressão ATR14/ATR50 &lt; 0,80 possui expectancy líquida superior ao breakout sem filtro.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Universo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EURUSD, GBPUSD, GBPJPY; H1 e, em teste separado, H4.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Entrada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Close[t] rompe máxima/mínima das 20 barras anteriores; executar em t+1.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Stop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2 ATR(14).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Saída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Trailing 3 ATR como primary; target fixo analisado separadamente.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Sensibilidade N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15, 20, 30 com demais parâmetros fixos.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Sensibilidade compressão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0,70; 0,80; 0,90 com demais parâmetros fixos.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Comparador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Mesmo breakout sem filtro de compressão.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Kill criteria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Filtro não melhora OOS ou edge desaparece em custo base.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21. EXP-003 - Time-Series Momentum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2041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Elemento</w:t>
            </w:r>
          </w:p>
        </w:tc>
        <w:tc>
          <w:tcPr>
            <w:tcW w:type="dxa" w:w="7143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Pré-especificação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Hipótese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Sinal do retorno acumulado de 12 meses mantém persistência em moedas e possui versão retail viável.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Frequência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Daily; rebalanceamento mensal.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Trilha A - replicação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Sinal sign(12m return) como aproximação acadêmica; comparar com 6m.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Trilha B - retail MT5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Mesmo sinal, incorporando swap real, spread, financiamento/roll e restrições do broker.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Universo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Majors com histórico longo e qualidade consistente.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Comparador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Sinal 6 meses e posição neutra.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Kill criteria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O fenômeno só aparece sem custos/financiamento ou depende de um par isolado.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Nota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Não confundir com cross-sectional currency momentum [R2].</w:t>
            </w:r>
          </w:p>
        </w:tc>
      </w:tr>
    </w:tbl>
    <w:p>
      <w:pPr>
        <w:spacing w:after="20"/>
      </w:pPr>
    </w:p>
    <w:p>
      <w:pPr>
        <w:pStyle w:val="Heading2"/>
      </w:pPr>
      <w:r>
        <w:t>22. EXP-004 - Mean Reversion Simples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2041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Elemento</w:t>
            </w:r>
          </w:p>
        </w:tc>
        <w:tc>
          <w:tcPr>
            <w:tcW w:type="dxa" w:w="7143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Pré-especificação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Hipótese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Em regime lateral, desvios normalizados de preço revertem à média no H1.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Universo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EURUSD e EURGBP inicialmente.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Regime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ADX&lt;20 como heurística operacional; teste sem filtro como comparador.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Entrada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z_like = (Close-SMA20)/STD20; long se &lt; -2, short se &gt; +2, sinal no fechamento.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Saída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Retorno à SMA20.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Stop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2,5 ATR.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Sensibilidade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z = 1,5 / 2,0 / 2,5; RSI será testado somente como feature incremental depois.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Kill criteria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Resultado depende do threshold exato ou perde edge no Lockbox.</w:t>
            </w:r>
          </w:p>
        </w:tc>
      </w:tr>
    </w:tbl>
    <w:p>
      <w:pPr>
        <w:spacing w:after="20"/>
      </w:pPr>
    </w:p>
    <w:p>
      <w:pPr>
        <w:pStyle w:val="Heading2"/>
      </w:pPr>
      <w:r>
        <w:t>23. EXP-005 - Pre-London Range Breakout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2041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Elemento</w:t>
            </w:r>
          </w:p>
        </w:tc>
        <w:tc>
          <w:tcPr>
            <w:tcW w:type="dxa" w:w="7143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Pré-especificação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Hipótese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O rompimento do range anterior à abertura local de Londres contém informação direcional após custos.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Timezone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Europe/London; armazenamento em UTC. Nenhum offset fixo.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Range primary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00:00 até 07:59 hora local de Londres (definição operacional, não afirmação de “sessão asiática”).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Janela de entrada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Primeiras 2 horas após 08:00 London local.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Entrada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Primeiro fechamento fora do range; executar no próximo tick.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Stop/TP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Stop 0,75× altura do range; target 1,5× range como baseline.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Filtro macro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Não abrir novas posições em janela definida ao redor de eventos de alto impacto relevantes à moeda.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Kill criteria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Edge desaparece com DST correto, custos ou em pares fora da amostra.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24. EXP-006 - Carry Retail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2041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Elemento</w:t>
            </w:r>
          </w:p>
        </w:tc>
        <w:tc>
          <w:tcPr>
            <w:tcW w:type="dxa" w:w="7143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Pré-especificação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Pré-requisito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Coletar especificações de swap long/short, dias de rollover e custos do broker.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Hipótese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Diferencial de carry efetivamente creditado/debitado pelo broker possui retorno líquido positivo em portfólio diversificado.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Frequência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Baixa; semanal/mensal.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Implementação inicial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Ranking por carry líquido anualizado disponível no broker, sem inferir apenas taxa do banco central.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Risco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Tail risk e reversão abrupta em regimes de stress [R3].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Status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Não implementar antes de validar infraestrutura multi-pair e dados de swap.</w:t>
            </w:r>
          </w:p>
        </w:tc>
      </w:tr>
    </w:tbl>
    <w:p>
      <w:pPr>
        <w:spacing w:after="20"/>
      </w:pPr>
    </w:p>
    <w:p>
      <w:pPr>
        <w:pStyle w:val="Heading2"/>
      </w:pPr>
      <w:r>
        <w:t>25. EXP-007 - Regime Filter Incremental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2041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Elemento</w:t>
            </w:r>
          </w:p>
        </w:tc>
        <w:tc>
          <w:tcPr>
            <w:tcW w:type="dxa" w:w="7143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Pré-especificação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Pré-requisito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EXP-001 deve possuir baseline estável e logs completos.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Pergunta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ADX/volatilidade melhora OOS além da simples redução de exposição?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Etapa 1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Adicionar somente ADX.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Etapa 2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Adicionar volatilidade relativa.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Etapa 3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Somente então testar Hurst; HMM fica para fase posterior.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Critério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Comparar ganho incremental, drawdown, número de trades e custo de oportunidade.</w:t>
            </w:r>
          </w:p>
        </w:tc>
      </w:tr>
    </w:tbl>
    <w:p>
      <w:pPr>
        <w:spacing w:after="20"/>
      </w:pPr>
    </w:p>
    <w:p>
      <w:pPr>
        <w:pStyle w:val="Heading2"/>
      </w:pPr>
      <w:r>
        <w:t>26. EXP-008 - Multi-Timeframe Incremental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2041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Elemento</w:t>
            </w:r>
          </w:p>
        </w:tc>
        <w:tc>
          <w:tcPr>
            <w:tcW w:type="dxa" w:w="7143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Pré-especificação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Pré-requisito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Baseline H1/H4 validado.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Hipótese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Direção de timeframe superior melhora a qualidade do sinal inferior.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Primary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H4 sinal base + filtro de direção Daily.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Comparador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Mesmo sinal H4 sem Daily.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Evitar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Não testar dezenas de combinações Daily/H4/H1/M15 simultaneamente.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Kill criteria</w:t>
            </w:r>
          </w:p>
        </w:tc>
        <w:tc>
          <w:tcPr>
            <w:tcW w:type="dxa" w:w="714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Melhoria não persiste OOS ou redução de trades explica toda a melhora.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27. Ordem de prioridade revisada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</w:trPr>
        <w:tc>
          <w:tcPr>
            <w:tcW w:type="dxa" w:w="907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8"/>
              </w:rPr>
              <w:t>Ordem</w:t>
            </w:r>
          </w:p>
        </w:tc>
        <w:tc>
          <w:tcPr>
            <w:tcW w:type="dxa" w:w="2835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8"/>
              </w:rPr>
              <w:t>Experimento</w:t>
            </w:r>
          </w:p>
        </w:tc>
        <w:tc>
          <w:tcPr>
            <w:tcW w:type="dxa" w:w="5386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8"/>
              </w:rPr>
              <w:t>Motivo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1</w:t>
            </w:r>
          </w:p>
        </w:tc>
        <w:tc>
          <w:tcPr>
            <w:tcW w:type="dxa" w:w="2835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EXP-001 Trend Baseline</w:t>
            </w:r>
          </w:p>
        </w:tc>
        <w:tc>
          <w:tcPr>
            <w:tcW w:type="dxa" w:w="5386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Melhor para validar infraestrutura ponta a ponta.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2</w:t>
            </w:r>
          </w:p>
        </w:tc>
        <w:tc>
          <w:tcPr>
            <w:tcW w:type="dxa" w:w="2835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EXP-002 Volatility Breakout</w:t>
            </w:r>
          </w:p>
        </w:tc>
        <w:tc>
          <w:tcPr>
            <w:tcW w:type="dxa" w:w="5386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Testa ATR, níveis, stops e execução com regra objetiva.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3</w:t>
            </w:r>
          </w:p>
        </w:tc>
        <w:tc>
          <w:tcPr>
            <w:tcW w:type="dxa" w:w="2835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EXP-003 Time-Series Momentum</w:t>
            </w:r>
          </w:p>
        </w:tc>
        <w:tc>
          <w:tcPr>
            <w:tcW w:type="dxa" w:w="5386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Primeira replicação diretamente motivada por evidência acadêmica forte.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4</w:t>
            </w:r>
          </w:p>
        </w:tc>
        <w:tc>
          <w:tcPr>
            <w:tcW w:type="dxa" w:w="2835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EXP-004 Mean Reversion</w:t>
            </w:r>
          </w:p>
        </w:tc>
        <w:tc>
          <w:tcPr>
            <w:tcW w:type="dxa" w:w="5386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Contrasta família de comportamento e testa regime lateral.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5</w:t>
            </w:r>
          </w:p>
        </w:tc>
        <w:tc>
          <w:tcPr>
            <w:tcW w:type="dxa" w:w="2835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EXP-005 Pre-London Range</w:t>
            </w:r>
          </w:p>
        </w:tc>
        <w:tc>
          <w:tcPr>
            <w:tcW w:type="dxa" w:w="5386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Exige timezone/DST e calendário; bom teste de infraestrutura temporal.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6</w:t>
            </w:r>
          </w:p>
        </w:tc>
        <w:tc>
          <w:tcPr>
            <w:tcW w:type="dxa" w:w="2835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EXP-006 Carry Retail</w:t>
            </w:r>
          </w:p>
        </w:tc>
        <w:tc>
          <w:tcPr>
            <w:tcW w:type="dxa" w:w="5386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Exige swap/portfolio/holding longo.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7</w:t>
            </w:r>
          </w:p>
        </w:tc>
        <w:tc>
          <w:tcPr>
            <w:tcW w:type="dxa" w:w="2835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EXP-007 Regime Filter</w:t>
            </w:r>
          </w:p>
        </w:tc>
        <w:tc>
          <w:tcPr>
            <w:tcW w:type="dxa" w:w="5386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Somente faz sentido com baseline comprovado.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8</w:t>
            </w:r>
          </w:p>
        </w:tc>
        <w:tc>
          <w:tcPr>
            <w:tcW w:type="dxa" w:w="2835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EXP-008 Multi-Timeframe</w:t>
            </w:r>
          </w:p>
        </w:tc>
        <w:tc>
          <w:tcPr>
            <w:tcW w:type="dxa" w:w="5386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Adicionar complexidade por último.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PARTE 6 - Roadmap de Implementação</w:t>
      </w:r>
    </w:p>
    <w:p>
      <w:pPr>
        <w:pStyle w:val="Heading2"/>
      </w:pPr>
      <w:r>
        <w:t>28. Arquitetura-alvo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4F4F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t>Market Data -&gt; Data Validation -&gt; Feature Engine -&gt; Strategy</w:t>
              <w:br/>
              <w:t xml:space="preserve">        -&gt; Risk Engine -&gt; Execution Simulator/MT5 -&gt; Position Manager</w:t>
              <w:br/>
              <w:t xml:space="preserve">        -&gt; Trade Ledger -&gt; Metrics -&gt; Experiment Registry</w:t>
              <w:br/>
              <w:br/>
              <w:t>Backtest e Live/Demo devem reutilizar Strategy + Risk, mudando principalmente o adaptador de dados/execution.</w:t>
            </w:r>
          </w:p>
        </w:tc>
      </w:tr>
    </w:tbl>
    <w:p>
      <w:pPr>
        <w:spacing w:after="20"/>
      </w:pPr>
    </w:p>
    <w:p>
      <w:pPr>
        <w:pStyle w:val="Heading2"/>
      </w:pPr>
      <w:r>
        <w:t>29.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</w:trPr>
        <w:tc>
          <w:tcPr>
            <w:tcW w:type="dxa" w:w="737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Fase</w:t>
            </w:r>
          </w:p>
        </w:tc>
        <w:tc>
          <w:tcPr>
            <w:tcW w:type="dxa" w:w="5102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Entrega</w:t>
            </w:r>
          </w:p>
        </w:tc>
        <w:tc>
          <w:tcPr>
            <w:tcW w:type="dxa" w:w="3288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Gate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F0</w:t>
            </w:r>
          </w:p>
        </w:tc>
        <w:tc>
          <w:tcPr>
            <w:tcW w:type="dxa" w:w="5102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Documento V2, protocolo e experiment registry.</w:t>
            </w:r>
          </w:p>
        </w:tc>
        <w:tc>
          <w:tcPr>
            <w:tcW w:type="dxa" w:w="328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Concluída com esta referência.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F1</w:t>
            </w:r>
          </w:p>
        </w:tc>
        <w:tc>
          <w:tcPr>
            <w:tcW w:type="dxa" w:w="5102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Ambiente Python/MT5; conexão e coleta de barras.</w:t>
            </w:r>
          </w:p>
        </w:tc>
        <w:tc>
          <w:tcPr>
            <w:tcW w:type="dxa" w:w="328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Dados reproduzíveis e timezone documentado.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F2</w:t>
            </w:r>
          </w:p>
        </w:tc>
        <w:tc>
          <w:tcPr>
            <w:tcW w:type="dxa" w:w="5102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Data validator + storage + schema.</w:t>
            </w:r>
          </w:p>
        </w:tc>
        <w:tc>
          <w:tcPr>
            <w:tcW w:type="dxa" w:w="328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Sem duplicatas/gaps não explicados; manifest salvo.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F3</w:t>
            </w:r>
          </w:p>
        </w:tc>
        <w:tc>
          <w:tcPr>
            <w:tcW w:type="dxa" w:w="5102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Backtest engine mínimo com Bid/Ask e custos.</w:t>
            </w:r>
          </w:p>
        </w:tc>
        <w:tc>
          <w:tcPr>
            <w:tcW w:type="dxa" w:w="328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Testes unitários de fills e look-ahead.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F4</w:t>
            </w:r>
          </w:p>
        </w:tc>
        <w:tc>
          <w:tcPr>
            <w:tcW w:type="dxa" w:w="5102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EXP-001 baseline.</w:t>
            </w:r>
          </w:p>
        </w:tc>
        <w:tc>
          <w:tcPr>
            <w:tcW w:type="dxa" w:w="328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Métricas e logs consistentes.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F5</w:t>
            </w:r>
          </w:p>
        </w:tc>
        <w:tc>
          <w:tcPr>
            <w:tcW w:type="dxa" w:w="5102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EXP-002/003/004.</w:t>
            </w:r>
          </w:p>
        </w:tc>
        <w:tc>
          <w:tcPr>
            <w:tcW w:type="dxa" w:w="328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Research + Validation + Lockbox.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F6</w:t>
            </w:r>
          </w:p>
        </w:tc>
        <w:tc>
          <w:tcPr>
            <w:tcW w:type="dxa" w:w="5102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Conta demo/forward test.</w:t>
            </w:r>
          </w:p>
        </w:tc>
        <w:tc>
          <w:tcPr>
            <w:tcW w:type="dxa" w:w="328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Execução observada compatível com modelo.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F7</w:t>
            </w:r>
          </w:p>
        </w:tc>
        <w:tc>
          <w:tcPr>
            <w:tcW w:type="dxa" w:w="5102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Dashboard/monitoramento e kill switch.</w:t>
            </w:r>
          </w:p>
        </w:tc>
        <w:tc>
          <w:tcPr>
            <w:tcW w:type="dxa" w:w="328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Operação demo resiliente a falhas.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F8</w:t>
            </w:r>
          </w:p>
        </w:tc>
        <w:tc>
          <w:tcPr>
            <w:tcW w:type="dxa" w:w="5102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Pesquisa de regime, multi-pair, carry e ML.</w:t>
            </w:r>
          </w:p>
        </w:tc>
        <w:tc>
          <w:tcPr>
            <w:tcW w:type="dxa" w:w="328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Somente se complexidade gerar ganho OOS.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F9</w:t>
            </w:r>
          </w:p>
        </w:tc>
        <w:tc>
          <w:tcPr>
            <w:tcW w:type="dxa" w:w="5102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Avaliação de capital real.</w:t>
            </w:r>
          </w:p>
        </w:tc>
        <w:tc>
          <w:tcPr>
            <w:tcW w:type="dxa" w:w="328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Decisão separada, com risco conservador e evidência acumulada.</w:t>
            </w:r>
          </w:p>
        </w:tc>
      </w:tr>
    </w:tbl>
    <w:p>
      <w:pPr>
        <w:spacing w:after="20"/>
      </w:pPr>
    </w:p>
    <w:p>
      <w:pPr>
        <w:pStyle w:val="Heading2"/>
      </w:pPr>
      <w:r>
        <w:t>30. Regras de engenharia que viram invariantes</w:t>
      </w:r>
    </w:p>
    <w:p>
      <w:pPr>
        <w:pStyle w:val="ListBullet"/>
        <w:spacing w:after="40"/>
        <w:ind w:left="312" w:hanging="142"/>
      </w:pPr>
      <w:r>
        <w:rPr>
          <w:sz w:val="19"/>
        </w:rPr>
        <w:t>Nenhuma estratégia usa candle atual incompleto quando a regra exige fechamento.</w:t>
      </w:r>
    </w:p>
    <w:p>
      <w:pPr>
        <w:pStyle w:val="ListBullet"/>
        <w:spacing w:after="40"/>
        <w:ind w:left="312" w:hanging="142"/>
      </w:pPr>
      <w:r>
        <w:rPr>
          <w:sz w:val="19"/>
        </w:rPr>
        <w:t>Toda feature possui timestamp de disponibilidade.</w:t>
      </w:r>
    </w:p>
    <w:p>
      <w:pPr>
        <w:pStyle w:val="ListBullet"/>
        <w:spacing w:after="40"/>
        <w:ind w:left="312" w:hanging="142"/>
      </w:pPr>
      <w:r>
        <w:rPr>
          <w:sz w:val="19"/>
        </w:rPr>
        <w:t>Dados futuros nunca entram em scaler, percentil, swing ou label usado como feature.</w:t>
      </w:r>
    </w:p>
    <w:p>
      <w:pPr>
        <w:pStyle w:val="ListBullet"/>
        <w:spacing w:after="40"/>
        <w:ind w:left="312" w:hanging="142"/>
      </w:pPr>
      <w:r>
        <w:rPr>
          <w:sz w:val="19"/>
        </w:rPr>
        <w:t>Toda ordem simulada identifica lado Bid/Ask e custo aplicado.</w:t>
      </w:r>
    </w:p>
    <w:p>
      <w:pPr>
        <w:pStyle w:val="ListBullet"/>
        <w:spacing w:after="40"/>
        <w:ind w:left="312" w:hanging="142"/>
      </w:pPr>
      <w:r>
        <w:rPr>
          <w:sz w:val="19"/>
        </w:rPr>
        <w:t>Toda execução possui signal_time, order_time e fill_time.</w:t>
      </w:r>
    </w:p>
    <w:p>
      <w:pPr>
        <w:pStyle w:val="ListBullet"/>
        <w:spacing w:after="40"/>
        <w:ind w:left="312" w:hanging="142"/>
      </w:pPr>
      <w:r>
        <w:rPr>
          <w:sz w:val="19"/>
        </w:rPr>
        <w:t>Toda alteração de parâmetro após ver OOS é registrada como novo experimento.</w:t>
      </w:r>
    </w:p>
    <w:p>
      <w:pPr>
        <w:pStyle w:val="ListBullet"/>
        <w:spacing w:after="40"/>
        <w:ind w:left="312" w:hanging="142"/>
      </w:pPr>
      <w:r>
        <w:rPr>
          <w:sz w:val="19"/>
        </w:rPr>
        <w:t>Todo experimento registra versão de código, dataset, parâmetros e número de tentativas.</w:t>
      </w:r>
    </w:p>
    <w:p>
      <w:pPr>
        <w:pStyle w:val="ListBullet"/>
        <w:spacing w:after="40"/>
        <w:ind w:left="312" w:hanging="142"/>
      </w:pPr>
      <w:r>
        <w:rPr>
          <w:sz w:val="19"/>
        </w:rPr>
        <w:t>Kill switch e limites de risco existem antes de qualquer automação em demo.</w:t>
      </w:r>
    </w:p>
    <w:p>
      <w:pPr>
        <w:pStyle w:val="Heading2"/>
      </w:pPr>
      <w:r>
        <w:t>31. Definição de “pronto para demo”</w:t>
      </w:r>
    </w:p>
    <w:p>
      <w:pPr>
        <w:jc w:val="both"/>
      </w:pPr>
      <w:r>
        <w:t>Uma estratégia não vai para demo por atingir um único Profit Factor ou Sharpe. Ela precisa passar integridade causal, custos, robustez, OOS e possuir implementação de risco/execution consistente. O forward test serve principalmente para testar discrepâncias de execução, feed, spread, latência, horário e comportamento operacional; não substitui validação estatística.</w:t>
      </w:r>
    </w:p>
    <w:p>
      <w:r>
        <w:br w:type="page"/>
      </w:r>
    </w:p>
    <w:p>
      <w:pPr>
        <w:pStyle w:val="Heading1"/>
      </w:pPr>
      <w:r>
        <w:t>APÊNDICE A - Template de Experiment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2608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Campo</w:t>
            </w:r>
          </w:p>
        </w:tc>
        <w:tc>
          <w:tcPr>
            <w:tcW w:type="dxa" w:w="6633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Preenchimento obrigatório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Experiment ID</w:t>
            </w:r>
          </w:p>
        </w:tc>
        <w:tc>
          <w:tcPr>
            <w:tcW w:type="dxa" w:w="663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EXP-XXX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Hypothesis</w:t>
            </w:r>
          </w:p>
        </w:tc>
        <w:tc>
          <w:tcPr>
            <w:tcW w:type="dxa" w:w="663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Uma frase falsificável.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Economic/statistical rationale</w:t>
            </w:r>
          </w:p>
        </w:tc>
        <w:tc>
          <w:tcPr>
            <w:tcW w:type="dxa" w:w="663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Por que o comportamento poderia existir?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Primary specification</w:t>
            </w:r>
          </w:p>
        </w:tc>
        <w:tc>
          <w:tcPr>
            <w:tcW w:type="dxa" w:w="663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Regra exata antes de olhar resultado.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Universe</w:t>
            </w:r>
          </w:p>
        </w:tc>
        <w:tc>
          <w:tcPr>
            <w:tcW w:type="dxa" w:w="663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Símbolos e critérios de inclusão.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Timeframe / timezone</w:t>
            </w:r>
          </w:p>
        </w:tc>
        <w:tc>
          <w:tcPr>
            <w:tcW w:type="dxa" w:w="663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Timeframe e timezone local quando aplicável.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Signal timing</w:t>
            </w:r>
          </w:p>
        </w:tc>
        <w:tc>
          <w:tcPr>
            <w:tcW w:type="dxa" w:w="663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Informação disponível em t; fill permitido em t+1/próximo tick.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Costs</w:t>
            </w:r>
          </w:p>
        </w:tc>
        <w:tc>
          <w:tcPr>
            <w:tcW w:type="dxa" w:w="663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Spread, commission, slippage, swap.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Development / Validation / Lockbox</w:t>
            </w:r>
          </w:p>
        </w:tc>
        <w:tc>
          <w:tcPr>
            <w:tcW w:type="dxa" w:w="663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Datas congeladas.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Sensitivity plan</w:t>
            </w:r>
          </w:p>
        </w:tc>
        <w:tc>
          <w:tcPr>
            <w:tcW w:type="dxa" w:w="663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Poucas variações definidas antecipadamente.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Metrics</w:t>
            </w:r>
          </w:p>
        </w:tc>
        <w:tc>
          <w:tcPr>
            <w:tcW w:type="dxa" w:w="663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Expectancy, PF, Sharpe/Sortino, MDD, MAE/MFE, turnover etc.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Kill criteria</w:t>
            </w:r>
          </w:p>
        </w:tc>
        <w:tc>
          <w:tcPr>
            <w:tcW w:type="dxa" w:w="663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Condições que encerram a hipótese.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Trials count</w:t>
            </w:r>
          </w:p>
        </w:tc>
        <w:tc>
          <w:tcPr>
            <w:tcW w:type="dxa" w:w="663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Número de configurações/iterações testadas.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Code/Data version</w:t>
            </w:r>
          </w:p>
        </w:tc>
        <w:tc>
          <w:tcPr>
            <w:tcW w:type="dxa" w:w="663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Commit/hash + manifest.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Decision</w:t>
            </w:r>
          </w:p>
        </w:tc>
        <w:tc>
          <w:tcPr>
            <w:tcW w:type="dxa" w:w="6633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Archive / revise as new hypothesis / promote to demo.</w:t>
            </w:r>
          </w:p>
        </w:tc>
      </w:tr>
    </w:tbl>
    <w:p>
      <w:pPr>
        <w:spacing w:after="20"/>
      </w:pPr>
    </w:p>
    <w:p>
      <w:pPr>
        <w:pStyle w:val="Heading1"/>
      </w:pPr>
      <w:r>
        <w:t>APÊNDICE B - Schema mínimo de dados e ledger</w:t>
      </w:r>
    </w:p>
    <w:p>
      <w:pPr>
        <w:pStyle w:val="Heading2"/>
      </w:pPr>
      <w:r>
        <w:t>B.1 Candle / market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4F4F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t>symbol, timeframe, timestamp_utc, open, high, low, close,</w:t>
              <w:br/>
              <w:t>tick_volume, spread_points, real_volume, source, extraction_time, data_version</w:t>
            </w:r>
          </w:p>
        </w:tc>
      </w:tr>
    </w:tbl>
    <w:p>
      <w:pPr>
        <w:spacing w:after="20"/>
      </w:pPr>
    </w:p>
    <w:p>
      <w:pPr>
        <w:pStyle w:val="Heading2"/>
      </w:pPr>
      <w:r>
        <w:t>B.2 Feature row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4F4F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t>timestamp_utc, last_closed_bar_time, feature_name/value...,</w:t>
              <w:br/>
              <w:t>session_local, regime_features..., availability_time</w:t>
            </w:r>
          </w:p>
        </w:tc>
      </w:tr>
    </w:tbl>
    <w:p>
      <w:pPr>
        <w:spacing w:after="20"/>
      </w:pPr>
    </w:p>
    <w:p>
      <w:pPr>
        <w:pStyle w:val="Heading2"/>
      </w:pPr>
      <w:r>
        <w:t>B.3 Trade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4F4F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t>experiment_id, trade_id, symbol, side, signal_time, order_time, fill_time,</w:t>
              <w:br/>
              <w:t>entry_bid, entry_ask, entry_fill, exit_fill, size, stop, target,</w:t>
              <w:br/>
              <w:t>spread_cost, commission, slippage, swap, pnl_cash, pnl_R, MAE, MFE, exit_reason</w:t>
            </w:r>
          </w:p>
        </w:tc>
      </w:tr>
    </w:tbl>
    <w:p>
      <w:pPr>
        <w:spacing w:after="20"/>
      </w:pPr>
    </w:p>
    <w:p>
      <w:pPr>
        <w:pStyle w:val="Heading1"/>
      </w:pPr>
      <w:r>
        <w:t>APÊNDICE C - Checklist Anti-Leakage</w:t>
      </w:r>
    </w:p>
    <w:p>
      <w:pPr>
        <w:pStyle w:val="ListBullet"/>
        <w:spacing w:after="40"/>
        <w:ind w:left="312" w:hanging="142"/>
      </w:pPr>
      <w:r>
        <w:rPr>
          <w:sz w:val="19"/>
        </w:rPr>
        <w:t>O preço de entrada usa informação que só existia depois do fill?</w:t>
      </w:r>
    </w:p>
    <w:p>
      <w:pPr>
        <w:pStyle w:val="ListBullet"/>
        <w:spacing w:after="40"/>
        <w:ind w:left="312" w:hanging="142"/>
      </w:pPr>
      <w:r>
        <w:rPr>
          <w:sz w:val="19"/>
        </w:rPr>
        <w:t>Algum rolling statistic usa o dataset completo em vez da janela passada?</w:t>
      </w:r>
    </w:p>
    <w:p>
      <w:pPr>
        <w:pStyle w:val="ListBullet"/>
        <w:spacing w:after="40"/>
        <w:ind w:left="312" w:hanging="142"/>
      </w:pPr>
      <w:r>
        <w:rPr>
          <w:sz w:val="19"/>
        </w:rPr>
        <w:t>Percentis de regime são calculados somente com passado?</w:t>
      </w:r>
    </w:p>
    <w:p>
      <w:pPr>
        <w:pStyle w:val="ListBullet"/>
        <w:spacing w:after="40"/>
        <w:ind w:left="312" w:hanging="142"/>
      </w:pPr>
      <w:r>
        <w:rPr>
          <w:sz w:val="19"/>
        </w:rPr>
        <w:t>Swing confirmado usa discovery_time = event_time + N barras?</w:t>
      </w:r>
    </w:p>
    <w:p>
      <w:pPr>
        <w:pStyle w:val="ListBullet"/>
        <w:spacing w:after="40"/>
        <w:ind w:left="312" w:hanging="142"/>
      </w:pPr>
      <w:r>
        <w:rPr>
          <w:sz w:val="19"/>
        </w:rPr>
        <w:t>Label futuro foi acidentalmente incluído como feature?</w:t>
      </w:r>
    </w:p>
    <w:p>
      <w:pPr>
        <w:pStyle w:val="ListBullet"/>
        <w:spacing w:after="40"/>
        <w:ind w:left="312" w:hanging="142"/>
      </w:pPr>
      <w:r>
        <w:rPr>
          <w:sz w:val="19"/>
        </w:rPr>
        <w:t>Dados de notícias têm timestamp de publicação real e revisões?</w:t>
      </w:r>
    </w:p>
    <w:p>
      <w:pPr>
        <w:pStyle w:val="ListBullet"/>
        <w:spacing w:after="40"/>
        <w:ind w:left="312" w:hanging="142"/>
      </w:pPr>
      <w:r>
        <w:rPr>
          <w:sz w:val="19"/>
        </w:rPr>
        <w:t>Timeframe superior usa apenas candle superior já fechado?</w:t>
      </w:r>
    </w:p>
    <w:p>
      <w:pPr>
        <w:pStyle w:val="ListBullet"/>
        <w:spacing w:after="40"/>
        <w:ind w:left="312" w:hanging="142"/>
      </w:pPr>
      <w:r>
        <w:rPr>
          <w:sz w:val="19"/>
        </w:rPr>
        <w:t>Treino e validação temporal estão separados sem shuffle?</w:t>
      </w:r>
    </w:p>
    <w:p>
      <w:pPr>
        <w:pStyle w:val="ListBullet"/>
        <w:spacing w:after="40"/>
        <w:ind w:left="312" w:hanging="142"/>
      </w:pPr>
      <w:r>
        <w:rPr>
          <w:sz w:val="19"/>
        </w:rPr>
        <w:t>O OOS foi consultado durante seleção de parâmetros?</w:t>
      </w:r>
    </w:p>
    <w:p>
      <w:pPr>
        <w:pStyle w:val="ListBullet"/>
        <w:spacing w:after="40"/>
        <w:ind w:left="312" w:hanging="142"/>
      </w:pPr>
      <w:r>
        <w:rPr>
          <w:sz w:val="19"/>
        </w:rPr>
        <w:t>A execução no mesmo candle possui regra intrabar definida?</w:t>
      </w:r>
    </w:p>
    <w:p>
      <w:pPr>
        <w:pStyle w:val="Heading1"/>
      </w:pPr>
      <w:r>
        <w:t>APÊNDICE D - Referências Verificadas</w:t>
      </w:r>
    </w:p>
    <w:p>
      <w:pPr>
        <w:jc w:val="both"/>
      </w:pPr>
      <w:r>
        <w:t>As referências abaixo foram verificadas na auditoria da V2. O uso de uma referência como evidência de uma família de estratégia não implica que a nossa implementação específica esteja validada.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850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ID</w:t>
            </w:r>
          </w:p>
        </w:tc>
        <w:tc>
          <w:tcPr>
            <w:tcW w:type="dxa" w:w="8334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Referência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R1</w:t>
            </w:r>
          </w:p>
        </w:tc>
        <w:tc>
          <w:tcPr>
            <w:tcW w:type="dxa" w:w="833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Moskowitz, T. J.; Ooi, Y. H.; Pedersen, L. H. (2012). Time Series Momentum. Journal of Financial Economics, 104(2), 228-250. DOI: 10.1016/j.jfineco.2011.11.003.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R2</w:t>
            </w:r>
          </w:p>
        </w:tc>
        <w:tc>
          <w:tcPr>
            <w:tcW w:type="dxa" w:w="833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Menkhoff, L.; Sarno, L.; Schmeling, M.; Schrimpf, A. (2012). Currency Momentum Strategies. Journal of Financial Economics, 106(3), 660-684. DOI: 10.1016/j.jfineco.2012.06.009.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R3</w:t>
            </w:r>
          </w:p>
        </w:tc>
        <w:tc>
          <w:tcPr>
            <w:tcW w:type="dxa" w:w="833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Menkhoff, L.; Sarno, L.; Schmeling, M.; Schrimpf, A. (2012). Carry Trades and Global Foreign Exchange Volatility. Journal of Finance, 67(2), 681-718. DOI: 10.1111/j.1540-6261.2012.01728.x.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R4</w:t>
            </w:r>
          </w:p>
        </w:tc>
        <w:tc>
          <w:tcPr>
            <w:tcW w:type="dxa" w:w="833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Burnside, C.; Eichenbaum, M.; Kleshchelski, I.; Rebelo, S. (2011). Do Peso Problems Explain the Returns to the Carry Trade? Review of Financial Studies, 24(3), 853-891. DOI: 10.1093/rfs/hhq138.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R5</w:t>
            </w:r>
          </w:p>
        </w:tc>
        <w:tc>
          <w:tcPr>
            <w:tcW w:type="dxa" w:w="833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Engle, R. F. (1982). Autoregressive Conditional Heteroscedasticity with Estimates of the Variance of United Kingdom Inflation. Econometrica, 50(4), 987-1007. DOI: 10.2307/1912773.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R6</w:t>
            </w:r>
          </w:p>
        </w:tc>
        <w:tc>
          <w:tcPr>
            <w:tcW w:type="dxa" w:w="833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Bollerslev, T. (1986). Generalized Autoregressive Conditional Heteroskedasticity. Journal of Econometrics, 31(3), 307-327. DOI: 10.1016/0304-4076(86)90063-1.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R7</w:t>
            </w:r>
          </w:p>
        </w:tc>
        <w:tc>
          <w:tcPr>
            <w:tcW w:type="dxa" w:w="833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Engle, R. F.; Granger, C. W. J. (1987). Co-integration and Error Correction: Representation, Estimation, and Testing. Econometrica, 55(2), 251-276.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R8</w:t>
            </w:r>
          </w:p>
        </w:tc>
        <w:tc>
          <w:tcPr>
            <w:tcW w:type="dxa" w:w="833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Frankel, J. A.; Rose, A. K. (1996). A Panel Project on Purchasing Power Parity: Mean Reversion Within and Between Countries. Journal of International Economics, 40(1-2), 209-224. NBER WP 5006.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R9</w:t>
            </w:r>
          </w:p>
        </w:tc>
        <w:tc>
          <w:tcPr>
            <w:tcW w:type="dxa" w:w="833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White, H. (2000). A Reality Check for Data Snooping. Econometrica, 68(5), 1097-1126. DOI: 10.1111/1468-0262.00152.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R10</w:t>
            </w:r>
          </w:p>
        </w:tc>
        <w:tc>
          <w:tcPr>
            <w:tcW w:type="dxa" w:w="833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Sullivan, R.; Timmermann, A.; White, H. (1999). Data-Snooping, Technical Trading Rule Performance, and the Bootstrap. Journal of Finance, 54(5), 1647-1691. DOI: 10.1111/0022-1082.00163.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R11</w:t>
            </w:r>
          </w:p>
        </w:tc>
        <w:tc>
          <w:tcPr>
            <w:tcW w:type="dxa" w:w="833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Bailey, D. H.; López de Prado, M. (2014). The Deflated Sharpe Ratio: Correcting for Selection Bias, Backtest Overfitting, and Non-Normality. Journal of Portfolio Management, 40(5), 94-107. DOI: 10.3905/jpm.2014.40.5.094.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R12</w:t>
            </w:r>
          </w:p>
        </w:tc>
        <w:tc>
          <w:tcPr>
            <w:tcW w:type="dxa" w:w="833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Bailey, D. H.; Borwein, J. M.; López de Prado, M.; Zhu, Q. J. (2017). The Probability of Backtest Overfitting. Journal of Computational Finance, 20(4).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R13</w:t>
            </w:r>
          </w:p>
        </w:tc>
        <w:tc>
          <w:tcPr>
            <w:tcW w:type="dxa" w:w="833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Bank for International Settlements (2025). Triennial Central Bank Survey - OTC foreign exchange turnover in April 2025. Global FX turnover: USD 9.6 trillion/day; UK sales desks: 38% of global turnover.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R17</w:t>
            </w:r>
          </w:p>
        </w:tc>
        <w:tc>
          <w:tcPr>
            <w:tcW w:type="dxa" w:w="833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Rogoff, K. (1996). The Purchasing Power Parity Puzzle. Journal of Economic Literature, 34(2), 647-668; ver também Engel &amp; Morley (2001), NBER WP 8550, para persistência de desvios.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Referências técnicas e documentação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850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ID</w:t>
            </w:r>
          </w:p>
        </w:tc>
        <w:tc>
          <w:tcPr>
            <w:tcW w:type="dxa" w:w="8334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7"/>
              </w:rPr>
              <w:t>Fonte técnica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T1</w:t>
            </w:r>
          </w:p>
        </w:tc>
        <w:tc>
          <w:tcPr>
            <w:tcW w:type="dxa" w:w="833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MQL5 / MetaTrader 5 Python Integration - copy_rates_from_pos. A barra 0 é a barra atual; retorno inclui OHLC, tick_volume, spread e real_volume. https://www.mql5.com/en/docs/python_metatrader5/mt5copyratesfrompos_py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T2</w:t>
            </w:r>
          </w:p>
        </w:tc>
        <w:tc>
          <w:tcPr>
            <w:tcW w:type="dxa" w:w="833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Python 3.14 - zoneinfo: suporte a timezones IANA e transições de DST. https://docs.python.org/3/library/zoneinfo.html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T3</w:t>
            </w:r>
          </w:p>
        </w:tc>
        <w:tc>
          <w:tcPr>
            <w:tcW w:type="dxa" w:w="833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GOV.UK - When do the clocks change? Datas de BST/GMT, incluindo 2026. https://www.gov.uk/when-do-the-clocks-change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T4</w:t>
            </w:r>
          </w:p>
        </w:tc>
        <w:tc>
          <w:tcPr>
            <w:tcW w:type="dxa" w:w="833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Freqtrade Documentation - define o projeto como open-source crypto trading bot. https://docs.freqtrade.io/en/latest/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T5</w:t>
            </w:r>
          </w:p>
        </w:tc>
        <w:tc>
          <w:tcPr>
            <w:tcW w:type="dxa" w:w="833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5"/>
              </w:rPr>
              <w:t>BIS 2025 Triennial Survey. https://www.bis.org/statistics/rpfx25.htm</w:t>
            </w:r>
          </w:p>
        </w:tc>
      </w:tr>
    </w:tbl>
    <w:p>
      <w:pPr>
        <w:spacing w:after="20"/>
      </w:pPr>
    </w:p>
    <w:p>
      <w:pPr>
        <w:pStyle w:val="Heading1"/>
      </w:pPr>
      <w:r>
        <w:t>APÊNDICE E - Decisões de Pesquisa Registradas na V2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3005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8"/>
              </w:rPr>
              <w:t>Decisão</w:t>
            </w:r>
          </w:p>
        </w:tc>
        <w:tc>
          <w:tcPr>
            <w:tcW w:type="dxa" w:w="6180"/>
            <w:shd w:fill="C7A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71717"/>
                <w:sz w:val="18"/>
              </w:rPr>
              <w:t>Motivo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MT5 + Python permanece como stack inicial</w:t>
            </w:r>
          </w:p>
        </w:tc>
        <w:tc>
          <w:tcPr>
            <w:tcW w:type="dxa" w:w="618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Integração permite obter barras/ticks, consultar símbolos/posições e executar ordens; adequado ao MVP Forex.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Backtest engine próprio é a direção preferida</w:t>
            </w:r>
          </w:p>
        </w:tc>
        <w:tc>
          <w:tcPr>
            <w:tcW w:type="dxa" w:w="618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Controle explícito de Bid/Ask, spread, slippage, timing e lógica MT5. Backtrader pode ser usado como comparação, não dependência obrigatória.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Freqtrade removido</w:t>
            </w:r>
          </w:p>
        </w:tc>
        <w:tc>
          <w:tcPr>
            <w:tcW w:type="dxa" w:w="618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Escopo oficial é cripto, não Forex [T4].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Sem ML na primeira fase</w:t>
            </w:r>
          </w:p>
        </w:tc>
        <w:tc>
          <w:tcPr>
            <w:tcW w:type="dxa" w:w="618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Complexidade deve demonstrar ganho incremental contra baseline.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Sem capital real como meta de curto prazo</w:t>
            </w:r>
          </w:p>
        </w:tc>
        <w:tc>
          <w:tcPr>
            <w:tcW w:type="dxa" w:w="618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AF9F4"/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Primeiro objetivo é correção, reprodutibilidade e validação.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Experimentos registrados</w:t>
            </w:r>
          </w:p>
        </w:tc>
        <w:tc>
          <w:tcPr>
            <w:tcW w:type="dxa" w:w="6180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2A2A2A"/>
                <w:sz w:val="16"/>
              </w:rPr>
              <w:t>Necessário para controlar multiple testing e auditar decisões.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Conclusão Operacional</w:t>
      </w:r>
    </w:p>
    <w:p>
      <w:pPr>
        <w:jc w:val="both"/>
      </w:pPr>
      <w:r>
        <w:t>Esta V2 transforma a pesquisa inicial em um documento mestre de referência: fatos e definições foram separados de heurísticas e hipóteses; as oito estratégias viraram experimentos com ordem de prioridade; o backtesting ganhou lockbox OOS, registro de trials, stress de custos e regras anti-leakage; e dados/execution passaram a ser especificação formal do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3EED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71717"/>
                <w:sz w:val="19"/>
              </w:rPr>
              <w:t>Próxima ação recomendada</w:t>
            </w:r>
          </w:p>
          <w:p>
            <w:pPr>
              <w:spacing w:after="0"/>
              <w:jc w:val="both"/>
            </w:pPr>
            <w:r>
              <w:rPr>
                <w:sz w:val="18"/>
              </w:rPr>
              <w:t>Fase F1: preparar o ambiente Python + MetaTrader 5 e coletar um pequeno dataset de EURUSD. Antes de qualquer estratégia, validar timestamp, barra fechada, spread, especificações do símbolo e armazenamento. Só depois implementar EXP-001.</w:t>
            </w:r>
          </w:p>
        </w:tc>
      </w:tr>
    </w:tbl>
    <w:p>
      <w:pPr>
        <w:spacing w:after="20"/>
      </w:pPr>
    </w:p>
    <w:p>
      <w:pPr>
        <w:jc w:val="both"/>
      </w:pPr>
      <w:r>
        <w:t>Este documento deve ser atualizado por versão. Mudanças metodológicas relevantes, novos papers e decisões de implementação devem gerar uma nova versão, preservando o histórico das hipóteses aprovadas e descartadas.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964" w:right="1020" w:bottom="935" w:left="1134" w:header="397" w:footer="39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888888"/>
        <w:sz w:val="15"/>
      </w:rPr>
      <w:t xml:space="preserve">Referência Técnica  |  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8A8A8A"/>
        <w:sz w:val="15"/>
      </w:rPr>
      <w:t>PESQUISA FOREX BOT  |  V2 AUDITADA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erif" w:hAnsi="Liberation Serif"/>
      <w:color w:val="2A2A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171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B3D1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7171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17171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erif" w:hAnsi="Liberation Serif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erif" w:hAnsi="Liberation Serif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erif" w:hAnsi="Liberation Serif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V2">
    <w:name w:val="SubtitleV2"/>
    <w:pPr>
      <w:spacing w:after="200"/>
    </w:pPr>
    <w:rPr>
      <w:rFonts w:ascii="Liberation Sans" w:hAnsi="Liberation Sans"/>
      <w:color w:val="6B6B6B"/>
      <w:sz w:val="22"/>
    </w:rPr>
  </w:style>
  <w:style w:type="paragraph" w:customStyle="1" w:styleId="CodeBlock">
    <w:name w:val="CodeBlock"/>
    <w:pPr>
      <w:spacing w:before="80" w:after="120"/>
      <w:ind w:left="283" w:right="283"/>
    </w:pPr>
    <w:rPr>
      <w:rFonts w:ascii="DejaVu Sans Mono" w:hAnsi="DejaVu Sans Mono"/>
      <w:color w:val="333333"/>
      <w:sz w:val="17"/>
    </w:rPr>
  </w:style>
  <w:style w:type="paragraph" w:customStyle="1" w:styleId="SmallNote">
    <w:name w:val="SmallNote"/>
    <w:pPr>
      <w:spacing w:after="80"/>
    </w:pPr>
    <w:rPr>
      <w:rFonts w:ascii="Liberation Sans" w:hAnsi="Liberation Sans"/>
      <w:color w:val="6B6B6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