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46E5"/>
          <w:sz w:val="18"/>
        </w:rPr>
        <w:t>OFFICIAL SYSTEM ARCHITECTURE &amp; TECHNICAL REPORT</w:t>
      </w:r>
    </w:p>
    <w:p>
      <w:r>
        <w:rPr>
          <w:b/>
          <w:color w:val="0F172A"/>
          <w:sz w:val="48"/>
        </w:rPr>
        <w:t>ResearchMind AI</w:t>
      </w:r>
    </w:p>
    <w:p>
      <w:r>
        <w:rPr>
          <w:i/>
          <w:color w:val="64748B"/>
          <w:sz w:val="23"/>
        </w:rPr>
        <w:t>Autonomous Academic Paper Deconstruction, Senior Peer Review, Grounded Chat &amp; Cross-Paper Synthesis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F1F5F9"/>
          </w:tcPr>
          <w:p>
            <w:pPr>
              <w:spacing w:before="80" w:after="80"/>
            </w:pPr>
            <w:r>
              <w:rPr>
                <w:b/>
                <w:color w:val="64748B"/>
                <w:sz w:val="15"/>
              </w:rPr>
              <w:t>PLATFORM VERSION</w:t>
              <w:br/>
            </w:r>
            <w:r>
              <w:rPr>
                <w:b/>
                <w:color w:val="0F172A"/>
                <w:sz w:val="18"/>
              </w:rPr>
              <w:t>2.0.0 (Production)</w:t>
            </w:r>
          </w:p>
        </w:tc>
        <w:tc>
          <w:tcPr>
            <w:tcW w:type="dxa" w:w="2448"/>
            <w:shd w:fill="F1F5F9"/>
          </w:tcPr>
          <w:p>
            <w:pPr>
              <w:spacing w:before="80" w:after="80"/>
            </w:pPr>
            <w:r>
              <w:rPr>
                <w:b/>
                <w:color w:val="64748B"/>
                <w:sz w:val="15"/>
              </w:rPr>
              <w:t>AI CORE MODELS</w:t>
              <w:br/>
            </w:r>
            <w:r>
              <w:rPr>
                <w:b/>
                <w:color w:val="0F172A"/>
                <w:sz w:val="18"/>
              </w:rPr>
              <w:t>Gemini 3.5 / 2.5 Flash &amp; Pro</w:t>
            </w:r>
          </w:p>
        </w:tc>
        <w:tc>
          <w:tcPr>
            <w:tcW w:type="dxa" w:w="2448"/>
            <w:shd w:fill="F1F5F9"/>
          </w:tcPr>
          <w:p>
            <w:pPr>
              <w:spacing w:before="80" w:after="80"/>
            </w:pPr>
            <w:r>
              <w:rPr>
                <w:b/>
                <w:color w:val="64748B"/>
                <w:sz w:val="15"/>
              </w:rPr>
              <w:t>REPOSITORY</w:t>
              <w:br/>
            </w:r>
            <w:r>
              <w:rPr>
                <w:b/>
                <w:color w:val="0F172A"/>
                <w:sz w:val="18"/>
              </w:rPr>
              <w:t>darursrikar-sketch/researchmind-ai</w:t>
            </w:r>
          </w:p>
        </w:tc>
        <w:tc>
          <w:tcPr>
            <w:tcW w:type="dxa" w:w="2448"/>
            <w:shd w:fill="F1F5F9"/>
          </w:tcPr>
          <w:p>
            <w:pPr>
              <w:spacing w:before="80" w:after="80"/>
            </w:pPr>
            <w:r>
              <w:rPr>
                <w:b/>
                <w:color w:val="64748B"/>
                <w:sz w:val="15"/>
              </w:rPr>
              <w:t>DOCUMENT DATE</w:t>
              <w:br/>
            </w:r>
            <w:r>
              <w:rPr>
                <w:b/>
                <w:color w:val="0F172A"/>
                <w:sz w:val="18"/>
              </w:rPr>
              <w:t>September 2026</w:t>
            </w:r>
          </w:p>
        </w:tc>
      </w:tr>
      <w:tr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</w:tbl>
    <w:p/>
    <w:p>
      <w:pPr>
        <w:pStyle w:val="Heading1"/>
      </w:pPr>
      <w:r>
        <w:t>1. Executive Summary &amp; Problem Statement</w:t>
      </w:r>
    </w:p>
    <w:p>
      <w:r>
        <w:t>Modern scientific research is experiencing exponential velocity. In machine learning, computer science, and biomedicine alone, thousands of preprints are submitted to arXiv, bioRxiv, and peer-reviewed venues every week. Researchers, engineers, graduate students, and technical leaders face severe bottlenecks:</w:t>
      </w:r>
    </w:p>
    <w:p>
      <w:pPr>
        <w:pStyle w:val="ListBullet"/>
      </w:pPr>
      <w:r>
        <w:rPr>
          <w:b/>
        </w:rPr>
        <w:t xml:space="preserve">Time Constraints: </w:t>
      </w:r>
      <w:r>
        <w:t>Digesting a 15–30 page dense paper with mathematical appendices requires 2–4 hours.</w:t>
      </w:r>
    </w:p>
    <w:p>
      <w:pPr>
        <w:pStyle w:val="ListBullet"/>
      </w:pPr>
      <w:r>
        <w:rPr>
          <w:b/>
        </w:rPr>
        <w:t xml:space="preserve">Surface-Level LLM Summaries: </w:t>
      </w:r>
      <w:r>
        <w:t>Standard consumer chatbots output generic bullet points that miss nuances, fail to evaluate methodological flaws, ignore missing baselines, and hallucinate claims.</w:t>
      </w:r>
    </w:p>
    <w:p>
      <w:pPr>
        <w:pStyle w:val="ListBullet"/>
      </w:pPr>
      <w:r>
        <w:rPr>
          <w:b/>
        </w:rPr>
        <w:t xml:space="preserve">Mathematical Neglect: </w:t>
      </w:r>
      <w:r>
        <w:t>Conventional summarizers skip LaTeX formulas, loss functions, and architectural bounds.</w:t>
      </w:r>
    </w:p>
    <w:p>
      <w:pPr>
        <w:pStyle w:val="ListBullet"/>
      </w:pPr>
      <w:r>
        <w:rPr>
          <w:b/>
        </w:rPr>
        <w:t xml:space="preserve">Fragmented Workflows: </w:t>
      </w:r>
      <w:r>
        <w:t>Researchers juggle multiple disconnected tools for paper retrieval, PDF annotation, chat interaction, and literature synthesis.</w:t>
      </w:r>
    </w:p>
    <w:p>
      <w:pPr>
        <w:ind w:left="360"/>
      </w:pPr>
      <w:r>
        <w:rPr>
          <w:i/>
          <w:color w:val="4F46E5"/>
          <w:sz w:val="20"/>
        </w:rPr>
        <w:t>The ResearchMind AI Solution: ResearchMind AI is an autonomous, academic-grade AI research partner designed to bridge the gap between rapid literature scanning and rigorous peer review. Powered by Google Gemini (gemini-2.5-flash, gemini-3.5-flash, and gemini-2.5-pro via the official google-genai SDK), ResearchMind delivers multi-source ingestion, autonomous 6-pillar deep deconstruction, page-grounded conversational Q&amp;A, and cross-paper comparative meta-analysis.</w:t>
      </w:r>
    </w:p>
    <w:p>
      <w:pPr>
        <w:pStyle w:val="Heading1"/>
      </w:pPr>
      <w:r>
        <w:t>2. Core Capabilities &amp; Value Proposition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F172A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264"/>
            <w:shd w:fill="0F172A"/>
          </w:tcPr>
          <w:p>
            <w:r>
              <w:rPr>
                <w:b/>
                <w:color w:val="FFFFFF"/>
                <w:sz w:val="18"/>
              </w:rPr>
              <w:t>Standard Consumer LLMs</w:t>
            </w:r>
          </w:p>
        </w:tc>
        <w:tc>
          <w:tcPr>
            <w:tcW w:type="dxa" w:w="3264"/>
            <w:shd w:fill="0F172A"/>
          </w:tcPr>
          <w:p>
            <w:r>
              <w:rPr>
                <w:b/>
                <w:color w:val="FFFFFF"/>
                <w:sz w:val="18"/>
              </w:rPr>
              <w:t>ResearchMind AI Platform</w:t>
            </w:r>
          </w:p>
        </w:tc>
      </w:tr>
      <w:tr>
        <w:tc>
          <w:tcPr>
            <w:tcW w:type="dxa" w:w="3264"/>
            <w:shd w:fill="FFFFFF"/>
          </w:tcPr>
          <w:p>
            <w:r>
              <w:rPr>
                <w:sz w:val="17"/>
              </w:rPr>
              <w:t>Paper Ingestion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>Manual copy-paste or raw file text dumps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>One-click arXiv ID/URL retrieval + Page-aware PDF parsing</w:t>
            </w:r>
          </w:p>
        </w:tc>
      </w:tr>
      <w:tr>
        <w:tc>
          <w:tcPr>
            <w:tcW w:type="dxa" w:w="3264"/>
            <w:shd w:fill="F8FAFC"/>
          </w:tcPr>
          <w:p>
            <w:r>
              <w:rPr>
                <w:sz w:val="17"/>
              </w:rPr>
              <w:t>Citation Precision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>General references (prone to hallucination)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>Strict page-grounded citations ([Page 4]) verified against document text</w:t>
            </w:r>
          </w:p>
        </w:tc>
      </w:tr>
      <w:tr>
        <w:tc>
          <w:tcPr>
            <w:tcW w:type="dxa" w:w="3264"/>
            <w:shd w:fill="FFFFFF"/>
          </w:tcPr>
          <w:p>
            <w:r>
              <w:rPr>
                <w:sz w:val="17"/>
              </w:rPr>
              <w:t>Math &amp; Equations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>Plain text mangling of Greek symbols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>Native KaTeX LaTeX rendering ($...$ and $$...$$) for loss functions</w:t>
            </w:r>
          </w:p>
        </w:tc>
      </w:tr>
      <w:tr>
        <w:tc>
          <w:tcPr>
            <w:tcW w:type="dxa" w:w="3264"/>
            <w:shd w:fill="F8FAFC"/>
          </w:tcPr>
          <w:p>
            <w:r>
              <w:rPr>
                <w:sz w:val="17"/>
              </w:rPr>
              <w:t>Critical Rigor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>Polite, uncritical summaries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>Senior reviewer simulation (NeurIPS/ICML style, 1–10 score, rebuttal questions)</w:t>
            </w:r>
          </w:p>
        </w:tc>
      </w:tr>
      <w:tr>
        <w:tc>
          <w:tcPr>
            <w:tcW w:type="dxa" w:w="3264"/>
            <w:shd w:fill="FFFFFF"/>
          </w:tcPr>
          <w:p>
            <w:r>
              <w:rPr>
                <w:sz w:val="17"/>
              </w:rPr>
              <w:t>Replication Details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>High-level conceptual overview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>Hyperparameters, compute budgets, subtle failure modes, runnable pseudocode</w:t>
            </w:r>
          </w:p>
        </w:tc>
      </w:tr>
      <w:tr>
        <w:tc>
          <w:tcPr>
            <w:tcW w:type="dxa" w:w="3264"/>
            <w:shd w:fill="F8FAFC"/>
          </w:tcPr>
          <w:p>
            <w:r>
              <w:rPr>
                <w:sz w:val="17"/>
              </w:rPr>
              <w:t>Cross-Paper Analysis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>Limited to single context window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>Multi-paper comparative synthesis matrix with architectural decision trees</w:t>
            </w:r>
          </w:p>
        </w:tc>
      </w:tr>
      <w:tr>
        <w:tc>
          <w:tcPr>
            <w:tcW w:type="dxa" w:w="3264"/>
            <w:shd w:fill="FFFFFF"/>
          </w:tcPr>
          <w:p>
            <w:r>
              <w:rPr>
                <w:sz w:val="17"/>
              </w:rPr>
              <w:t>Streaming Delivery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>Monolithic text chunks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>Real-time Server-Sent Events (SSE) streaming per analytical module</w:t>
            </w:r>
          </w:p>
        </w:tc>
      </w:tr>
      <w:tr>
        <w:tc>
          <w:tcPr>
            <w:tcW w:type="dxa" w:w="3264"/>
            <w:shd w:fill="F8FAFC"/>
          </w:tcPr>
          <w:p>
            <w:r>
              <w:rPr>
                <w:sz w:val="17"/>
              </w:rPr>
              <w:t>Export Formats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>Raw clipboard copy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>Formatted GitHub Markdown, standalone print-ready HTML, structured JSON</w:t>
            </w:r>
          </w:p>
        </w:tc>
      </w:tr>
    </w:tbl>
    <w:p>
      <w:r>
        <w:br w:type="page"/>
      </w:r>
    </w:p>
    <w:p>
      <w:pPr>
        <w:pStyle w:val="Heading1"/>
      </w:pPr>
      <w:r>
        <w:t>3. System Architecture &amp; Component Design</w:t>
      </w:r>
    </w:p>
    <w:p>
      <w:r>
        <w:t>ResearchMind AI is structured into four decoupled, modular layers ensuring seamless scalability, robust error isolation, and maximum extensibility:</w:t>
      </w:r>
    </w:p>
    <w:p>
      <w:pPr>
        <w:pStyle w:val="ListBullet"/>
      </w:pPr>
      <w:r>
        <w:rPr>
          <w:b/>
        </w:rPr>
        <w:t xml:space="preserve">1. Ingestion Layer: </w:t>
      </w:r>
      <w:r>
        <w:t>Includes the arXiv API Client (resolves Atom XML metadata and fetches source PDFs) and the PDF Extraction Engine (uses pypdf to maintain an ordered dictionary of page-indexed text buffers).</w:t>
      </w:r>
    </w:p>
    <w:p>
      <w:pPr>
        <w:pStyle w:val="ListBullet"/>
      </w:pPr>
      <w:r>
        <w:rPr>
          <w:b/>
        </w:rPr>
        <w:t xml:space="preserve">2. Agent Core: </w:t>
      </w:r>
      <w:r>
        <w:t>Houses the PaperAnalysisAgent (orchestrates 6 analytical modules), PaperChatEngine (stateful conversation with page citations), and PaperComparisonAgent (cross-paper meta-analysis). Directly interfaces with the official google-genai SDK.</w:t>
      </w:r>
    </w:p>
    <w:p>
      <w:pPr>
        <w:pStyle w:val="ListBullet"/>
      </w:pPr>
      <w:r>
        <w:rPr>
          <w:b/>
        </w:rPr>
        <w:t xml:space="preserve">3. Storage &amp; Persistence: </w:t>
      </w:r>
      <w:r>
        <w:t>Manages local SQLite storage (data/researchmind.db), schema migrations, PBKDF2 password hashing, isolated user workspaces, and local PDF uploads (data/uploads/).</w:t>
      </w:r>
    </w:p>
    <w:p>
      <w:pPr>
        <w:pStyle w:val="ListBullet"/>
      </w:pPr>
      <w:r>
        <w:rPr>
          <w:b/>
        </w:rPr>
        <w:t xml:space="preserve">4. Presentation Layer: </w:t>
      </w:r>
      <w:r>
        <w:t>Combines a reactive web dashboard (inspired by NexaCore with floating island navbar, radial glow sweeps, and KaTeX math), a rich terminal CLI (run_cli.py), and serialization exporters (Markdown, HTML, JSON).</w:t>
      </w:r>
    </w:p>
    <w:p>
      <w:pPr>
        <w:pStyle w:val="Heading1"/>
      </w:pPr>
      <w:r>
        <w:t>4. The 6-Pillar Autonomous Analysis Pipeline</w:t>
      </w:r>
    </w:p>
    <w:p>
      <w:r>
        <w:rPr>
          <w:b/>
          <w:color w:val="4F46E5"/>
        </w:rPr>
        <w:t xml:space="preserve">• Executive Summary &amp; TL;DR: </w:t>
      </w:r>
      <w:r>
        <w:t>Distills the core problem vector, novel paradigm contributions, and headline quantitative metrics into an immediate high-signal briefing.</w:t>
      </w:r>
    </w:p>
    <w:p>
      <w:r>
        <w:rPr>
          <w:b/>
          <w:color w:val="4F46E5"/>
        </w:rPr>
        <w:t xml:space="preserve">• Methodology &amp; Mathematical Architecture: </w:t>
      </w:r>
      <w:r>
        <w:t>Step-by-step pipeline deconstruction, mathematical loss functions, tensor shapes, and theoretical proofs rendered in clean LaTeX.</w:t>
      </w:r>
    </w:p>
    <w:p>
      <w:r>
        <w:rPr>
          <w:b/>
          <w:color w:val="4F46E5"/>
        </w:rPr>
        <w:t xml:space="preserve">• Critical Peer Review: </w:t>
      </w:r>
      <w:r>
        <w:t>Simulates a senior tier-1 reviewer (NeurIPS/ICML) with a 1–10 score, accept/reject recommendation, missing baselines, and author rebuttal questions.</w:t>
      </w:r>
    </w:p>
    <w:p>
      <w:r>
        <w:rPr>
          <w:b/>
          <w:color w:val="4F46E5"/>
        </w:rPr>
        <w:t xml:space="preserve">• Findings &amp; Empirical Benchmarks: </w:t>
      </w:r>
      <w:r>
        <w:t>Comprehensive catalog of datasets, SotA performance comparison tables, statistical significance tests, and ablation study insights.</w:t>
      </w:r>
    </w:p>
    <w:p>
      <w:r>
        <w:rPr>
          <w:b/>
          <w:color w:val="4F46E5"/>
        </w:rPr>
        <w:t xml:space="preserve">• Limitations &amp; Theoretical Bounds: </w:t>
      </w:r>
      <w:r>
        <w:t>Identifies fundamental failure modes, asymptotic scaling bottlenecks, memory ceilings, and unaddressed safety/adversarial concerns.</w:t>
      </w:r>
    </w:p>
    <w:p>
      <w:r>
        <w:rPr>
          <w:b/>
          <w:color w:val="4F46E5"/>
        </w:rPr>
        <w:t xml:space="preserve">• Implementation &amp; Replication Blueprint: </w:t>
      </w:r>
      <w:r>
        <w:t>Actionable ML engineering guide featuring hyperparameter tables, GPU compute budgets, unstated implementation pitfalls, and Python pseudocode.</w:t>
      </w:r>
    </w:p>
    <w:p>
      <w:pPr>
        <w:pStyle w:val="Heading1"/>
      </w:pPr>
      <w:r>
        <w:t>5. REST &amp; Server-Sent Events (SSE)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F172A"/>
          </w:tcPr>
          <w:p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448"/>
            <w:shd w:fill="0F172A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448"/>
            <w:shd w:fill="0F172A"/>
          </w:tcPr>
          <w:p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2448"/>
            <w:shd w:fill="0F172A"/>
          </w:tcPr>
          <w:p>
            <w:r>
              <w:rPr>
                <w:b/>
                <w:color w:val="FFFFFF"/>
                <w:sz w:val="17"/>
              </w:rPr>
              <w:t>Function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/api/auth/me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Fetch active session or null</w:t>
            </w:r>
          </w:p>
        </w:tc>
      </w:tr>
      <w:tr>
        <w:tc>
          <w:tcPr>
            <w:tcW w:type="dxa" w:w="2448"/>
            <w:shd w:fill="F8FAFC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/api/auth/signup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User registration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/api/auth/signin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User login &amp; session cookie</w:t>
            </w:r>
          </w:p>
        </w:tc>
      </w:tr>
      <w:tr>
        <w:tc>
          <w:tcPr>
            <w:tcW w:type="dxa" w:w="2448"/>
            <w:shd w:fill="F8FAFC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/api/auth/signout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Invalidate session cookie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6"/>
              </w:rPr>
              <w:t>GET/POST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/api/config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Manage API key &amp; default model</w:t>
            </w:r>
          </w:p>
        </w:tc>
      </w:tr>
      <w:tr>
        <w:tc>
          <w:tcPr>
            <w:tcW w:type="dxa" w:w="2448"/>
            <w:shd w:fill="F8FAFC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/api/papers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List workspace papers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/api/papers/&lt;id&gt;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Get metadata &amp; cached analysis</w:t>
            </w:r>
          </w:p>
        </w:tc>
      </w:tr>
      <w:tr>
        <w:tc>
          <w:tcPr>
            <w:tcW w:type="dxa" w:w="2448"/>
            <w:shd w:fill="F8FAFC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/api/papers/&lt;id&gt;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Delete paper &amp; analyses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/api/upload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Multipart PDF upload &amp; extraction</w:t>
            </w:r>
          </w:p>
        </w:tc>
      </w:tr>
      <w:tr>
        <w:tc>
          <w:tcPr>
            <w:tcW w:type="dxa" w:w="2448"/>
            <w:shd w:fill="F8FAFC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/api/arxiv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Ingest paper via arXiv ID/URL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/api/analyze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SSE Stream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Stream real-time 6-pillar analysis</w:t>
            </w:r>
          </w:p>
        </w:tc>
      </w:tr>
      <w:tr>
        <w:tc>
          <w:tcPr>
            <w:tcW w:type="dxa" w:w="2448"/>
            <w:shd w:fill="F8FAFC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/api/chat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SSE Stream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Stream grounded Q&amp;A with citations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/api/chat/starters/&lt;id&gt;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Generate 4 starter questions</w:t>
            </w:r>
          </w:p>
        </w:tc>
      </w:tr>
      <w:tr>
        <w:tc>
          <w:tcPr>
            <w:tcW w:type="dxa" w:w="2448"/>
            <w:shd w:fill="F8FAFC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/api/compare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SSE Stream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6"/>
              </w:rPr>
              <w:t>Stream multi-paper cross synthesis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/api/export/&lt;id&gt;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File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6"/>
              </w:rPr>
              <w:t>Export Markdown, HTML, or JSON</w:t>
            </w:r>
          </w:p>
        </w:tc>
      </w:tr>
    </w:tbl>
    <w:p>
      <w:r>
        <w:br w:type="page"/>
      </w:r>
    </w:p>
    <w:p>
      <w:pPr>
        <w:pStyle w:val="Heading1"/>
      </w:pPr>
      <w:r>
        <w:t>6. CLI &amp; Automated Execution Guide</w:t>
      </w:r>
    </w:p>
    <w:p>
      <w:r>
        <w:t>ResearchMind provides a rich command-line tool (run_cli.py) for headless and automated execution:</w:t>
      </w:r>
    </w:p>
    <w:p>
      <w:r>
        <w:rPr>
          <w:b/>
        </w:rPr>
        <w:t>Analyze arXiv Paper:</w:t>
        <w:br/>
      </w:r>
      <w:r>
        <w:rPr>
          <w:rFonts w:ascii="Consolas" w:hAnsi="Consolas"/>
          <w:color w:val="B91C1C"/>
          <w:sz w:val="18"/>
        </w:rPr>
        <w:t xml:space="preserve">  python run_cli.py analyze 1706.03762</w:t>
      </w:r>
    </w:p>
    <w:p>
      <w:r>
        <w:rPr>
          <w:b/>
        </w:rPr>
        <w:t>Analyze Local PDF &amp; Export to Markdown:</w:t>
        <w:br/>
      </w:r>
      <w:r>
        <w:rPr>
          <w:rFonts w:ascii="Consolas" w:hAnsi="Consolas"/>
          <w:color w:val="B91C1C"/>
          <w:sz w:val="18"/>
        </w:rPr>
        <w:t xml:space="preserve">  python run_cli.py analyze ./sample_paper.pdf --export md --out ./report.md</w:t>
      </w:r>
    </w:p>
    <w:p>
      <w:r>
        <w:rPr>
          <w:b/>
        </w:rPr>
        <w:t>Deep Review with Gemini Pro:</w:t>
        <w:br/>
      </w:r>
      <w:r>
        <w:rPr>
          <w:rFonts w:ascii="Consolas" w:hAnsi="Consolas"/>
          <w:color w:val="B91C1C"/>
          <w:sz w:val="18"/>
        </w:rPr>
        <w:t xml:space="preserve">  python run_cli.py analyze 2106.09685 --model gemini-2.5-pro --export html</w:t>
      </w:r>
    </w:p>
    <w:p>
      <w:r>
        <w:rPr>
          <w:b/>
        </w:rPr>
        <w:t>Grounded Terminal Chat REPL:</w:t>
        <w:br/>
      </w:r>
      <w:r>
        <w:rPr>
          <w:rFonts w:ascii="Consolas" w:hAnsi="Consolas"/>
          <w:color w:val="B91C1C"/>
          <w:sz w:val="18"/>
        </w:rPr>
        <w:t xml:space="preserve">  python run_cli.py chat 1706.03762</w:t>
      </w:r>
    </w:p>
    <w:p>
      <w:r>
        <w:rPr>
          <w:b/>
        </w:rPr>
        <w:t>Multi-Paper Cross-Comparison:</w:t>
        <w:br/>
      </w:r>
      <w:r>
        <w:rPr>
          <w:rFonts w:ascii="Consolas" w:hAnsi="Consolas"/>
          <w:color w:val="B91C1C"/>
          <w:sz w:val="18"/>
        </w:rPr>
        <w:t xml:space="preserve">  python run_cli.py compare 1706.03762 2106.09685 --out comparison.md</w:t>
      </w:r>
    </w:p>
    <w:p>
      <w:r>
        <w:rPr>
          <w:b/>
        </w:rPr>
        <w:t>List Saved Papers in Library:</w:t>
        <w:br/>
      </w:r>
      <w:r>
        <w:rPr>
          <w:rFonts w:ascii="Consolas" w:hAnsi="Consolas"/>
          <w:color w:val="B91C1C"/>
          <w:sz w:val="18"/>
        </w:rPr>
        <w:t xml:space="preserve">  python run_cli.py list</w:t>
      </w:r>
    </w:p>
    <w:p>
      <w:pPr>
        <w:pStyle w:val="Heading1"/>
      </w:pPr>
      <w:r>
        <w:t>7. Setup &amp; Quick Start</w:t>
      </w:r>
    </w:p>
    <w:p>
      <w:pPr>
        <w:pStyle w:val="ListBullet"/>
      </w:pPr>
      <w:r>
        <w:t>1. Install dependencies: pip install -r requirements.txt</w:t>
      </w:r>
    </w:p>
    <w:p>
      <w:pPr>
        <w:pStyle w:val="ListBullet"/>
      </w:pPr>
      <w:r>
        <w:t>2. Configure .env with your Google Gemini API key: GEMINI_API_KEY=AIzaSy...</w:t>
      </w:r>
    </w:p>
    <w:p>
      <w:pPr>
        <w:pStyle w:val="ListBullet"/>
      </w:pPr>
      <w:r>
        <w:t>3. Start web server: python run_web.py (Available at http://127.0.0.1:5000)</w:t>
      </w:r>
    </w:p>
    <w:p>
      <w:pPr>
        <w:pStyle w:val="ListBullet"/>
      </w:pPr>
      <w:r>
        <w:t>4. Run unit tests: python -m unittest discover tests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