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2400" w:line="340" w:lineRule="auto"/>
        <w:jc w:val="center"/>
      </w:pPr>
      <w:r>
        <w:rPr>
          <w:b/>
          <w:bCs/>
          <w:color w:val="1F4E5F"/>
          <w:sz w:val="48"/>
          <w:szCs w:val="48"/>
        </w:rPr>
        <w:t xml:space="preserve">Functional Requirement Document (FRD)</w:t>
      </w:r>
    </w:p>
    <w:p>
      <w:pPr>
        <w:spacing w:after="120"/>
        <w:jc w:val="center"/>
      </w:pPr>
      <w:r>
        <w:rPr>
          <w:color w:val="666666"/>
          <w:sz w:val="28"/>
          <w:szCs w:val="28"/>
        </w:rPr>
        <w:t xml:space="preserve">Platform Website Builder Berbasis Chatbot &amp; Agentic AI — digimaestro.id</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5F" w:color="auto" w:val="clear"/>
            <w:tcMar>
              <w:top w:type="dxa" w:w="60"/>
              <w:left w:type="dxa" w:w="100"/>
              <w:bottom w:type="dxa" w:w="60"/>
              <w:right w:type="dxa" w:w="100"/>
            </w:tcMar>
          </w:tcPr>
          <w:p>
            <w:pPr>
              <w:spacing w:after="0" w:line="260"/>
            </w:pPr>
            <w:r>
              <w:rPr>
                <w:b/>
                <w:bCs/>
                <w:color w:val="FFFFFF"/>
                <w:sz w:val="20"/>
                <w:szCs w:val="20"/>
              </w:rPr>
              <w:t xml:space="preserve">Field</w:t>
            </w:r>
          </w:p>
        </w:tc>
        <w:tc>
          <w:tcPr>
            <w:tcW w:type="dxa" w:w="6400"/>
            <w:shd w:fill="1F4E5F" w:color="auto" w:val="clear"/>
            <w:tcMar>
              <w:top w:type="dxa" w:w="60"/>
              <w:left w:type="dxa" w:w="100"/>
              <w:bottom w:type="dxa" w:w="60"/>
              <w:right w:type="dxa" w:w="100"/>
            </w:tcMar>
          </w:tcPr>
          <w:p>
            <w:pPr>
              <w:spacing w:after="0" w:line="260"/>
            </w:pPr>
            <w:r>
              <w:rPr>
                <w:b/>
                <w:bCs/>
                <w:color w:val="FFFFFF"/>
                <w:sz w:val="20"/>
                <w:szCs w:val="20"/>
              </w:rPr>
              <w:t xml:space="preserve">Keterangan</w:t>
            </w:r>
          </w:p>
        </w:tc>
      </w:tr>
      <w:tr>
        <w:tc>
          <w:tcPr>
            <w:tcW w:type="dxa" w:w="2600"/>
            <w:tcMar>
              <w:top w:type="dxa" w:w="60"/>
              <w:left w:type="dxa" w:w="100"/>
              <w:bottom w:type="dxa" w:w="60"/>
              <w:right w:type="dxa" w:w="100"/>
            </w:tcMar>
          </w:tcPr>
          <w:p>
            <w:pPr>
              <w:spacing w:after="0" w:line="260"/>
            </w:pPr>
            <w:r>
              <w:rPr>
                <w:color w:val="222222"/>
                <w:sz w:val="20"/>
                <w:szCs w:val="20"/>
              </w:rPr>
              <w:t xml:space="preserve">Versi Dokumen</w:t>
            </w:r>
          </w:p>
        </w:tc>
        <w:tc>
          <w:tcPr>
            <w:tcW w:type="dxa" w:w="6400"/>
            <w:tcMar>
              <w:top w:type="dxa" w:w="60"/>
              <w:left w:type="dxa" w:w="100"/>
              <w:bottom w:type="dxa" w:w="60"/>
              <w:right w:type="dxa" w:w="100"/>
            </w:tcMar>
          </w:tcPr>
          <w:p>
            <w:pPr>
              <w:spacing w:after="0" w:line="260"/>
            </w:pPr>
            <w:r>
              <w:rPr>
                <w:color w:val="222222"/>
                <w:sz w:val="20"/>
                <w:szCs w:val="20"/>
              </w:rPr>
              <w:t xml:space="preserve">1.2 (Rebrand ke digimaestro.id; fokus tunggal produk)</w:t>
            </w:r>
          </w:p>
        </w:tc>
      </w:tr>
      <w:tr>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Tanggal</w:t>
            </w:r>
          </w:p>
        </w:tc>
        <w:tc>
          <w:tcPr>
            <w:tcW w:type="dxa" w:w="6400"/>
            <w:shd w:fill="EAF2F2" w:color="auto" w:val="clear"/>
            <w:tcMar>
              <w:top w:type="dxa" w:w="60"/>
              <w:left w:type="dxa" w:w="100"/>
              <w:bottom w:type="dxa" w:w="60"/>
              <w:right w:type="dxa" w:w="100"/>
            </w:tcMar>
          </w:tcPr>
          <w:p>
            <w:pPr>
              <w:spacing w:after="0" w:line="260"/>
            </w:pPr>
            <w:r>
              <w:rPr>
                <w:color w:val="222222"/>
                <w:sz w:val="20"/>
                <w:szCs w:val="20"/>
              </w:rPr>
              <w:t xml:space="preserve">2 Juli 2026</w:t>
            </w:r>
          </w:p>
        </w:tc>
      </w:tr>
      <w:tr>
        <w:tc>
          <w:tcPr>
            <w:tcW w:type="dxa" w:w="2600"/>
            <w:tcMar>
              <w:top w:type="dxa" w:w="60"/>
              <w:left w:type="dxa" w:w="100"/>
              <w:bottom w:type="dxa" w:w="60"/>
              <w:right w:type="dxa" w:w="100"/>
            </w:tcMar>
          </w:tcPr>
          <w:p>
            <w:pPr>
              <w:spacing w:after="0" w:line="260"/>
            </w:pPr>
            <w:r>
              <w:rPr>
                <w:color w:val="222222"/>
                <w:sz w:val="20"/>
                <w:szCs w:val="20"/>
              </w:rPr>
              <w:t xml:space="preserve">Pemilik Dokumen</w:t>
            </w:r>
          </w:p>
        </w:tc>
        <w:tc>
          <w:tcPr>
            <w:tcW w:type="dxa" w:w="6400"/>
            <w:tcMar>
              <w:top w:type="dxa" w:w="60"/>
              <w:left w:type="dxa" w:w="100"/>
              <w:bottom w:type="dxa" w:w="60"/>
              <w:right w:type="dxa" w:w="100"/>
            </w:tcMar>
          </w:tcPr>
          <w:p>
            <w:pPr>
              <w:spacing w:after="0" w:line="260"/>
            </w:pPr>
            <w:r>
              <w:rPr>
                <w:color w:val="222222"/>
                <w:sz w:val="20"/>
                <w:szCs w:val="20"/>
              </w:rPr>
              <w:t xml:space="preserve">Darusman (Product Owner)</w:t>
            </w:r>
          </w:p>
        </w:tc>
      </w:tr>
      <w:tr>
        <w:tc>
          <w:tcPr>
            <w:tcW w:type="dxa" w:w="2600"/>
            <w:shd w:fill="EAF2F2" w:color="auto" w:val="clear"/>
            <w:tcMar>
              <w:top w:type="dxa" w:w="60"/>
              <w:left w:type="dxa" w:w="100"/>
              <w:bottom w:type="dxa" w:w="60"/>
              <w:right w:type="dxa" w:w="100"/>
            </w:tcMar>
          </w:tcPr>
          <w:p>
            <w:pPr>
              <w:spacing w:after="0" w:line="260"/>
            </w:pPr>
            <w:r>
              <w:rPr>
                <w:color w:val="222222"/>
                <w:sz w:val="20"/>
                <w:szCs w:val="20"/>
              </w:rPr>
              <w:t xml:space="preserve">Audiens</w:t>
            </w:r>
          </w:p>
        </w:tc>
        <w:tc>
          <w:tcPr>
            <w:tcW w:type="dxa" w:w="6400"/>
            <w:shd w:fill="EAF2F2" w:color="auto" w:val="clear"/>
            <w:tcMar>
              <w:top w:type="dxa" w:w="60"/>
              <w:left w:type="dxa" w:w="100"/>
              <w:bottom w:type="dxa" w:w="60"/>
              <w:right w:type="dxa" w:w="100"/>
            </w:tcMar>
          </w:tcPr>
          <w:p>
            <w:pPr>
              <w:spacing w:after="0" w:line="260"/>
            </w:pPr>
            <w:r>
              <w:rPr>
                <w:color w:val="222222"/>
                <w:sz w:val="20"/>
                <w:szCs w:val="20"/>
              </w:rPr>
              <w:t xml:space="preserve">Tim pengembang &amp; QA</w:t>
            </w:r>
          </w:p>
        </w:tc>
      </w:tr>
      <w:tr>
        <w:tc>
          <w:tcPr>
            <w:tcW w:type="dxa" w:w="2600"/>
            <w:tcMar>
              <w:top w:type="dxa" w:w="60"/>
              <w:left w:type="dxa" w:w="100"/>
              <w:bottom w:type="dxa" w:w="60"/>
              <w:right w:type="dxa" w:w="100"/>
            </w:tcMar>
          </w:tcPr>
          <w:p>
            <w:pPr>
              <w:spacing w:after="0" w:line="260"/>
            </w:pPr>
            <w:r>
              <w:rPr>
                <w:color w:val="222222"/>
                <w:sz w:val="20"/>
                <w:szCs w:val="20"/>
              </w:rPr>
              <w:t xml:space="preserve">Dokumen Terkait</w:t>
            </w:r>
          </w:p>
        </w:tc>
        <w:tc>
          <w:tcPr>
            <w:tcW w:type="dxa" w:w="6400"/>
            <w:tcMar>
              <w:top w:type="dxa" w:w="60"/>
              <w:left w:type="dxa" w:w="100"/>
              <w:bottom w:type="dxa" w:w="60"/>
              <w:right w:type="dxa" w:w="100"/>
            </w:tcMar>
          </w:tcPr>
          <w:p>
            <w:pPr>
              <w:spacing w:after="0" w:line="260"/>
            </w:pPr>
            <w:r>
              <w:rPr>
                <w:color w:val="222222"/>
                <w:sz w:val="20"/>
                <w:szCs w:val="20"/>
              </w:rPr>
              <w:t xml:space="preserve">BRD v1.0, PRD v1.0, SRS v1.0</w:t>
            </w:r>
          </w:p>
        </w:tc>
      </w:tr>
    </w:tbl>
    <w:p>
      <w:r>
        <w:br w:type="page"/>
      </w:r>
    </w:p>
    <w:p>
      <w:pPr>
        <w:pStyle w:val="Heading1"/>
        <w:spacing w:after="160" w:before="360"/>
      </w:pPr>
      <w:r>
        <w:rPr>
          <w:b/>
          <w:bCs/>
          <w:color w:val="1F4E5F"/>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b/>
          <w:bCs/>
          <w:color w:val="1F4E5F"/>
          <w:sz w:val="30"/>
          <w:szCs w:val="30"/>
        </w:rPr>
        <w:t xml:space="preserve">1. Pendahuluan</w:t>
      </w:r>
    </w:p>
    <w:p>
      <w:pPr>
        <w:spacing w:after="120" w:line="300"/>
        <w:jc w:val="both"/>
      </w:pPr>
      <w:r>
        <w:rPr>
          <w:sz w:val="22"/>
          <w:szCs w:val="22"/>
        </w:rPr>
        <w:t xml:space="preserve">Dokumen ini merinci kebutuhan fungsional per modul sistem sebagai turunan dari fitur di PRD. Setiap kebutuhan diberi ID unik (format FR-&lt;MODUL&gt;-&lt;NOMOR&gt;) agar dapat dilacak ke test case. Prioritas: W = Wajib (MVP), S = Sebaiknya, O = Opsional.</w:t>
      </w:r>
    </w:p>
    <w:p>
      <w:pPr>
        <w:pStyle w:val="Heading1"/>
        <w:spacing w:after="160" w:before="360"/>
      </w:pPr>
      <w:r>
        <w:rPr>
          <w:b/>
          <w:bCs/>
          <w:color w:val="1F4E5F"/>
          <w:sz w:val="30"/>
          <w:szCs w:val="30"/>
        </w:rPr>
        <w:t xml:space="preserve">2. Peta Modul Sistem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000"/>
      </w:tblGrid>
      <w:tr>
        <w:trPr>
          <w:tblHeader/>
        </w:trPr>
        <w:tc>
          <w:tcPr>
            <w:tcW w:type="dxa" w:w="1000"/>
            <w:shd w:fill="1F4E5F" w:color="auto" w:val="clear"/>
            <w:tcMar>
              <w:top w:type="dxa" w:w="60"/>
              <w:left w:type="dxa" w:w="100"/>
              <w:bottom w:type="dxa" w:w="60"/>
              <w:right w:type="dxa" w:w="100"/>
            </w:tcMar>
          </w:tcPr>
          <w:p>
            <w:pPr>
              <w:spacing w:after="0" w:line="260"/>
            </w:pPr>
            <w:r>
              <w:rPr>
                <w:b/>
                <w:bCs/>
                <w:color w:val="FFFFFF"/>
                <w:sz w:val="20"/>
                <w:szCs w:val="20"/>
              </w:rPr>
              <w:t xml:space="preserve">Kode</w:t>
            </w:r>
          </w:p>
        </w:tc>
        <w:tc>
          <w:tcPr>
            <w:tcW w:type="dxa" w:w="3000"/>
            <w:shd w:fill="1F4E5F" w:color="auto" w:val="clear"/>
            <w:tcMar>
              <w:top w:type="dxa" w:w="60"/>
              <w:left w:type="dxa" w:w="100"/>
              <w:bottom w:type="dxa" w:w="60"/>
              <w:right w:type="dxa" w:w="100"/>
            </w:tcMar>
          </w:tcPr>
          <w:p>
            <w:pPr>
              <w:spacing w:after="0" w:line="260"/>
            </w:pPr>
            <w:r>
              <w:rPr>
                <w:b/>
                <w:bCs/>
                <w:color w:val="FFFFFF"/>
                <w:sz w:val="20"/>
                <w:szCs w:val="20"/>
              </w:rPr>
              <w:t xml:space="preserve">Modul</w:t>
            </w:r>
          </w:p>
        </w:tc>
        <w:tc>
          <w:tcPr>
            <w:tcW w:type="dxa" w:w="5000"/>
            <w:shd w:fill="1F4E5F" w:color="auto" w:val="clear"/>
            <w:tcMar>
              <w:top w:type="dxa" w:w="60"/>
              <w:left w:type="dxa" w:w="100"/>
              <w:bottom w:type="dxa" w:w="60"/>
              <w:right w:type="dxa" w:w="100"/>
            </w:tcMar>
          </w:tcPr>
          <w:p>
            <w:pPr>
              <w:spacing w:after="0" w:line="260"/>
            </w:pPr>
            <w:r>
              <w:rPr>
                <w:b/>
                <w:bCs/>
                <w:color w:val="FFFFFF"/>
                <w:sz w:val="20"/>
                <w:szCs w:val="20"/>
              </w:rPr>
              <w:t xml:space="preserve">Tanggung Jawab Utama</w:t>
            </w:r>
          </w:p>
        </w:tc>
      </w:tr>
      <w:tr>
        <w:tc>
          <w:tcPr>
            <w:tcW w:type="dxa" w:w="1000"/>
            <w:tcMar>
              <w:top w:type="dxa" w:w="60"/>
              <w:left w:type="dxa" w:w="100"/>
              <w:bottom w:type="dxa" w:w="60"/>
              <w:right w:type="dxa" w:w="100"/>
            </w:tcMar>
          </w:tcPr>
          <w:p>
            <w:pPr>
              <w:spacing w:after="0" w:line="260"/>
            </w:pPr>
            <w:r>
              <w:rPr>
                <w:color w:val="222222"/>
                <w:sz w:val="20"/>
                <w:szCs w:val="20"/>
              </w:rPr>
              <w:t xml:space="preserve">CHN</w:t>
            </w:r>
          </w:p>
        </w:tc>
        <w:tc>
          <w:tcPr>
            <w:tcW w:type="dxa" w:w="3000"/>
            <w:tcMar>
              <w:top w:type="dxa" w:w="60"/>
              <w:left w:type="dxa" w:w="100"/>
              <w:bottom w:type="dxa" w:w="60"/>
              <w:right w:type="dxa" w:w="100"/>
            </w:tcMar>
          </w:tcPr>
          <w:p>
            <w:pPr>
              <w:spacing w:after="0" w:line="260"/>
            </w:pPr>
            <w:r>
              <w:rPr>
                <w:color w:val="222222"/>
                <w:sz w:val="20"/>
                <w:szCs w:val="20"/>
              </w:rPr>
              <w:t xml:space="preserve">Channel Gateway</w:t>
            </w:r>
          </w:p>
        </w:tc>
        <w:tc>
          <w:tcPr>
            <w:tcW w:type="dxa" w:w="5000"/>
            <w:tcMar>
              <w:top w:type="dxa" w:w="60"/>
              <w:left w:type="dxa" w:w="100"/>
              <w:bottom w:type="dxa" w:w="60"/>
              <w:right w:type="dxa" w:w="100"/>
            </w:tcMar>
          </w:tcPr>
          <w:p>
            <w:pPr>
              <w:spacing w:after="0" w:line="260"/>
            </w:pPr>
            <w:r>
              <w:rPr>
                <w:color w:val="222222"/>
                <w:sz w:val="20"/>
                <w:szCs w:val="20"/>
              </w:rPr>
              <w:t xml:space="preserve">Integrasi WhatsApp Cloud API &amp; web chat; normalisasi pesan masuk/keluar.</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CNV</w:t>
            </w:r>
          </w:p>
        </w:tc>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Conversation Orchestrator</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State percakapan, routing intent, sesi wawancara, konfirmasi aksi.</w:t>
            </w:r>
          </w:p>
        </w:tc>
      </w:tr>
      <w:tr>
        <w:tc>
          <w:tcPr>
            <w:tcW w:type="dxa" w:w="1000"/>
            <w:tcMar>
              <w:top w:type="dxa" w:w="60"/>
              <w:left w:type="dxa" w:w="100"/>
              <w:bottom w:type="dxa" w:w="60"/>
              <w:right w:type="dxa" w:w="100"/>
            </w:tcMar>
          </w:tcPr>
          <w:p>
            <w:pPr>
              <w:spacing w:after="0" w:line="260"/>
            </w:pPr>
            <w:r>
              <w:rPr>
                <w:color w:val="222222"/>
                <w:sz w:val="20"/>
                <w:szCs w:val="20"/>
              </w:rPr>
              <w:t xml:space="preserve">AGT</w:t>
            </w:r>
          </w:p>
        </w:tc>
        <w:tc>
          <w:tcPr>
            <w:tcW w:type="dxa" w:w="3000"/>
            <w:tcMar>
              <w:top w:type="dxa" w:w="60"/>
              <w:left w:type="dxa" w:w="100"/>
              <w:bottom w:type="dxa" w:w="60"/>
              <w:right w:type="dxa" w:w="100"/>
            </w:tcMar>
          </w:tcPr>
          <w:p>
            <w:pPr>
              <w:spacing w:after="0" w:line="260"/>
            </w:pPr>
            <w:r>
              <w:rPr>
                <w:color w:val="222222"/>
                <w:sz w:val="20"/>
                <w:szCs w:val="20"/>
              </w:rPr>
              <w:t xml:space="preserve">AI Agent Engine</w:t>
            </w:r>
          </w:p>
        </w:tc>
        <w:tc>
          <w:tcPr>
            <w:tcW w:type="dxa" w:w="5000"/>
            <w:tcMar>
              <w:top w:type="dxa" w:w="60"/>
              <w:left w:type="dxa" w:w="100"/>
              <w:bottom w:type="dxa" w:w="60"/>
              <w:right w:type="dxa" w:w="100"/>
            </w:tcMar>
          </w:tcPr>
          <w:p>
            <w:pPr>
              <w:spacing w:after="0" w:line="260"/>
            </w:pPr>
            <w:r>
              <w:rPr>
                <w:color w:val="222222"/>
                <w:sz w:val="20"/>
                <w:szCs w:val="20"/>
              </w:rPr>
              <w:t xml:space="preserve">Perencanaan &amp; eksekusi tugas agent (build, edit, konten) via LLM tools.</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CMP</w:t>
            </w:r>
          </w:p>
        </w:tc>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Component Library &amp; Site Model</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Definisi section/komponen, tema &amp; design token, skema halaman.</w:t>
            </w:r>
          </w:p>
        </w:tc>
      </w:tr>
      <w:tr>
        <w:tc>
          <w:tcPr>
            <w:tcW w:type="dxa" w:w="1000"/>
            <w:tcMar>
              <w:top w:type="dxa" w:w="60"/>
              <w:left w:type="dxa" w:w="100"/>
              <w:bottom w:type="dxa" w:w="60"/>
              <w:right w:type="dxa" w:w="100"/>
            </w:tcMar>
          </w:tcPr>
          <w:p>
            <w:pPr>
              <w:spacing w:after="0" w:line="260"/>
            </w:pPr>
            <w:r>
              <w:rPr>
                <w:color w:val="222222"/>
                <w:sz w:val="20"/>
                <w:szCs w:val="20"/>
              </w:rPr>
              <w:t xml:space="preserve">MED</w:t>
            </w:r>
          </w:p>
        </w:tc>
        <w:tc>
          <w:tcPr>
            <w:tcW w:type="dxa" w:w="3000"/>
            <w:tcMar>
              <w:top w:type="dxa" w:w="60"/>
              <w:left w:type="dxa" w:w="100"/>
              <w:bottom w:type="dxa" w:w="60"/>
              <w:right w:type="dxa" w:w="100"/>
            </w:tcMar>
          </w:tcPr>
          <w:p>
            <w:pPr>
              <w:spacing w:after="0" w:line="260"/>
            </w:pPr>
            <w:r>
              <w:rPr>
                <w:color w:val="222222"/>
                <w:sz w:val="20"/>
                <w:szCs w:val="20"/>
              </w:rPr>
              <w:t xml:space="preserve">Media Pipeline</w:t>
            </w:r>
          </w:p>
        </w:tc>
        <w:tc>
          <w:tcPr>
            <w:tcW w:type="dxa" w:w="5000"/>
            <w:tcMar>
              <w:top w:type="dxa" w:w="60"/>
              <w:left w:type="dxa" w:w="100"/>
              <w:bottom w:type="dxa" w:w="60"/>
              <w:right w:type="dxa" w:w="100"/>
            </w:tcMar>
          </w:tcPr>
          <w:p>
            <w:pPr>
              <w:spacing w:after="0" w:line="260"/>
            </w:pPr>
            <w:r>
              <w:rPr>
                <w:color w:val="222222"/>
                <w:sz w:val="20"/>
                <w:szCs w:val="20"/>
              </w:rPr>
              <w:t xml:space="preserve">Ingest media WA/web, kompresi, penyimpanan, image-gen &amp; stock.</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PUB</w:t>
            </w:r>
          </w:p>
        </w:tc>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Preview, Approval &amp; Publishing</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Staging, versi, persetujuan, publish subdomain &amp; custom domain.</w:t>
            </w:r>
          </w:p>
        </w:tc>
      </w:tr>
      <w:tr>
        <w:tc>
          <w:tcPr>
            <w:tcW w:type="dxa" w:w="1000"/>
            <w:tcMar>
              <w:top w:type="dxa" w:w="60"/>
              <w:left w:type="dxa" w:w="100"/>
              <w:bottom w:type="dxa" w:w="60"/>
              <w:right w:type="dxa" w:w="100"/>
            </w:tcMar>
          </w:tcPr>
          <w:p>
            <w:pPr>
              <w:spacing w:after="0" w:line="260"/>
            </w:pPr>
            <w:r>
              <w:rPr>
                <w:color w:val="222222"/>
                <w:sz w:val="20"/>
                <w:szCs w:val="20"/>
              </w:rPr>
              <w:t xml:space="preserve">CNT</w:t>
            </w:r>
          </w:p>
        </w:tc>
        <w:tc>
          <w:tcPr>
            <w:tcW w:type="dxa" w:w="3000"/>
            <w:tcMar>
              <w:top w:type="dxa" w:w="60"/>
              <w:left w:type="dxa" w:w="100"/>
              <w:bottom w:type="dxa" w:w="60"/>
              <w:right w:type="dxa" w:w="100"/>
            </w:tcMar>
          </w:tcPr>
          <w:p>
            <w:pPr>
              <w:spacing w:after="0" w:line="260"/>
            </w:pPr>
            <w:r>
              <w:rPr>
                <w:color w:val="222222"/>
                <w:sz w:val="20"/>
                <w:szCs w:val="20"/>
              </w:rPr>
              <w:t xml:space="preserve">Content/Blog Engine</w:t>
            </w:r>
          </w:p>
        </w:tc>
        <w:tc>
          <w:tcPr>
            <w:tcW w:type="dxa" w:w="5000"/>
            <w:tcMar>
              <w:top w:type="dxa" w:w="60"/>
              <w:left w:type="dxa" w:w="100"/>
              <w:bottom w:type="dxa" w:w="60"/>
              <w:right w:type="dxa" w:w="100"/>
            </w:tcMar>
          </w:tcPr>
          <w:p>
            <w:pPr>
              <w:spacing w:after="0" w:line="260"/>
            </w:pPr>
            <w:r>
              <w:rPr>
                <w:color w:val="222222"/>
                <w:sz w:val="20"/>
                <w:szCs w:val="20"/>
              </w:rPr>
              <w:t xml:space="preserve">Artikel blog, item katalog, penjadwalan konten.</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BIL</w:t>
            </w:r>
          </w:p>
        </w:tc>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Billing &amp; Quota</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Langganan Xendit, kuota job AI, suspensi.</w:t>
            </w:r>
          </w:p>
        </w:tc>
      </w:tr>
      <w:tr>
        <w:tc>
          <w:tcPr>
            <w:tcW w:type="dxa" w:w="1000"/>
            <w:tcMar>
              <w:top w:type="dxa" w:w="60"/>
              <w:left w:type="dxa" w:w="100"/>
              <w:bottom w:type="dxa" w:w="60"/>
              <w:right w:type="dxa" w:w="100"/>
            </w:tcMar>
          </w:tcPr>
          <w:p>
            <w:pPr>
              <w:spacing w:after="0" w:line="260"/>
            </w:pPr>
            <w:r>
              <w:rPr>
                <w:color w:val="222222"/>
                <w:sz w:val="20"/>
                <w:szCs w:val="20"/>
              </w:rPr>
              <w:t xml:space="preserve">ADM</w:t>
            </w:r>
          </w:p>
        </w:tc>
        <w:tc>
          <w:tcPr>
            <w:tcW w:type="dxa" w:w="3000"/>
            <w:tcMar>
              <w:top w:type="dxa" w:w="60"/>
              <w:left w:type="dxa" w:w="100"/>
              <w:bottom w:type="dxa" w:w="60"/>
              <w:right w:type="dxa" w:w="100"/>
            </w:tcMar>
          </w:tcPr>
          <w:p>
            <w:pPr>
              <w:spacing w:after="0" w:line="260"/>
            </w:pPr>
            <w:r>
              <w:rPr>
                <w:color w:val="222222"/>
                <w:sz w:val="20"/>
                <w:szCs w:val="20"/>
              </w:rPr>
              <w:t xml:space="preserve">Admin Dashboard</w:t>
            </w:r>
          </w:p>
        </w:tc>
        <w:tc>
          <w:tcPr>
            <w:tcW w:type="dxa" w:w="5000"/>
            <w:tcMar>
              <w:top w:type="dxa" w:w="60"/>
              <w:left w:type="dxa" w:w="100"/>
              <w:bottom w:type="dxa" w:w="60"/>
              <w:right w:type="dxa" w:w="100"/>
            </w:tcMar>
          </w:tcPr>
          <w:p>
            <w:pPr>
              <w:spacing w:after="0" w:line="260"/>
            </w:pPr>
            <w:r>
              <w:rPr>
                <w:color w:val="222222"/>
                <w:sz w:val="20"/>
                <w:szCs w:val="20"/>
              </w:rPr>
              <w:t xml:space="preserve">Monitoring tenant, inbox eskalasi, kontrol operasional.</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NTF</w:t>
            </w:r>
          </w:p>
        </w:tc>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Notification</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Notifikasi WA/email ke klien &amp; operator (diimplementasi via workflow n8n).</w:t>
            </w:r>
          </w:p>
        </w:tc>
      </w:tr>
      <w:tr>
        <w:tc>
          <w:tcPr>
            <w:tcW w:type="dxa" w:w="1000"/>
            <w:tcMar>
              <w:top w:type="dxa" w:w="60"/>
              <w:left w:type="dxa" w:w="100"/>
              <w:bottom w:type="dxa" w:w="60"/>
              <w:right w:type="dxa" w:w="100"/>
            </w:tcMar>
          </w:tcPr>
          <w:p>
            <w:pPr>
              <w:spacing w:after="0" w:line="260"/>
            </w:pPr>
            <w:r>
              <w:rPr>
                <w:color w:val="222222"/>
                <w:sz w:val="20"/>
                <w:szCs w:val="20"/>
              </w:rPr>
              <w:t xml:space="preserve">ANL</w:t>
            </w:r>
          </w:p>
        </w:tc>
        <w:tc>
          <w:tcPr>
            <w:tcW w:type="dxa" w:w="3000"/>
            <w:tcMar>
              <w:top w:type="dxa" w:w="60"/>
              <w:left w:type="dxa" w:w="100"/>
              <w:bottom w:type="dxa" w:w="60"/>
              <w:right w:type="dxa" w:w="100"/>
            </w:tcMar>
          </w:tcPr>
          <w:p>
            <w:pPr>
              <w:spacing w:after="0" w:line="260"/>
            </w:pPr>
            <w:r>
              <w:rPr>
                <w:color w:val="222222"/>
                <w:sz w:val="20"/>
                <w:szCs w:val="20"/>
              </w:rPr>
              <w:t xml:space="preserve">Analytics &amp; Leads</w:t>
            </w:r>
          </w:p>
        </w:tc>
        <w:tc>
          <w:tcPr>
            <w:tcW w:type="dxa" w:w="5000"/>
            <w:tcMar>
              <w:top w:type="dxa" w:w="60"/>
              <w:left w:type="dxa" w:w="100"/>
              <w:bottom w:type="dxa" w:w="60"/>
              <w:right w:type="dxa" w:w="100"/>
            </w:tcMar>
          </w:tcPr>
          <w:p>
            <w:pPr>
              <w:spacing w:after="0" w:line="260"/>
            </w:pPr>
            <w:r>
              <w:rPr>
                <w:color w:val="222222"/>
                <w:sz w:val="20"/>
                <w:szCs w:val="20"/>
              </w:rPr>
              <w:t xml:space="preserve">Pelacakan pengunjung (Umami), laporan bulanan, form kontak &amp; lead forwarding.</w:t>
            </w:r>
          </w:p>
        </w:tc>
      </w:tr>
      <w:tr>
        <w:tc>
          <w:tcPr>
            <w:tcW w:type="dxa" w:w="1000"/>
            <w:shd w:fill="EAF2F2" w:color="auto" w:val="clear"/>
            <w:tcMar>
              <w:top w:type="dxa" w:w="60"/>
              <w:left w:type="dxa" w:w="100"/>
              <w:bottom w:type="dxa" w:w="60"/>
              <w:right w:type="dxa" w:w="100"/>
            </w:tcMar>
          </w:tcPr>
          <w:p>
            <w:pPr>
              <w:spacing w:after="0" w:line="260"/>
            </w:pPr>
            <w:r>
              <w:rPr>
                <w:color w:val="222222"/>
                <w:sz w:val="20"/>
                <w:szCs w:val="20"/>
              </w:rPr>
              <w:t xml:space="preserve">SEO</w:t>
            </w:r>
          </w:p>
        </w:tc>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SEO Engine</w:t>
            </w:r>
          </w:p>
        </w:tc>
        <w:tc>
          <w:tcPr>
            <w:tcW w:type="dxa" w:w="5000"/>
            <w:shd w:fill="EAF2F2" w:color="auto" w:val="clear"/>
            <w:tcMar>
              <w:top w:type="dxa" w:w="60"/>
              <w:left w:type="dxa" w:w="100"/>
              <w:bottom w:type="dxa" w:w="60"/>
              <w:right w:type="dxa" w:w="100"/>
            </w:tcMar>
          </w:tcPr>
          <w:p>
            <w:pPr>
              <w:spacing w:after="0" w:line="260"/>
            </w:pPr>
            <w:r>
              <w:rPr>
                <w:color w:val="222222"/>
                <w:sz w:val="20"/>
                <w:szCs w:val="20"/>
              </w:rPr>
              <w:t xml:space="preserve">Optimasi on-page otomatis, structured data, indexing, Search Console, riset kata kunci.</w:t>
            </w:r>
          </w:p>
        </w:tc>
      </w:tr>
    </w:tbl>
    <w:p>
      <w:pPr>
        <w:pStyle w:val="Heading1"/>
        <w:spacing w:after="160" w:before="360"/>
      </w:pPr>
      <w:r>
        <w:rPr>
          <w:b/>
          <w:bCs/>
          <w:color w:val="1F4E5F"/>
          <w:sz w:val="30"/>
          <w:szCs w:val="30"/>
        </w:rPr>
        <w:t xml:space="preserve">3. Kebutuhan Fungsional per Modul</w:t>
      </w:r>
    </w:p>
    <w:p>
      <w:pPr>
        <w:pStyle w:val="Heading2"/>
        <w:spacing w:after="120" w:before="280"/>
      </w:pPr>
      <w:r>
        <w:rPr>
          <w:b/>
          <w:bCs/>
          <w:color w:val="0E7C7B"/>
          <w:sz w:val="25"/>
          <w:szCs w:val="25"/>
        </w:rPr>
        <w:t xml:space="preserve">3.1 CHN — Channel Gateway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FR-CHN-001</w:t>
            </w:r>
          </w:p>
        </w:tc>
        <w:tc>
          <w:tcPr>
            <w:tcW w:type="dxa" w:w="6600"/>
            <w:tcMar>
              <w:top w:type="dxa" w:w="60"/>
              <w:left w:type="dxa" w:w="100"/>
              <w:bottom w:type="dxa" w:w="60"/>
              <w:right w:type="dxa" w:w="100"/>
            </w:tcMar>
          </w:tcPr>
          <w:p>
            <w:pPr>
              <w:spacing w:after="0" w:line="260"/>
            </w:pPr>
            <w:r>
              <w:rPr>
                <w:color w:val="222222"/>
                <w:sz w:val="20"/>
                <w:szCs w:val="20"/>
              </w:rPr>
              <w:t xml:space="preserve">Sistem menerima pesan masuk WhatsApp (teks, gambar, video, audio, dokumen, lokasi, balasan tombol) melalui webhook WhatsApp Cloud API dan menormalkannya ke format pesan internal tunggal.</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FR-CHN-002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mengirim pesan keluar WA: teks, media, interactive buttons/list, dan template message (untuk pesan di luar jendela 24 jam).</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FR-CHN-003</w:t>
            </w:r>
          </w:p>
        </w:tc>
        <w:tc>
          <w:tcPr>
            <w:tcW w:type="dxa" w:w="6600"/>
            <w:tcMar>
              <w:top w:type="dxa" w:w="60"/>
              <w:left w:type="dxa" w:w="100"/>
              <w:bottom w:type="dxa" w:w="60"/>
              <w:right w:type="dxa" w:w="100"/>
            </w:tcMar>
          </w:tcPr>
          <w:p>
            <w:pPr>
              <w:spacing w:after="0" w:line="260"/>
            </w:pPr>
            <w:r>
              <w:rPr>
                <w:color w:val="222222"/>
                <w:sz w:val="20"/>
                <w:szCs w:val="20"/>
              </w:rPr>
              <w:t xml:space="preserve">Sistem menyediakan widget web chat pada portal klien dengan kemampuan setara (teks, unggah media, tombol pilihan) dan riwayat tersinkron dengan kanal WA pada tenant yang sama.</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FR-CHN-004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mengaitkan nomor WA klien ke tenant; satu tenant dapat memiliki lebih dari satu nomor terotorisasi (pemilik + admin).</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FR-CHN-005</w:t>
            </w:r>
          </w:p>
        </w:tc>
        <w:tc>
          <w:tcPr>
            <w:tcW w:type="dxa" w:w="6600"/>
            <w:tcMar>
              <w:top w:type="dxa" w:w="60"/>
              <w:left w:type="dxa" w:w="100"/>
              <w:bottom w:type="dxa" w:w="60"/>
              <w:right w:type="dxa" w:w="100"/>
            </w:tcMar>
          </w:tcPr>
          <w:p>
            <w:pPr>
              <w:spacing w:after="0" w:line="260"/>
            </w:pPr>
            <w:r>
              <w:rPr>
                <w:color w:val="222222"/>
                <w:sz w:val="20"/>
                <w:szCs w:val="20"/>
              </w:rPr>
              <w:t xml:space="preserve">Sistem memvalidasi tanda tangan webhook Meta, melakukan dedup pesan (message id), dan menjamin idempotensi pemrosesan.</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FR-CHN-006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menerapkan rate limiting pesan keluar per tenant sesuai kebijakan WhatsApp.</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FR-CHN-007</w:t>
            </w:r>
          </w:p>
        </w:tc>
        <w:tc>
          <w:tcPr>
            <w:tcW w:type="dxa" w:w="6600"/>
            <w:tcMar>
              <w:top w:type="dxa" w:w="60"/>
              <w:left w:type="dxa" w:w="100"/>
              <w:bottom w:type="dxa" w:w="60"/>
              <w:right w:type="dxa" w:w="100"/>
            </w:tcMar>
          </w:tcPr>
          <w:p>
            <w:pPr>
              <w:spacing w:after="0" w:line="260"/>
            </w:pPr>
            <w:r>
              <w:rPr>
                <w:color w:val="222222"/>
                <w:sz w:val="20"/>
                <w:szCs w:val="20"/>
              </w:rPr>
              <w:t xml:space="preserve">Sistem mencatat status terkirim/terbaca pesan keluar (delivery receipts).</w:t>
            </w:r>
          </w:p>
        </w:tc>
        <w:tc>
          <w:tcPr>
            <w:tcW w:type="dxa" w:w="1300"/>
            <w:tcMar>
              <w:top w:type="dxa" w:w="60"/>
              <w:left w:type="dxa" w:w="100"/>
              <w:bottom w:type="dxa" w:w="60"/>
              <w:right w:type="dxa" w:w="100"/>
            </w:tcMar>
          </w:tcPr>
          <w:p>
            <w:pPr>
              <w:spacing w:after="0" w:line="260"/>
            </w:pPr>
            <w:r>
              <w:rPr>
                <w:color w:val="222222"/>
                <w:sz w:val="20"/>
                <w:szCs w:val="20"/>
              </w:rPr>
              <w:t xml:space="preserve">S</w:t>
            </w:r>
          </w:p>
        </w:tc>
      </w:tr>
    </w:tbl>
    <w:p>
      <w:pPr>
        <w:pStyle w:val="Heading2"/>
        <w:spacing w:after="120" w:before="280"/>
      </w:pPr>
      <w:r>
        <w:rPr>
          <w:b/>
          <w:bCs/>
          <w:color w:val="0E7C7B"/>
          <w:sz w:val="25"/>
          <w:szCs w:val="25"/>
        </w:rPr>
        <w:t xml:space="preserve">3.2 CNV — Conversation Orchestrator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FR-CNV-001</w:t>
            </w:r>
          </w:p>
        </w:tc>
        <w:tc>
          <w:tcPr>
            <w:tcW w:type="dxa" w:w="6600"/>
            <w:tcMar>
              <w:top w:type="dxa" w:w="60"/>
              <w:left w:type="dxa" w:w="100"/>
              <w:bottom w:type="dxa" w:w="60"/>
              <w:right w:type="dxa" w:w="100"/>
            </w:tcMar>
          </w:tcPr>
          <w:p>
            <w:pPr>
              <w:spacing w:after="0" w:line="260"/>
            </w:pPr>
            <w:r>
              <w:rPr>
                <w:color w:val="222222"/>
                <w:sz w:val="20"/>
                <w:szCs w:val="20"/>
              </w:rPr>
              <w:t xml:space="preserve">Sistem mengelola state percakapan per tenant (mis. ONBOARDING, INTERVIEW, BUILDING, REVIEW, IDLE, SUPPORT) dan menyimpan konteks antar sesi.</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FR-CNV-002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mengklasifikasi intent tiap pesan (mis. jawab wawancara, minta revisi, minta konten, tanya status, tanya tagihan, minta manusia) dan merutekannya ke handler yang tepat.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FR-CNV-003</w:t>
            </w:r>
          </w:p>
        </w:tc>
        <w:tc>
          <w:tcPr>
            <w:tcW w:type="dxa" w:w="6600"/>
            <w:tcMar>
              <w:top w:type="dxa" w:w="60"/>
              <w:left w:type="dxa" w:w="100"/>
              <w:bottom w:type="dxa" w:w="60"/>
              <w:right w:type="dxa" w:w="100"/>
            </w:tcMar>
          </w:tcPr>
          <w:p>
            <w:pPr>
              <w:spacing w:after="0" w:line="260"/>
            </w:pPr>
            <w:r>
              <w:rPr>
                <w:color w:val="222222"/>
                <w:sz w:val="20"/>
                <w:szCs w:val="20"/>
              </w:rPr>
              <w:t xml:space="preserve">Wawancara kebutuhan berjalan sebagai slot-filling: sistem melacak field brief yang wajib (identitas usaha, halaman, gaya, kontak, aset) dan hanya menanyakan yang belum terisi.</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FR-CNV-004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Sebelum aksi berdampak (bayar, publish, ganti domain, hapus konten), sistem menampilkan ringkasan dan meminta konfirmasi eksplisit (tombol Ya/Tidak).</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FR-CNV-005</w:t>
            </w:r>
          </w:p>
        </w:tc>
        <w:tc>
          <w:tcPr>
            <w:tcW w:type="dxa" w:w="6600"/>
            <w:tcMar>
              <w:top w:type="dxa" w:w="60"/>
              <w:left w:type="dxa" w:w="100"/>
              <w:bottom w:type="dxa" w:w="60"/>
              <w:right w:type="dxa" w:w="100"/>
            </w:tcMar>
          </w:tcPr>
          <w:p>
            <w:pPr>
              <w:spacing w:after="0" w:line="260"/>
            </w:pPr>
            <w:r>
              <w:rPr>
                <w:color w:val="222222"/>
                <w:sz w:val="20"/>
                <w:szCs w:val="20"/>
              </w:rPr>
              <w:t xml:space="preserve">Sistem menjawab pertanyaan status (“sampai mana?”) berdasarkan state &amp; antrean job aktual, bukan jawaban generik.</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FR-CNV-006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mendeteksi kebuntuan (3 kegagalan pemahaman berturut-turut) atau permintaan eksplisit “mau bicara dengan orang” dan membuat tiket eskalasi (lihat ADM).</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FR-CNV-007</w:t>
            </w:r>
          </w:p>
        </w:tc>
        <w:tc>
          <w:tcPr>
            <w:tcW w:type="dxa" w:w="6600"/>
            <w:tcMar>
              <w:top w:type="dxa" w:w="60"/>
              <w:left w:type="dxa" w:w="100"/>
              <w:bottom w:type="dxa" w:w="60"/>
              <w:right w:type="dxa" w:w="100"/>
            </w:tcMar>
          </w:tcPr>
          <w:p>
            <w:pPr>
              <w:spacing w:after="0" w:line="260"/>
            </w:pPr>
            <w:r>
              <w:rPr>
                <w:color w:val="222222"/>
                <w:sz w:val="20"/>
                <w:szCs w:val="20"/>
              </w:rPr>
              <w:t xml:space="preserve">Operator dapat mengambil alih percakapan (human takeover); selama takeover, balasan otomatis dijeda dan dilanjutkan kembali oleh operator.</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FR-CNV-008</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menolak dengan sopan permintaan di luar lingkup (mis. konten ilegal/SARA) berdasarkan kebijakan konten platform.</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3.3 AGT — AI Agent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FR-AGT-001</w:t>
            </w:r>
          </w:p>
        </w:tc>
        <w:tc>
          <w:tcPr>
            <w:tcW w:type="dxa" w:w="6600"/>
            <w:tcMar>
              <w:top w:type="dxa" w:w="60"/>
              <w:left w:type="dxa" w:w="100"/>
              <w:bottom w:type="dxa" w:w="60"/>
              <w:right w:type="dxa" w:w="100"/>
            </w:tcMar>
          </w:tcPr>
          <w:p>
            <w:pPr>
              <w:spacing w:after="0" w:line="260"/>
            </w:pPr>
            <w:r>
              <w:rPr>
                <w:color w:val="222222"/>
                <w:sz w:val="20"/>
                <w:szCs w:val="20"/>
              </w:rPr>
              <w:t xml:space="preserve">Agent mengubah brief wawancara menjadi rencana situs terstruktur (daftar halaman, urutan section per halaman, tema &amp; palet) dalam format JSON tervalidasi skema.</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FR-AGT-002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Agent merakit halaman hanya dari komponen yang terdaftar di Component Library beserta properti yang diizinkan skema komponen; output di luar skema ditolak dan diulang otomatis (self-repair loop, maks. 3 percobaan).</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FR-AGT-003</w:t>
            </w:r>
          </w:p>
        </w:tc>
        <w:tc>
          <w:tcPr>
            <w:tcW w:type="dxa" w:w="6600"/>
            <w:tcMar>
              <w:top w:type="dxa" w:w="60"/>
              <w:left w:type="dxa" w:w="100"/>
              <w:bottom w:type="dxa" w:w="60"/>
              <w:right w:type="dxa" w:w="100"/>
            </w:tcMar>
          </w:tcPr>
          <w:p>
            <w:pPr>
              <w:spacing w:after="0" w:line="260"/>
            </w:pPr>
            <w:r>
              <w:rPr>
                <w:color w:val="222222"/>
                <w:sz w:val="20"/>
                <w:szCs w:val="20"/>
              </w:rPr>
              <w:t xml:space="preserve">Agent menulis copywriting Bahasa Indonesia untuk setiap section (judul, subjudul, isi, CTA) sesuai profil usaha dan nada yang dipilih klien.</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FR-AGT-004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Agent menerima instruksi revisi bahasa alami dan menghasilkan patch perubahan terstruktur (tambah/hapus/ubah section atau properti), bukan menulis ulang seluruh situs.</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FR-AGT-005</w:t>
            </w:r>
          </w:p>
        </w:tc>
        <w:tc>
          <w:tcPr>
            <w:tcW w:type="dxa" w:w="6600"/>
            <w:tcMar>
              <w:top w:type="dxa" w:w="60"/>
              <w:left w:type="dxa" w:w="100"/>
              <w:bottom w:type="dxa" w:w="60"/>
              <w:right w:type="dxa" w:w="100"/>
            </w:tcMar>
          </w:tcPr>
          <w:p>
            <w:pPr>
              <w:spacing w:after="0" w:line="260"/>
            </w:pPr>
            <w:r>
              <w:rPr>
                <w:color w:val="222222"/>
                <w:sz w:val="20"/>
                <w:szCs w:val="20"/>
              </w:rPr>
              <w:t xml:space="preserve">Setiap eksekusi agent tercatat sebagai AgentJob dengan status (QUEUED, RUNNING, NEEDS_INFO, DONE, FAILED), log langkah, token terpakai, dan estimasi biaya.</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FR-AGT-006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Jika informasi kurang, agent bertanya balik melalui chatbot (status NEEDS_INFO) alih-alih menebak hal penting (nama usaha, harga, kontak).</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FR-AGT-007</w:t>
            </w:r>
          </w:p>
        </w:tc>
        <w:tc>
          <w:tcPr>
            <w:tcW w:type="dxa" w:w="6600"/>
            <w:tcMar>
              <w:top w:type="dxa" w:w="60"/>
              <w:left w:type="dxa" w:w="100"/>
              <w:bottom w:type="dxa" w:w="60"/>
              <w:right w:type="dxa" w:w="100"/>
            </w:tcMar>
          </w:tcPr>
          <w:p>
            <w:pPr>
              <w:spacing w:after="0" w:line="260"/>
            </w:pPr>
            <w:r>
              <w:rPr>
                <w:color w:val="222222"/>
                <w:sz w:val="20"/>
                <w:szCs w:val="20"/>
              </w:rPr>
              <w:t xml:space="preserve">Agent memilih sumber gambar per slot: unggahan klien (prioritas), stock photo relevan, atau AI image generation — sesuai preferensi klien &amp; kuota.</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FR-AGT-008</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Semua pemanggilan LLM melewati abstraction layer provider-agnostic (lihat SRS); pergantian provider tidak mengubah perilaku fungsional.</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FR-AGT-009</w:t>
            </w:r>
          </w:p>
        </w:tc>
        <w:tc>
          <w:tcPr>
            <w:tcW w:type="dxa" w:w="6600"/>
            <w:tcMar>
              <w:top w:type="dxa" w:w="60"/>
              <w:left w:type="dxa" w:w="100"/>
              <w:bottom w:type="dxa" w:w="60"/>
              <w:right w:type="dxa" w:w="100"/>
            </w:tcMar>
          </w:tcPr>
          <w:p>
            <w:pPr>
              <w:spacing w:after="0" w:line="260"/>
            </w:pPr>
            <w:r>
              <w:rPr>
                <w:color w:val="222222"/>
                <w:sz w:val="20"/>
                <w:szCs w:val="20"/>
              </w:rPr>
              <w:t xml:space="preserve">Agent menghasilkan alt text otomatis untuk semua gambar.</w:t>
            </w:r>
          </w:p>
        </w:tc>
        <w:tc>
          <w:tcPr>
            <w:tcW w:type="dxa" w:w="1300"/>
            <w:tcMar>
              <w:top w:type="dxa" w:w="60"/>
              <w:left w:type="dxa" w:w="100"/>
              <w:bottom w:type="dxa" w:w="60"/>
              <w:right w:type="dxa" w:w="100"/>
            </w:tcMar>
          </w:tcPr>
          <w:p>
            <w:pPr>
              <w:spacing w:after="0" w:line="260"/>
            </w:pPr>
            <w:r>
              <w:rPr>
                <w:color w:val="222222"/>
                <w:sz w:val="20"/>
                <w:szCs w:val="20"/>
              </w:rPr>
              <w:t xml:space="preserve">S</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FR-AGT-010</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Seluruh kemampuan agent (operasi Site Document, media, konten, status billing, data SEO) diekspos sebagai tools melalui MCP (Model Context Protocol), sehingga definisi tool tunggal dapat dipakai lintas model LLM dan dapat dihubungkan ke host MCP eksternal (mis. asisten internal operator) dengan kontrol akses per scope.</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3.4 CMP — Component Library &amp; Site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FR-CMP-001</w:t>
            </w:r>
          </w:p>
        </w:tc>
        <w:tc>
          <w:tcPr>
            <w:tcW w:type="dxa" w:w="6600"/>
            <w:tcMar>
              <w:top w:type="dxa" w:w="60"/>
              <w:left w:type="dxa" w:w="100"/>
              <w:bottom w:type="dxa" w:w="60"/>
              <w:right w:type="dxa" w:w="100"/>
            </w:tcMar>
          </w:tcPr>
          <w:p>
            <w:pPr>
              <w:spacing w:after="0" w:line="260"/>
            </w:pPr>
            <w:r>
              <w:rPr>
                <w:color w:val="222222"/>
                <w:sz w:val="20"/>
                <w:szCs w:val="20"/>
              </w:rPr>
              <w:t xml:space="preserve">Sistem menyediakan minimal 12 tipe section MVP: Hero, Tentang Kami, Layanan/Produk Grid, Galeri, Testimoni, Keunggulan, CTA Banner, FAQ, Kontak+Peta, Katalog Produk, Daftar Artikel, Footer.</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FR-CMP-002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Setiap tipe section memiliki skema properti (JSON Schema) dan minimal 2 varian layout.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FR-CMP-003</w:t>
            </w:r>
          </w:p>
        </w:tc>
        <w:tc>
          <w:tcPr>
            <w:tcW w:type="dxa" w:w="6600"/>
            <w:tcMar>
              <w:top w:type="dxa" w:w="60"/>
              <w:left w:type="dxa" w:w="100"/>
              <w:bottom w:type="dxa" w:w="60"/>
              <w:right w:type="dxa" w:w="100"/>
            </w:tcMar>
          </w:tcPr>
          <w:p>
            <w:pPr>
              <w:spacing w:after="0" w:line="260"/>
            </w:pPr>
            <w:r>
              <w:rPr>
                <w:color w:val="222222"/>
                <w:sz w:val="20"/>
                <w:szCs w:val="20"/>
              </w:rPr>
              <w:t xml:space="preserve">Sistem menyediakan minimal 3 tema dengan design token (warna, tipografi, radius, spacing); seluruh styling komponen mengacu token, bukan nilai lepas.</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FR-CMP-004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Model situs disimpan sebagai dokumen terstruktur: Website → Pages → Sections (tipe, varian, properti) — dapat dirender deterministik oleh renderer React.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FR-CMP-005</w:t>
            </w:r>
          </w:p>
        </w:tc>
        <w:tc>
          <w:tcPr>
            <w:tcW w:type="dxa" w:w="6600"/>
            <w:tcMar>
              <w:top w:type="dxa" w:w="60"/>
              <w:left w:type="dxa" w:w="100"/>
              <w:bottom w:type="dxa" w:w="60"/>
              <w:right w:type="dxa" w:w="100"/>
            </w:tcMar>
          </w:tcPr>
          <w:p>
            <w:pPr>
              <w:spacing w:after="0" w:line="260"/>
            </w:pPr>
            <w:r>
              <w:rPr>
                <w:color w:val="222222"/>
                <w:sz w:val="20"/>
                <w:szCs w:val="20"/>
              </w:rPr>
              <w:t xml:space="preserve">Penambahan tipe section baru tidak memerlukan perubahan pada engine agent (open/closed: registrasi komponen + skema).</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3.5 MED — Media Pipeline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FR-MED-001</w:t>
            </w:r>
          </w:p>
        </w:tc>
        <w:tc>
          <w:tcPr>
            <w:tcW w:type="dxa" w:w="6600"/>
            <w:tcMar>
              <w:top w:type="dxa" w:w="60"/>
              <w:left w:type="dxa" w:w="100"/>
              <w:bottom w:type="dxa" w:w="60"/>
              <w:right w:type="dxa" w:w="100"/>
            </w:tcMar>
          </w:tcPr>
          <w:p>
            <w:pPr>
              <w:spacing w:after="0" w:line="260"/>
            </w:pPr>
            <w:r>
              <w:rPr>
                <w:color w:val="222222"/>
                <w:sz w:val="20"/>
                <w:szCs w:val="20"/>
              </w:rPr>
              <w:t xml:space="preserve">Media dari WA diunduh dari server Meta segera setelah webhook diterima (URL media Meta kedaluwarsa) dan disimpan ke object storage per tenant.</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FR-MED-002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Gambar dioptimasi otomatis: resize multi-ukuran, kompresi, konversi WebP/AVIF; video divalidasi ukuran/durasi maksimum paket.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FR-MED-003</w:t>
            </w:r>
          </w:p>
        </w:tc>
        <w:tc>
          <w:tcPr>
            <w:tcW w:type="dxa" w:w="6600"/>
            <w:tcMar>
              <w:top w:type="dxa" w:w="60"/>
              <w:left w:type="dxa" w:w="100"/>
              <w:bottom w:type="dxa" w:w="60"/>
              <w:right w:type="dxa" w:w="100"/>
            </w:tcMar>
          </w:tcPr>
          <w:p>
            <w:pPr>
              <w:spacing w:after="0" w:line="260"/>
            </w:pPr>
            <w:r>
              <w:rPr>
                <w:color w:val="222222"/>
                <w:sz w:val="20"/>
                <w:szCs w:val="20"/>
              </w:rPr>
              <w:t xml:space="preserve">Sistem menyediakan galeri media per tenant yang dapat dirujuk agent dan klien (“pakai foto yang kemarin saya kirim”).</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FR-MED-004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Integrasi image generation: prompt turunan dari konteks section, hasil disimpan sebagai aset tenant dengan penanda “AI-generated”.</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FR-MED-005</w:t>
            </w:r>
          </w:p>
        </w:tc>
        <w:tc>
          <w:tcPr>
            <w:tcW w:type="dxa" w:w="6600"/>
            <w:tcMar>
              <w:top w:type="dxa" w:w="60"/>
              <w:left w:type="dxa" w:w="100"/>
              <w:bottom w:type="dxa" w:w="60"/>
              <w:right w:type="dxa" w:w="100"/>
            </w:tcMar>
          </w:tcPr>
          <w:p>
            <w:pPr>
              <w:spacing w:after="0" w:line="260"/>
            </w:pPr>
            <w:r>
              <w:rPr>
                <w:color w:val="222222"/>
                <w:sz w:val="20"/>
                <w:szCs w:val="20"/>
              </w:rPr>
              <w:t xml:space="preserve">Integrasi stock photo berlisensi komersial dengan pencarian kata kunci; lisensi/atribusi dicatat per aset.</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FR-MED-006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Media dipindai tipe &amp; ukuran; tipe berbahaya ditolak; EXIF lokasi dihapus saat publish.</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3.6 PUB — Preview, Approval &amp; Publishing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FR-PUB-001</w:t>
            </w:r>
          </w:p>
        </w:tc>
        <w:tc>
          <w:tcPr>
            <w:tcW w:type="dxa" w:w="6600"/>
            <w:tcMar>
              <w:top w:type="dxa" w:w="60"/>
              <w:left w:type="dxa" w:w="100"/>
              <w:bottom w:type="dxa" w:w="60"/>
              <w:right w:type="dxa" w:w="100"/>
            </w:tcMar>
          </w:tcPr>
          <w:p>
            <w:pPr>
              <w:spacing w:after="0" w:line="260"/>
            </w:pPr>
            <w:r>
              <w:rPr>
                <w:color w:val="222222"/>
                <w:sz w:val="20"/>
                <w:szCs w:val="20"/>
              </w:rPr>
              <w:t xml:space="preserve">Setiap perubahan agent menghasilkan versi draft baru (immutable revision) dengan URL preview unik ber-token, tidak terindeks mesin pencari.</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FR-PUB-002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Bot mengirim preview + ringkasan perubahan (diff naratif: “menambah section testimoni, mengubah warna utama menjadi hijau”) kepada klien.</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FR-PUB-003</w:t>
            </w:r>
          </w:p>
        </w:tc>
        <w:tc>
          <w:tcPr>
            <w:tcW w:type="dxa" w:w="6600"/>
            <w:tcMar>
              <w:top w:type="dxa" w:w="60"/>
              <w:left w:type="dxa" w:w="100"/>
              <w:bottom w:type="dxa" w:w="60"/>
              <w:right w:type="dxa" w:w="100"/>
            </w:tcMar>
          </w:tcPr>
          <w:p>
            <w:pPr>
              <w:spacing w:after="0" w:line="260"/>
            </w:pPr>
            <w:r>
              <w:rPr>
                <w:color w:val="222222"/>
                <w:sz w:val="20"/>
                <w:szCs w:val="20"/>
              </w:rPr>
              <w:t xml:space="preserve">Persetujuan klien (tombol/kata kunci terkonfirmasi) memicu publish revisi tersebut; penolakan mengembalikan ke siklus revisi.</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FR-PUB-004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Publikasi berjalan sebagai pipeline: build statis Astro dari Revision yang disetujui → optimasi aset (AVIF/WebP, srcset) → deploy ke shared hosting via DeployPort (rsync/SSH, fallback FTP) → verifikasi HTTP 200; total ≤ 5 menit p90.</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FR-PUB-004b</w:t>
            </w:r>
          </w:p>
        </w:tc>
        <w:tc>
          <w:tcPr>
            <w:tcW w:type="dxa" w:w="6600"/>
            <w:tcMar>
              <w:top w:type="dxa" w:w="60"/>
              <w:left w:type="dxa" w:w="100"/>
              <w:bottom w:type="dxa" w:w="60"/>
              <w:right w:type="dxa" w:w="100"/>
            </w:tcMar>
          </w:tcPr>
          <w:p>
            <w:pPr>
              <w:spacing w:after="0" w:line="260"/>
            </w:pPr>
            <w:r>
              <w:rPr>
                <w:color w:val="222222"/>
                <w:sz w:val="20"/>
                <w:szCs w:val="20"/>
              </w:rPr>
              <w:t xml:space="preserve">Subdomain klien (&lt;slug&gt;.digimaestro.id) dibuat otomatis via cPanel API saat publish pertama; TLS via AutoSSL; kegagalan pembuatan/SSL memicu retry &amp; alert operator.</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FR-PUB-005</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Klien dapat meminta rollback ke versi tayang sebelumnya via chat; artefak build minimal 10 revisi terakhir disimpan di object storage sehingga rollback = redeploy tanpa build ulang.</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FR-PUB-006</w:t>
            </w:r>
          </w:p>
        </w:tc>
        <w:tc>
          <w:tcPr>
            <w:tcW w:type="dxa" w:w="6600"/>
            <w:tcMar>
              <w:top w:type="dxa" w:w="60"/>
              <w:left w:type="dxa" w:w="100"/>
              <w:bottom w:type="dxa" w:w="60"/>
              <w:right w:type="dxa" w:w="100"/>
            </w:tcMar>
          </w:tcPr>
          <w:p>
            <w:pPr>
              <w:spacing w:after="0" w:line="260"/>
            </w:pPr>
            <w:r>
              <w:rPr>
                <w:color w:val="222222"/>
                <w:sz w:val="20"/>
                <w:szCs w:val="20"/>
              </w:rPr>
              <w:t xml:space="preserve">Custom domain (premium): domain ditambahkan sebagai addon domain via cPanel API; sistem memberi instruksi DNS, memverifikasi record berkala, memastikan AutoSSL terbit, dan mengonfirmasi via bot; kegagalan verifikasi &gt; 48 jam memicu pengingat.</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FR-PUB-007</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Unpublish/suspend situs (mis. gagal bayar) men-deploy halaman status sopan menggantikan situs, bukan menghapus file; reaktivasi = redeploy artefak terakhir.</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FR-PUB-008</w:t>
            </w:r>
          </w:p>
        </w:tc>
        <w:tc>
          <w:tcPr>
            <w:tcW w:type="dxa" w:w="6600"/>
            <w:tcMar>
              <w:top w:type="dxa" w:w="60"/>
              <w:left w:type="dxa" w:w="100"/>
              <w:bottom w:type="dxa" w:w="60"/>
              <w:right w:type="dxa" w:w="100"/>
            </w:tcMar>
          </w:tcPr>
          <w:p>
            <w:pPr>
              <w:spacing w:after="0" w:line="260"/>
            </w:pPr>
            <w:r>
              <w:rPr>
                <w:color w:val="222222"/>
                <w:sz w:val="20"/>
                <w:szCs w:val="20"/>
              </w:rPr>
              <w:t xml:space="preserve">Sitemap.xml, robots.txt, meta tag, dan Open Graph dihasilkan otomatis saat build; URL preview diberi tag noindex.</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FR-PUB-009</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Target deploy dikonfigurasi per tenant (DeploymentTarget); penambahan target baru (akun hosting kedua, Cloudflare Pages) tidak mengubah pipeline — cukup adapter DeployPort baru.</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FR-PUB-010</w:t>
            </w:r>
          </w:p>
        </w:tc>
        <w:tc>
          <w:tcPr>
            <w:tcW w:type="dxa" w:w="6600"/>
            <w:tcMar>
              <w:top w:type="dxa" w:w="60"/>
              <w:left w:type="dxa" w:w="100"/>
              <w:bottom w:type="dxa" w:w="60"/>
              <w:right w:type="dxa" w:w="100"/>
            </w:tcMar>
          </w:tcPr>
          <w:p>
            <w:pPr>
              <w:spacing w:after="0" w:line="260"/>
            </w:pPr>
            <w:r>
              <w:rPr>
                <w:color w:val="222222"/>
                <w:sz w:val="20"/>
                <w:szCs w:val="20"/>
              </w:rPr>
              <w:t xml:space="preserve">Setiap build menjalankan pemeriksaan kualitas otomatis (Lighthouse CI budget: Performance ≥ 90, aksesibilitas dasar); kegagalan budget mencatat peringatan dan memblokir publish bila kritis.</w:t>
            </w:r>
          </w:p>
        </w:tc>
        <w:tc>
          <w:tcPr>
            <w:tcW w:type="dxa" w:w="1300"/>
            <w:tcMar>
              <w:top w:type="dxa" w:w="60"/>
              <w:left w:type="dxa" w:w="100"/>
              <w:bottom w:type="dxa" w:w="60"/>
              <w:right w:type="dxa" w:w="100"/>
            </w:tcMar>
          </w:tcPr>
          <w:p>
            <w:pPr>
              <w:spacing w:after="0" w:line="260"/>
            </w:pPr>
            <w:r>
              <w:rPr>
                <w:color w:val="222222"/>
                <w:sz w:val="20"/>
                <w:szCs w:val="20"/>
              </w:rPr>
              <w:t xml:space="preserve">S</w:t>
            </w:r>
          </w:p>
        </w:tc>
      </w:tr>
    </w:tbl>
    <w:p>
      <w:pPr>
        <w:pStyle w:val="Heading2"/>
        <w:spacing w:after="120" w:before="280"/>
      </w:pPr>
      <w:r>
        <w:rPr>
          <w:b/>
          <w:bCs/>
          <w:color w:val="0E7C7B"/>
          <w:sz w:val="25"/>
          <w:szCs w:val="25"/>
        </w:rPr>
        <w:t xml:space="preserve">3.7 CNT — Content/Blog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FR-CNT-001</w:t>
            </w:r>
          </w:p>
        </w:tc>
        <w:tc>
          <w:tcPr>
            <w:tcW w:type="dxa" w:w="6600"/>
            <w:tcMar>
              <w:top w:type="dxa" w:w="60"/>
              <w:left w:type="dxa" w:w="100"/>
              <w:bottom w:type="dxa" w:w="60"/>
              <w:right w:type="dxa" w:w="100"/>
            </w:tcMar>
          </w:tcPr>
          <w:p>
            <w:pPr>
              <w:spacing w:after="0" w:line="260"/>
            </w:pPr>
            <w:r>
              <w:rPr>
                <w:color w:val="222222"/>
                <w:sz w:val="20"/>
                <w:szCs w:val="20"/>
              </w:rPr>
              <w:t xml:space="preserve">Klien dapat meminta artikel blog via chat (topik bebas atau saran AI); agent menghasilkan draft artikel (judul, slug, isi, gambar sampul, meta description).</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FR-CNT-002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Draft artikel melewati alur approval yang sama (preview → setuju → tayang).</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FR-CNT-003</w:t>
            </w:r>
          </w:p>
        </w:tc>
        <w:tc>
          <w:tcPr>
            <w:tcW w:type="dxa" w:w="6600"/>
            <w:tcMar>
              <w:top w:type="dxa" w:w="60"/>
              <w:left w:type="dxa" w:w="100"/>
              <w:bottom w:type="dxa" w:w="60"/>
              <w:right w:type="dxa" w:w="100"/>
            </w:tcMar>
          </w:tcPr>
          <w:p>
            <w:pPr>
              <w:spacing w:after="0" w:line="260"/>
            </w:pPr>
            <w:r>
              <w:rPr>
                <w:color w:val="222222"/>
                <w:sz w:val="20"/>
                <w:szCs w:val="20"/>
              </w:rPr>
              <w:t xml:space="preserve">Klien dapat menjadwalkan publikasi artikel (tanggal/jam) via chat.</w:t>
            </w:r>
          </w:p>
        </w:tc>
        <w:tc>
          <w:tcPr>
            <w:tcW w:type="dxa" w:w="1300"/>
            <w:tcMar>
              <w:top w:type="dxa" w:w="60"/>
              <w:left w:type="dxa" w:w="100"/>
              <w:bottom w:type="dxa" w:w="60"/>
              <w:right w:type="dxa" w:w="100"/>
            </w:tcMar>
          </w:tcPr>
          <w:p>
            <w:pPr>
              <w:spacing w:after="0" w:line="260"/>
            </w:pPr>
            <w:r>
              <w:rPr>
                <w:color w:val="222222"/>
                <w:sz w:val="20"/>
                <w:szCs w:val="20"/>
              </w:rPr>
              <w:t xml:space="preserve">S</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FR-CNT-004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Item katalog produk dapat ditambah/diubah via chat, termasuk dari foto+caption WA (nama, harga, deskripsi diekstrak &amp; dikonfirmasi).</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FR-CNT-005</w:t>
            </w:r>
          </w:p>
        </w:tc>
        <w:tc>
          <w:tcPr>
            <w:tcW w:type="dxa" w:w="6600"/>
            <w:tcMar>
              <w:top w:type="dxa" w:w="60"/>
              <w:left w:type="dxa" w:w="100"/>
              <w:bottom w:type="dxa" w:w="60"/>
              <w:right w:type="dxa" w:w="100"/>
            </w:tcMar>
          </w:tcPr>
          <w:p>
            <w:pPr>
              <w:spacing w:after="0" w:line="260"/>
            </w:pPr>
            <w:r>
              <w:rPr>
                <w:color w:val="222222"/>
                <w:sz w:val="20"/>
                <w:szCs w:val="20"/>
              </w:rPr>
              <w:t xml:space="preserve">Sistem melacak konsumsi kuota konten (artikel &amp; gambar AI) per tenant per bulan.</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3.8 BIL — Billing &amp; Quota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FR-BIL-001</w:t>
            </w:r>
          </w:p>
        </w:tc>
        <w:tc>
          <w:tcPr>
            <w:tcW w:type="dxa" w:w="6600"/>
            <w:tcMar>
              <w:top w:type="dxa" w:w="60"/>
              <w:left w:type="dxa" w:w="100"/>
              <w:bottom w:type="dxa" w:w="60"/>
              <w:right w:type="dxa" w:w="100"/>
            </w:tcMar>
          </w:tcPr>
          <w:p>
            <w:pPr>
              <w:spacing w:after="0" w:line="260"/>
            </w:pPr>
            <w:r>
              <w:rPr>
                <w:color w:val="222222"/>
                <w:sz w:val="20"/>
                <w:szCs w:val="20"/>
              </w:rPr>
              <w:t xml:space="preserve">Sistem membuat tautan pembayaran/checkout Xendit untuk aktivasi &amp; perpanjangan langganan (VA, e-wallet, QRIS, kartu).</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FR-BIL-002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Webhook Xendit memperbarui status Subscription &amp; Invoice secara idempoten; pembayaran sukses mengaktifkan/memperpanjang layanan otomatis.</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FR-BIL-003</w:t>
            </w:r>
          </w:p>
        </w:tc>
        <w:tc>
          <w:tcPr>
            <w:tcW w:type="dxa" w:w="6600"/>
            <w:tcMar>
              <w:top w:type="dxa" w:w="60"/>
              <w:left w:type="dxa" w:w="100"/>
              <w:bottom w:type="dxa" w:w="60"/>
              <w:right w:type="dxa" w:w="100"/>
            </w:tcMar>
          </w:tcPr>
          <w:p>
            <w:pPr>
              <w:spacing w:after="0" w:line="260"/>
            </w:pPr>
            <w:r>
              <w:rPr>
                <w:color w:val="222222"/>
                <w:sz w:val="20"/>
                <w:szCs w:val="20"/>
              </w:rPr>
              <w:t xml:space="preserve">Dunning: pengingat H-3, H-0, H+3 via WA; gagal bayar &gt; 7 hari → suspensi situs; &gt; 30 hari → arsip (data disimpan 90 hari sebelum penghapusan sesuai kebijakan).</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FR-BIL-004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Sistem menegakkan kuota job AI per paket: saat kuota habis, bot menawarkan upgrade/top-up alih-alih menolak kaku.</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FR-BIL-005</w:t>
            </w:r>
          </w:p>
        </w:tc>
        <w:tc>
          <w:tcPr>
            <w:tcW w:type="dxa" w:w="6600"/>
            <w:tcMar>
              <w:top w:type="dxa" w:w="60"/>
              <w:left w:type="dxa" w:w="100"/>
              <w:bottom w:type="dxa" w:w="60"/>
              <w:right w:type="dxa" w:w="100"/>
            </w:tcMar>
          </w:tcPr>
          <w:p>
            <w:pPr>
              <w:spacing w:after="0" w:line="260"/>
            </w:pPr>
            <w:r>
              <w:rPr>
                <w:color w:val="222222"/>
                <w:sz w:val="20"/>
                <w:szCs w:val="20"/>
              </w:rPr>
              <w:t xml:space="preserve">Klien dapat menanyakan status langganan, tagihan, dan kuota via chat, serta mengganti paket (upgrade berlaku segera, downgrade pada siklus berikutnya).</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FR-BIL-006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Semua invoice tersimpan dan dapat dikirim ulang sebagai PDF/link via chat.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S</w:t>
            </w:r>
          </w:p>
        </w:tc>
      </w:tr>
    </w:tbl>
    <w:p>
      <w:pPr>
        <w:pStyle w:val="Heading2"/>
        <w:spacing w:after="120" w:before="280"/>
      </w:pPr>
      <w:r>
        <w:rPr>
          <w:b/>
          <w:bCs/>
          <w:color w:val="0E7C7B"/>
          <w:sz w:val="25"/>
          <w:szCs w:val="25"/>
        </w:rPr>
        <w:t xml:space="preserve">3.9 ADM — Admin Dashboard (Internal)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FR-ADM-001</w:t>
            </w:r>
          </w:p>
        </w:tc>
        <w:tc>
          <w:tcPr>
            <w:tcW w:type="dxa" w:w="6600"/>
            <w:tcMar>
              <w:top w:type="dxa" w:w="60"/>
              <w:left w:type="dxa" w:w="100"/>
              <w:bottom w:type="dxa" w:w="60"/>
              <w:right w:type="dxa" w:w="100"/>
            </w:tcMar>
          </w:tcPr>
          <w:p>
            <w:pPr>
              <w:spacing w:after="0" w:line="260"/>
            </w:pPr>
            <w:r>
              <w:rPr>
                <w:color w:val="222222"/>
                <w:sz w:val="20"/>
                <w:szCs w:val="20"/>
              </w:rPr>
              <w:t xml:space="preserve">Operator melihat daftar tenant dengan status (trial/aktif/suspend), paket, situs, dan kesehatan billing.</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FR-ADM-002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Inbox eskalasi: percakapan berlabel “butuh manusia” dengan konteks lengkap; operator membalas langsung dari dashboard.</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FR-ADM-003</w:t>
            </w:r>
          </w:p>
        </w:tc>
        <w:tc>
          <w:tcPr>
            <w:tcW w:type="dxa" w:w="6600"/>
            <w:tcMar>
              <w:top w:type="dxa" w:w="60"/>
              <w:left w:type="dxa" w:w="100"/>
              <w:bottom w:type="dxa" w:w="60"/>
              <w:right w:type="dxa" w:w="100"/>
            </w:tcMar>
          </w:tcPr>
          <w:p>
            <w:pPr>
              <w:spacing w:after="0" w:line="260"/>
            </w:pPr>
            <w:r>
              <w:rPr>
                <w:color w:val="222222"/>
                <w:sz w:val="20"/>
                <w:szCs w:val="20"/>
              </w:rPr>
              <w:t xml:space="preserve">Monitor antrean AgentJob: status, durasi, kegagalan, retry manual, dan biaya token per job/tenant/hari.</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FR-ADM-004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Operator dapat membuka preview/situs tenant, memicu rebuild, dan melakukan suspend/unsuspend manual dengan alasan tercatat (audit log).</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FR-ADM-005</w:t>
            </w:r>
          </w:p>
        </w:tc>
        <w:tc>
          <w:tcPr>
            <w:tcW w:type="dxa" w:w="6600"/>
            <w:tcMar>
              <w:top w:type="dxa" w:w="60"/>
              <w:left w:type="dxa" w:w="100"/>
              <w:bottom w:type="dxa" w:w="60"/>
              <w:right w:type="dxa" w:w="100"/>
            </w:tcMar>
          </w:tcPr>
          <w:p>
            <w:pPr>
              <w:spacing w:after="0" w:line="260"/>
            </w:pPr>
            <w:r>
              <w:rPr>
                <w:color w:val="222222"/>
                <w:sz w:val="20"/>
                <w:szCs w:val="20"/>
              </w:rPr>
              <w:t xml:space="preserve">Manajemen library: menambah komponen/tema baru dan menandai deprecated.</w:t>
            </w:r>
          </w:p>
        </w:tc>
        <w:tc>
          <w:tcPr>
            <w:tcW w:type="dxa" w:w="1300"/>
            <w:tcMar>
              <w:top w:type="dxa" w:w="60"/>
              <w:left w:type="dxa" w:w="100"/>
              <w:bottom w:type="dxa" w:w="60"/>
              <w:right w:type="dxa" w:w="100"/>
            </w:tcMar>
          </w:tcPr>
          <w:p>
            <w:pPr>
              <w:spacing w:after="0" w:line="260"/>
            </w:pPr>
            <w:r>
              <w:rPr>
                <w:color w:val="222222"/>
                <w:sz w:val="20"/>
                <w:szCs w:val="20"/>
              </w:rPr>
              <w:t xml:space="preserve">S</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FR-ADM-006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Kontrol akses berbasis peran internal (owner, operator) dengan autentikasi kuat.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3.10 NTF — Notification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FR-NTF-001</w:t>
            </w:r>
          </w:p>
        </w:tc>
        <w:tc>
          <w:tcPr>
            <w:tcW w:type="dxa" w:w="6600"/>
            <w:tcMar>
              <w:top w:type="dxa" w:w="60"/>
              <w:left w:type="dxa" w:w="100"/>
              <w:bottom w:type="dxa" w:w="60"/>
              <w:right w:type="dxa" w:w="100"/>
            </w:tcMar>
          </w:tcPr>
          <w:p>
            <w:pPr>
              <w:spacing w:after="0" w:line="260"/>
            </w:pPr>
            <w:r>
              <w:rPr>
                <w:color w:val="222222"/>
                <w:sz w:val="20"/>
                <w:szCs w:val="20"/>
              </w:rPr>
              <w:t xml:space="preserve">Notifikasi ke klien via WA (template): draft siap ditinjau, publish berhasil, tagihan, kuota hampir habis, domain aktif.</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FR-NTF-002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Notifikasi ke operator (email/WA internal): eskalasi baru, job gagal beruntun, webhook error, anomali biaya AI.</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FR-NTF-003</w:t>
            </w:r>
          </w:p>
        </w:tc>
        <w:tc>
          <w:tcPr>
            <w:tcW w:type="dxa" w:w="6600"/>
            <w:tcMar>
              <w:top w:type="dxa" w:w="60"/>
              <w:left w:type="dxa" w:w="100"/>
              <w:bottom w:type="dxa" w:w="60"/>
              <w:right w:type="dxa" w:w="100"/>
            </w:tcMar>
          </w:tcPr>
          <w:p>
            <w:pPr>
              <w:spacing w:after="0" w:line="260"/>
            </w:pPr>
            <w:r>
              <w:rPr>
                <w:color w:val="222222"/>
                <w:sz w:val="20"/>
                <w:szCs w:val="20"/>
              </w:rPr>
              <w:t xml:space="preserve">Workflow notifikasi terjadwal (dunning, pengingat kuota, laporan bulanan) diimplementasi di n8n yang dipicu oleh API/event platform; logika keputusan tetap di kode, n8n hanya eksekusi pengiriman &amp; penjadwalan.</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bl>
    <w:p>
      <w:pPr>
        <w:pStyle w:val="Heading2"/>
        <w:spacing w:after="120" w:before="280"/>
      </w:pPr>
      <w:r>
        <w:rPr>
          <w:b/>
          <w:bCs/>
          <w:color w:val="0E7C7B"/>
          <w:sz w:val="25"/>
          <w:szCs w:val="25"/>
        </w:rPr>
        <w:t xml:space="preserve">3.11 ANL — Analytics &amp; Leads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FR-ANL-001</w:t>
            </w:r>
          </w:p>
        </w:tc>
        <w:tc>
          <w:tcPr>
            <w:tcW w:type="dxa" w:w="6600"/>
            <w:tcMar>
              <w:top w:type="dxa" w:w="60"/>
              <w:left w:type="dxa" w:w="100"/>
              <w:bottom w:type="dxa" w:w="60"/>
              <w:right w:type="dxa" w:w="100"/>
            </w:tcMar>
          </w:tcPr>
          <w:p>
            <w:pPr>
              <w:spacing w:after="0" w:line="260"/>
            </w:pPr>
            <w:r>
              <w:rPr>
                <w:color w:val="222222"/>
                <w:sz w:val="20"/>
                <w:szCs w:val="20"/>
              </w:rPr>
              <w:t xml:space="preserve">Setiap situs klien memuat skrip pelacakan Umami (self-host) dengan website-id per tenant; tanpa cookie pihak ketiga, selaras UU PDP.</w:t>
            </w:r>
          </w:p>
        </w:tc>
        <w:tc>
          <w:tcPr>
            <w:tcW w:type="dxa" w:w="1300"/>
            <w:tcMar>
              <w:top w:type="dxa" w:w="60"/>
              <w:left w:type="dxa" w:w="100"/>
              <w:bottom w:type="dxa" w:w="60"/>
              <w:right w:type="dxa" w:w="100"/>
            </w:tcMar>
          </w:tcPr>
          <w:p>
            <w:pPr>
              <w:spacing w:after="0" w:line="260"/>
            </w:pPr>
            <w:r>
              <w:rPr>
                <w:color w:val="222222"/>
                <w:sz w:val="20"/>
                <w:szCs w:val="20"/>
              </w:rPr>
              <w:t xml:space="preserve">S</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FR-ANL-002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Laporan bulanan (pengunjung, halaman populer, sumber trafik) dikirim otomatis ke WA klien via workflow n8n.</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S</w:t>
            </w:r>
          </w:p>
        </w:tc>
      </w:tr>
      <w:tr>
        <w:tc>
          <w:tcPr>
            <w:tcW w:type="dxa" w:w="1100"/>
            <w:tcMar>
              <w:top w:type="dxa" w:w="60"/>
              <w:left w:type="dxa" w:w="100"/>
              <w:bottom w:type="dxa" w:w="60"/>
              <w:right w:type="dxa" w:w="100"/>
            </w:tcMar>
          </w:tcPr>
          <w:p>
            <w:pPr>
              <w:spacing w:after="0" w:line="260"/>
            </w:pPr>
            <w:r>
              <w:rPr>
                <w:color w:val="222222"/>
                <w:sz w:val="20"/>
                <w:szCs w:val="20"/>
              </w:rPr>
              <w:t xml:space="preserve">FR-ANL-003</w:t>
            </w:r>
          </w:p>
        </w:tc>
        <w:tc>
          <w:tcPr>
            <w:tcW w:type="dxa" w:w="6600"/>
            <w:tcMar>
              <w:top w:type="dxa" w:w="60"/>
              <w:left w:type="dxa" w:w="100"/>
              <w:bottom w:type="dxa" w:w="60"/>
              <w:right w:type="dxa" w:w="100"/>
            </w:tcMar>
          </w:tcPr>
          <w:p>
            <w:pPr>
              <w:spacing w:after="0" w:line="260"/>
            </w:pPr>
            <w:r>
              <w:rPr>
                <w:color w:val="222222"/>
                <w:sz w:val="20"/>
                <w:szCs w:val="20"/>
              </w:rPr>
              <w:t xml:space="preserve">Form kontak pada situs statis melakukan POST ke endpoint API pusat per tenant dengan proteksi anti-spam (honeypot + rate limit + verifikasi asal); submission valid diteruskan ke WA klien dan tercatat sebagai Lead.</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FR-ANL-004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Klien dapat menanyakan ringkasan performa situs via chat (“berapa pengunjung bulan ini?”) dan bot menjawab dari data Umami.</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O</w:t>
            </w:r>
          </w:p>
        </w:tc>
      </w:tr>
    </w:tbl>
    <w:p>
      <w:pPr>
        <w:pStyle w:val="Heading2"/>
        <w:spacing w:after="120" w:before="280"/>
      </w:pPr>
      <w:r>
        <w:rPr>
          <w:b/>
          <w:bCs/>
          <w:color w:val="0E7C7B"/>
          <w:sz w:val="25"/>
          <w:szCs w:val="25"/>
        </w:rPr>
        <w:t xml:space="preserve">3.12 SEO — SEO Engine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300"/>
      </w:tblGrid>
      <w:tr>
        <w:trPr>
          <w:tblHeader/>
        </w:trPr>
        <w:tc>
          <w:tcPr>
            <w:tcW w:type="dxa" w:w="11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6600"/>
            <w:shd w:fill="1F4E5F" w:color="auto" w:val="clear"/>
            <w:tcMar>
              <w:top w:type="dxa" w:w="60"/>
              <w:left w:type="dxa" w:w="100"/>
              <w:bottom w:type="dxa" w:w="60"/>
              <w:right w:type="dxa" w:w="100"/>
            </w:tcMar>
          </w:tcPr>
          <w:p>
            <w:pPr>
              <w:spacing w:after="0" w:line="260"/>
            </w:pPr>
            <w:r>
              <w:rPr>
                <w:b/>
                <w:bCs/>
                <w:color w:val="FFFFFF"/>
                <w:sz w:val="20"/>
                <w:szCs w:val="20"/>
              </w:rPr>
              <w:t xml:space="preserve">Kebutuhan Fungsional</w:t>
            </w:r>
          </w:p>
        </w:tc>
        <w:tc>
          <w:tcPr>
            <w:tcW w:type="dxa" w:w="1300"/>
            <w:shd w:fill="1F4E5F" w:color="auto" w:val="clear"/>
            <w:tcMar>
              <w:top w:type="dxa" w:w="60"/>
              <w:left w:type="dxa" w:w="100"/>
              <w:bottom w:type="dxa" w:w="60"/>
              <w:right w:type="dxa" w:w="100"/>
            </w:tcMar>
          </w:tcPr>
          <w:p>
            <w:pPr>
              <w:spacing w:after="0" w:line="260"/>
            </w:pPr>
            <w:r>
              <w:rPr>
                <w:b/>
                <w:bCs/>
                <w:color w:val="FFFFFF"/>
                <w:sz w:val="20"/>
                <w:szCs w:val="20"/>
              </w:rPr>
              <w:t xml:space="preserve">Prioritas</w:t>
            </w:r>
          </w:p>
        </w:tc>
      </w:tr>
      <w:tr>
        <w:tc>
          <w:tcPr>
            <w:tcW w:type="dxa" w:w="1100"/>
            <w:tcMar>
              <w:top w:type="dxa" w:w="60"/>
              <w:left w:type="dxa" w:w="100"/>
              <w:bottom w:type="dxa" w:w="60"/>
              <w:right w:type="dxa" w:w="100"/>
            </w:tcMar>
          </w:tcPr>
          <w:p>
            <w:pPr>
              <w:spacing w:after="0" w:line="260"/>
            </w:pPr>
            <w:r>
              <w:rPr>
                <w:color w:val="222222"/>
                <w:sz w:val="20"/>
                <w:szCs w:val="20"/>
              </w:rPr>
              <w:t xml:space="preserve">FR-SEO-001</w:t>
            </w:r>
          </w:p>
        </w:tc>
        <w:tc>
          <w:tcPr>
            <w:tcW w:type="dxa" w:w="6600"/>
            <w:tcMar>
              <w:top w:type="dxa" w:w="60"/>
              <w:left w:type="dxa" w:w="100"/>
              <w:bottom w:type="dxa" w:w="60"/>
              <w:right w:type="dxa" w:w="100"/>
            </w:tcMar>
          </w:tcPr>
          <w:p>
            <w:pPr>
              <w:spacing w:after="0" w:line="260"/>
            </w:pPr>
            <w:r>
              <w:rPr>
                <w:color w:val="222222"/>
                <w:sz w:val="20"/>
                <w:szCs w:val="20"/>
              </w:rPr>
              <w:t xml:space="preserve">Setiap halaman memuat metadata lengkap otomatis: title &amp; meta description hasil AI (unik per halaman), canonical, Open Graph + Twitter Card, dan favicon/manifest.</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FR-SEO-002</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Structured data (JSON-LD) dihasilkan otomatis sesuai konteks: LocalBusiness/Organization (profil), Product (katalog), Article + BreadcrumbList (blog), FAQPage (section FAQ), dan divalidasi terhadap skema schema.org saat build.</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W</w:t>
            </w:r>
          </w:p>
        </w:tc>
      </w:tr>
      <w:tr>
        <w:tc>
          <w:tcPr>
            <w:tcW w:type="dxa" w:w="1100"/>
            <w:tcMar>
              <w:top w:type="dxa" w:w="60"/>
              <w:left w:type="dxa" w:w="100"/>
              <w:bottom w:type="dxa" w:w="60"/>
              <w:right w:type="dxa" w:w="100"/>
            </w:tcMar>
          </w:tcPr>
          <w:p>
            <w:pPr>
              <w:spacing w:after="0" w:line="260"/>
            </w:pPr>
            <w:r>
              <w:rPr>
                <w:color w:val="222222"/>
                <w:sz w:val="20"/>
                <w:szCs w:val="20"/>
              </w:rPr>
              <w:t xml:space="preserve">FR-SEO-003</w:t>
            </w:r>
          </w:p>
        </w:tc>
        <w:tc>
          <w:tcPr>
            <w:tcW w:type="dxa" w:w="6600"/>
            <w:tcMar>
              <w:top w:type="dxa" w:w="60"/>
              <w:left w:type="dxa" w:w="100"/>
              <w:bottom w:type="dxa" w:w="60"/>
              <w:right w:type="dxa" w:w="100"/>
            </w:tcMar>
          </w:tcPr>
          <w:p>
            <w:pPr>
              <w:spacing w:after="0" w:line="260"/>
            </w:pPr>
            <w:r>
              <w:rPr>
                <w:color w:val="222222"/>
                <w:sz w:val="20"/>
                <w:szCs w:val="20"/>
              </w:rPr>
              <w:t xml:space="preserve">Sitemap.xml &amp; robots.txt dihasilkan tiap publish; sistem melakukan ping IndexNow dan (bila terhubung) notifikasi Google melalui Search Console API agar halaman baru cepat terindeks.</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FR-SEO-004</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Integrasi Google Search Console per situs: verifikasi kepemilikan otomatis (DNS/file), penarikan data performa (klik, impresi, posisi kata kunci) untuk laporan.</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S</w:t>
            </w:r>
          </w:p>
        </w:tc>
      </w:tr>
      <w:tr>
        <w:tc>
          <w:tcPr>
            <w:tcW w:type="dxa" w:w="1100"/>
            <w:tcMar>
              <w:top w:type="dxa" w:w="60"/>
              <w:left w:type="dxa" w:w="100"/>
              <w:bottom w:type="dxa" w:w="60"/>
              <w:right w:type="dxa" w:w="100"/>
            </w:tcMar>
          </w:tcPr>
          <w:p>
            <w:pPr>
              <w:spacing w:after="0" w:line="260"/>
            </w:pPr>
            <w:r>
              <w:rPr>
                <w:color w:val="222222"/>
                <w:sz w:val="20"/>
                <w:szCs w:val="20"/>
              </w:rPr>
              <w:t xml:space="preserve">FR-SEO-005</w:t>
            </w:r>
          </w:p>
        </w:tc>
        <w:tc>
          <w:tcPr>
            <w:tcW w:type="dxa" w:w="6600"/>
            <w:tcMar>
              <w:top w:type="dxa" w:w="60"/>
              <w:left w:type="dxa" w:w="100"/>
              <w:bottom w:type="dxa" w:w="60"/>
              <w:right w:type="dxa" w:w="100"/>
            </w:tcMar>
          </w:tcPr>
          <w:p>
            <w:pPr>
              <w:spacing w:after="0" w:line="260"/>
            </w:pPr>
            <w:r>
              <w:rPr>
                <w:color w:val="222222"/>
                <w:sz w:val="20"/>
                <w:szCs w:val="20"/>
              </w:rPr>
              <w:t xml:space="preserve">Artikel blog dihasilkan dari brief SEO: agent menyusun target kata kunci utama &amp; turunan (dari input klien + data Search Console), struktur heading, dan internal link ke halaman/artikel terkait secara otomatis.</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FR-SEO-006</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Laporan SEO bulanan via WA (workflow n8n): tren klik/impresi, kata kunci naik/turun, dan saran topik artikel berikutnya dari agent.</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S</w:t>
            </w:r>
          </w:p>
        </w:tc>
      </w:tr>
      <w:tr>
        <w:tc>
          <w:tcPr>
            <w:tcW w:type="dxa" w:w="1100"/>
            <w:tcMar>
              <w:top w:type="dxa" w:w="60"/>
              <w:left w:type="dxa" w:w="100"/>
              <w:bottom w:type="dxa" w:w="60"/>
              <w:right w:type="dxa" w:w="100"/>
            </w:tcMar>
          </w:tcPr>
          <w:p>
            <w:pPr>
              <w:spacing w:after="0" w:line="260"/>
            </w:pPr>
            <w:r>
              <w:rPr>
                <w:color w:val="222222"/>
                <w:sz w:val="20"/>
                <w:szCs w:val="20"/>
              </w:rPr>
              <w:t xml:space="preserve">FR-SEO-007</w:t>
            </w:r>
          </w:p>
        </w:tc>
        <w:tc>
          <w:tcPr>
            <w:tcW w:type="dxa" w:w="6600"/>
            <w:tcMar>
              <w:top w:type="dxa" w:w="60"/>
              <w:left w:type="dxa" w:w="100"/>
              <w:bottom w:type="dxa" w:w="60"/>
              <w:right w:type="dxa" w:w="100"/>
            </w:tcMar>
          </w:tcPr>
          <w:p>
            <w:pPr>
              <w:spacing w:after="0" w:line="260"/>
            </w:pPr>
            <w:r>
              <w:rPr>
                <w:color w:val="222222"/>
                <w:sz w:val="20"/>
                <w:szCs w:val="20"/>
              </w:rPr>
              <w:t xml:space="preserve">Audit SEO on-page otomatis pada tiap build (judul duplikat, meta kosong, gambar tanpa alt, heading rusak, broken internal link); temuan kritis memblokir publish, temuan minor dilaporkan ke operator.</w:t>
            </w:r>
          </w:p>
        </w:tc>
        <w:tc>
          <w:tcPr>
            <w:tcW w:type="dxa" w:w="1300"/>
            <w:tcMar>
              <w:top w:type="dxa" w:w="60"/>
              <w:left w:type="dxa" w:w="100"/>
              <w:bottom w:type="dxa" w:w="60"/>
              <w:right w:type="dxa" w:w="100"/>
            </w:tcMar>
          </w:tcPr>
          <w:p>
            <w:pPr>
              <w:spacing w:after="0" w:line="260"/>
            </w:pPr>
            <w:r>
              <w:rPr>
                <w:color w:val="222222"/>
                <w:sz w:val="20"/>
                <w:szCs w:val="20"/>
              </w:rPr>
              <w:t xml:space="preserve">W</w:t>
            </w:r>
          </w:p>
        </w:tc>
      </w:tr>
      <w:tr>
        <w:tc>
          <w:tcPr>
            <w:tcW w:type="dxa" w:w="1100"/>
            <w:shd w:fill="EAF2F2" w:color="auto" w:val="clear"/>
            <w:tcMar>
              <w:top w:type="dxa" w:w="60"/>
              <w:left w:type="dxa" w:w="100"/>
              <w:bottom w:type="dxa" w:w="60"/>
              <w:right w:type="dxa" w:w="100"/>
            </w:tcMar>
          </w:tcPr>
          <w:p>
            <w:pPr>
              <w:spacing w:after="0" w:line="260"/>
            </w:pPr>
            <w:r>
              <w:rPr>
                <w:color w:val="222222"/>
                <w:sz w:val="20"/>
                <w:szCs w:val="20"/>
              </w:rPr>
              <w:t xml:space="preserve">FR-SEO-008</w:t>
            </w:r>
          </w:p>
        </w:tc>
        <w:tc>
          <w:tcPr>
            <w:tcW w:type="dxa" w:w="6600"/>
            <w:shd w:fill="EAF2F2" w:color="auto" w:val="clear"/>
            <w:tcMar>
              <w:top w:type="dxa" w:w="60"/>
              <w:left w:type="dxa" w:w="100"/>
              <w:bottom w:type="dxa" w:w="60"/>
              <w:right w:type="dxa" w:w="100"/>
            </w:tcMar>
          </w:tcPr>
          <w:p>
            <w:pPr>
              <w:spacing w:after="0" w:line="260"/>
            </w:pPr>
            <w:r>
              <w:rPr>
                <w:color w:val="222222"/>
                <w:sz w:val="20"/>
                <w:szCs w:val="20"/>
              </w:rPr>
              <w:t xml:space="preserve">Klien dapat bertanya via chat (“kenapa situs saya belum muncul di Google?”) dan bot menjawab berdasarkan status indexing &amp; data Search Console aktual, bukan jawaban generik.</w:t>
            </w:r>
          </w:p>
        </w:tc>
        <w:tc>
          <w:tcPr>
            <w:tcW w:type="dxa" w:w="1300"/>
            <w:shd w:fill="EAF2F2" w:color="auto" w:val="clear"/>
            <w:tcMar>
              <w:top w:type="dxa" w:w="60"/>
              <w:left w:type="dxa" w:w="100"/>
              <w:bottom w:type="dxa" w:w="60"/>
              <w:right w:type="dxa" w:w="100"/>
            </w:tcMar>
          </w:tcPr>
          <w:p>
            <w:pPr>
              <w:spacing w:after="0" w:line="260"/>
            </w:pPr>
            <w:r>
              <w:rPr>
                <w:color w:val="222222"/>
                <w:sz w:val="20"/>
                <w:szCs w:val="20"/>
              </w:rPr>
              <w:t xml:space="preserve">S</w:t>
            </w:r>
          </w:p>
        </w:tc>
      </w:tr>
    </w:tbl>
    <w:p>
      <w:pPr>
        <w:pStyle w:val="Heading1"/>
        <w:spacing w:after="160" w:before="360"/>
      </w:pPr>
      <w:r>
        <w:rPr>
          <w:b/>
          <w:bCs/>
          <w:color w:val="1F4E5F"/>
          <w:sz w:val="30"/>
          <w:szCs w:val="30"/>
        </w:rPr>
        <w:t xml:space="preserve">4. Use Case Utama (Rinci)</w:t>
      </w:r>
    </w:p>
    <w:p>
      <w:pPr>
        <w:pStyle w:val="Heading2"/>
        <w:spacing w:after="120" w:before="280"/>
      </w:pPr>
      <w:r>
        <w:rPr>
          <w:b/>
          <w:bCs/>
          <w:color w:val="0E7C7B"/>
          <w:sz w:val="25"/>
          <w:szCs w:val="25"/>
        </w:rPr>
        <w:t xml:space="preserve">4.1 UC-01: Membangun Website Pertama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4E5F" w:color="auto" w:val="clear"/>
            <w:tcMar>
              <w:top w:type="dxa" w:w="60"/>
              <w:left w:type="dxa" w:w="100"/>
              <w:bottom w:type="dxa" w:w="60"/>
              <w:right w:type="dxa" w:w="100"/>
            </w:tcMar>
          </w:tcPr>
          <w:p>
            <w:pPr>
              <w:spacing w:after="0" w:line="260"/>
            </w:pPr>
            <w:r>
              <w:rPr>
                <w:b/>
                <w:bCs/>
                <w:color w:val="FFFFFF"/>
                <w:sz w:val="20"/>
                <w:szCs w:val="20"/>
              </w:rPr>
              <w:t xml:space="preserve">Elemen</w:t>
            </w:r>
          </w:p>
        </w:tc>
        <w:tc>
          <w:tcPr>
            <w:tcW w:type="dxa" w:w="7200"/>
            <w:shd w:fill="1F4E5F" w:color="auto" w:val="clear"/>
            <w:tcMar>
              <w:top w:type="dxa" w:w="60"/>
              <w:left w:type="dxa" w:w="100"/>
              <w:bottom w:type="dxa" w:w="60"/>
              <w:right w:type="dxa" w:w="100"/>
            </w:tcMar>
          </w:tcPr>
          <w:p>
            <w:pPr>
              <w:spacing w:after="0" w:line="260"/>
            </w:pPr>
            <w:r>
              <w:rPr>
                <w:b/>
                <w:bCs/>
                <w:color w:val="FFFFFF"/>
                <w:sz w:val="20"/>
                <w:szCs w:val="20"/>
              </w:rPr>
              <w:t xml:space="preserve">Deskripsi</w:t>
            </w:r>
          </w:p>
        </w:tc>
      </w:tr>
      <w:tr>
        <w:tc>
          <w:tcPr>
            <w:tcW w:type="dxa" w:w="1800"/>
            <w:tcMar>
              <w:top w:type="dxa" w:w="60"/>
              <w:left w:type="dxa" w:w="100"/>
              <w:bottom w:type="dxa" w:w="60"/>
              <w:right w:type="dxa" w:w="100"/>
            </w:tcMar>
          </w:tcPr>
          <w:p>
            <w:pPr>
              <w:spacing w:after="0" w:line="260"/>
            </w:pPr>
            <w:r>
              <w:rPr>
                <w:color w:val="222222"/>
                <w:sz w:val="20"/>
                <w:szCs w:val="20"/>
              </w:rPr>
              <w:t xml:space="preserve">Aktor</w:t>
            </w:r>
          </w:p>
        </w:tc>
        <w:tc>
          <w:tcPr>
            <w:tcW w:type="dxa" w:w="7200"/>
            <w:tcMar>
              <w:top w:type="dxa" w:w="60"/>
              <w:left w:type="dxa" w:w="100"/>
              <w:bottom w:type="dxa" w:w="60"/>
              <w:right w:type="dxa" w:w="100"/>
            </w:tcMar>
          </w:tcPr>
          <w:p>
            <w:pPr>
              <w:spacing w:after="0" w:line="260"/>
            </w:pPr>
            <w:r>
              <w:rPr>
                <w:color w:val="222222"/>
                <w:sz w:val="20"/>
                <w:szCs w:val="20"/>
              </w:rPr>
              <w:t xml:space="preserve">Klien (via WA/web chat), Chatbot, AI Agent</w:t>
            </w:r>
          </w:p>
        </w:tc>
      </w:tr>
      <w:tr>
        <w:tc>
          <w:tcPr>
            <w:tcW w:type="dxa" w:w="1800"/>
            <w:shd w:fill="EAF2F2" w:color="auto" w:val="clear"/>
            <w:tcMar>
              <w:top w:type="dxa" w:w="60"/>
              <w:left w:type="dxa" w:w="100"/>
              <w:bottom w:type="dxa" w:w="60"/>
              <w:right w:type="dxa" w:w="100"/>
            </w:tcMar>
          </w:tcPr>
          <w:p>
            <w:pPr>
              <w:spacing w:after="0" w:line="260"/>
            </w:pPr>
            <w:r>
              <w:rPr>
                <w:color w:val="222222"/>
                <w:sz w:val="20"/>
                <w:szCs w:val="20"/>
              </w:rPr>
              <w:t xml:space="preserve">Prasyarat</w:t>
            </w:r>
          </w:p>
        </w:tc>
        <w:tc>
          <w:tcPr>
            <w:tcW w:type="dxa" w:w="7200"/>
            <w:shd w:fill="EAF2F2" w:color="auto" w:val="clear"/>
            <w:tcMar>
              <w:top w:type="dxa" w:w="60"/>
              <w:left w:type="dxa" w:w="100"/>
              <w:bottom w:type="dxa" w:w="60"/>
              <w:right w:type="dxa" w:w="100"/>
            </w:tcMar>
          </w:tcPr>
          <w:p>
            <w:pPr>
              <w:spacing w:after="0" w:line="260"/>
            </w:pPr>
            <w:r>
              <w:rPr>
                <w:color w:val="222222"/>
                <w:sz w:val="20"/>
                <w:szCs w:val="20"/>
              </w:rPr>
              <w:t xml:space="preserve">Tenant terdaftar; langganan aktif atau mode trial preview</w:t>
            </w:r>
          </w:p>
        </w:tc>
      </w:tr>
      <w:tr>
        <w:tc>
          <w:tcPr>
            <w:tcW w:type="dxa" w:w="1800"/>
            <w:tcMar>
              <w:top w:type="dxa" w:w="60"/>
              <w:left w:type="dxa" w:w="100"/>
              <w:bottom w:type="dxa" w:w="60"/>
              <w:right w:type="dxa" w:w="100"/>
            </w:tcMar>
          </w:tcPr>
          <w:p>
            <w:pPr>
              <w:spacing w:after="0" w:line="260"/>
            </w:pPr>
            <w:r>
              <w:rPr>
                <w:color w:val="222222"/>
                <w:sz w:val="20"/>
                <w:szCs w:val="20"/>
              </w:rPr>
              <w:t xml:space="preserve">Trigger</w:t>
            </w:r>
          </w:p>
        </w:tc>
        <w:tc>
          <w:tcPr>
            <w:tcW w:type="dxa" w:w="7200"/>
            <w:tcMar>
              <w:top w:type="dxa" w:w="60"/>
              <w:left w:type="dxa" w:w="100"/>
              <w:bottom w:type="dxa" w:w="60"/>
              <w:right w:type="dxa" w:w="100"/>
            </w:tcMar>
          </w:tcPr>
          <w:p>
            <w:pPr>
              <w:spacing w:after="0" w:line="260"/>
            </w:pPr>
            <w:r>
              <w:rPr>
                <w:color w:val="222222"/>
                <w:sz w:val="20"/>
                <w:szCs w:val="20"/>
              </w:rPr>
              <w:t xml:space="preserve">Wawancara kebutuhan dinyatakan lengkap oleh CNV (semua slot wajib terisi)</w:t>
            </w:r>
          </w:p>
        </w:tc>
      </w:tr>
      <w:tr>
        <w:tc>
          <w:tcPr>
            <w:tcW w:type="dxa" w:w="1800"/>
            <w:shd w:fill="EAF2F2" w:color="auto" w:val="clear"/>
            <w:tcMar>
              <w:top w:type="dxa" w:w="60"/>
              <w:left w:type="dxa" w:w="100"/>
              <w:bottom w:type="dxa" w:w="60"/>
              <w:right w:type="dxa" w:w="100"/>
            </w:tcMar>
          </w:tcPr>
          <w:p>
            <w:pPr>
              <w:spacing w:after="0" w:line="260"/>
            </w:pPr>
            <w:r>
              <w:rPr>
                <w:color w:val="222222"/>
                <w:sz w:val="20"/>
                <w:szCs w:val="20"/>
              </w:rPr>
              <w:t xml:space="preserve">Alur Utama</w:t>
            </w:r>
          </w:p>
        </w:tc>
        <w:tc>
          <w:tcPr>
            <w:tcW w:type="dxa" w:w="7200"/>
            <w:shd w:fill="EAF2F2" w:color="auto" w:val="clear"/>
            <w:tcMar>
              <w:top w:type="dxa" w:w="60"/>
              <w:left w:type="dxa" w:w="100"/>
              <w:bottom w:type="dxa" w:w="60"/>
              <w:right w:type="dxa" w:w="100"/>
            </w:tcMar>
          </w:tcPr>
          <w:p>
            <w:pPr>
              <w:spacing w:after="0" w:line="260"/>
            </w:pPr>
            <w:r>
              <w:rPr>
                <w:color w:val="222222"/>
                <w:sz w:val="20"/>
                <w:szCs w:val="20"/>
              </w:rPr>
              <w:t xml:space="preserve">1) CNV menyusun brief → 2) AGT membuat rencana situs (FR-AGT-001) → 3) AGT merakit halaman &amp; copywriting (FR-AGT-002/003) → 4) MED menyiapkan gambar (FR-AGT-007) → 5) PUB membuat revisi draft &amp; URL preview → 6) NTF mengirim preview ke klien → 7) Klien setuju → 8) PUB publish ke subdomain → 9) NTF konfirmasi + tautan situs</w:t>
            </w:r>
          </w:p>
        </w:tc>
      </w:tr>
      <w:tr>
        <w:tc>
          <w:tcPr>
            <w:tcW w:type="dxa" w:w="1800"/>
            <w:tcMar>
              <w:top w:type="dxa" w:w="60"/>
              <w:left w:type="dxa" w:w="100"/>
              <w:bottom w:type="dxa" w:w="60"/>
              <w:right w:type="dxa" w:w="100"/>
            </w:tcMar>
          </w:tcPr>
          <w:p>
            <w:pPr>
              <w:spacing w:after="0" w:line="260"/>
            </w:pPr>
            <w:r>
              <w:rPr>
                <w:color w:val="222222"/>
                <w:sz w:val="20"/>
                <w:szCs w:val="20"/>
              </w:rPr>
              <w:t xml:space="preserve">Alur Alternatif</w:t>
            </w:r>
          </w:p>
        </w:tc>
        <w:tc>
          <w:tcPr>
            <w:tcW w:type="dxa" w:w="7200"/>
            <w:tcMar>
              <w:top w:type="dxa" w:w="60"/>
              <w:left w:type="dxa" w:w="100"/>
              <w:bottom w:type="dxa" w:w="60"/>
              <w:right w:type="dxa" w:w="100"/>
            </w:tcMar>
          </w:tcPr>
          <w:p>
            <w:pPr>
              <w:spacing w:after="0" w:line="260"/>
            </w:pPr>
            <w:r>
              <w:rPr>
                <w:color w:val="222222"/>
                <w:sz w:val="20"/>
                <w:szCs w:val="20"/>
              </w:rPr>
              <w:t xml:space="preserve">A1: Informasi kurang → AGT NEEDS_INFO → bot bertanya, lanjut dari langkah 2. A2: Klien minta revisi → UC-02. A3: Job gagal 3x → eskalasi operator + permintaan maaf ke klien</w:t>
            </w:r>
          </w:p>
        </w:tc>
      </w:tr>
      <w:tr>
        <w:tc>
          <w:tcPr>
            <w:tcW w:type="dxa" w:w="1800"/>
            <w:shd w:fill="EAF2F2" w:color="auto" w:val="clear"/>
            <w:tcMar>
              <w:top w:type="dxa" w:w="60"/>
              <w:left w:type="dxa" w:w="100"/>
              <w:bottom w:type="dxa" w:w="60"/>
              <w:right w:type="dxa" w:w="100"/>
            </w:tcMar>
          </w:tcPr>
          <w:p>
            <w:pPr>
              <w:spacing w:after="0" w:line="260"/>
            </w:pPr>
            <w:r>
              <w:rPr>
                <w:color w:val="222222"/>
                <w:sz w:val="20"/>
                <w:szCs w:val="20"/>
              </w:rPr>
              <w:t xml:space="preserve">Pascakondisi</w:t>
            </w:r>
          </w:p>
        </w:tc>
        <w:tc>
          <w:tcPr>
            <w:tcW w:type="dxa" w:w="7200"/>
            <w:shd w:fill="EAF2F2" w:color="auto" w:val="clear"/>
            <w:tcMar>
              <w:top w:type="dxa" w:w="60"/>
              <w:left w:type="dxa" w:w="100"/>
              <w:bottom w:type="dxa" w:w="60"/>
              <w:right w:type="dxa" w:w="100"/>
            </w:tcMar>
          </w:tcPr>
          <w:p>
            <w:pPr>
              <w:spacing w:after="0" w:line="260"/>
            </w:pPr>
            <w:r>
              <w:rPr>
                <w:color w:val="222222"/>
                <w:sz w:val="20"/>
                <w:szCs w:val="20"/>
              </w:rPr>
              <w:t xml:space="preserve">Website berstatus PUBLISHED; revisi tercatat; kuota terpotong</w:t>
            </w:r>
          </w:p>
        </w:tc>
      </w:tr>
    </w:tbl>
    <w:p>
      <w:pPr>
        <w:pStyle w:val="Heading2"/>
        <w:spacing w:after="120" w:before="280"/>
      </w:pPr>
      <w:r>
        <w:rPr>
          <w:b/>
          <w:bCs/>
          <w:color w:val="0E7C7B"/>
          <w:sz w:val="25"/>
          <w:szCs w:val="25"/>
        </w:rPr>
        <w:t xml:space="preserve">4.2 UC-02: Revisi Website via Percakapan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4E5F" w:color="auto" w:val="clear"/>
            <w:tcMar>
              <w:top w:type="dxa" w:w="60"/>
              <w:left w:type="dxa" w:w="100"/>
              <w:bottom w:type="dxa" w:w="60"/>
              <w:right w:type="dxa" w:w="100"/>
            </w:tcMar>
          </w:tcPr>
          <w:p>
            <w:pPr>
              <w:spacing w:after="0" w:line="260"/>
            </w:pPr>
            <w:r>
              <w:rPr>
                <w:b/>
                <w:bCs/>
                <w:color w:val="FFFFFF"/>
                <w:sz w:val="20"/>
                <w:szCs w:val="20"/>
              </w:rPr>
              <w:t xml:space="preserve">Elemen</w:t>
            </w:r>
          </w:p>
        </w:tc>
        <w:tc>
          <w:tcPr>
            <w:tcW w:type="dxa" w:w="7200"/>
            <w:shd w:fill="1F4E5F" w:color="auto" w:val="clear"/>
            <w:tcMar>
              <w:top w:type="dxa" w:w="60"/>
              <w:left w:type="dxa" w:w="100"/>
              <w:bottom w:type="dxa" w:w="60"/>
              <w:right w:type="dxa" w:w="100"/>
            </w:tcMar>
          </w:tcPr>
          <w:p>
            <w:pPr>
              <w:spacing w:after="0" w:line="260"/>
            </w:pPr>
            <w:r>
              <w:rPr>
                <w:b/>
                <w:bCs/>
                <w:color w:val="FFFFFF"/>
                <w:sz w:val="20"/>
                <w:szCs w:val="20"/>
              </w:rPr>
              <w:t xml:space="preserve">Deskripsi</w:t>
            </w:r>
          </w:p>
        </w:tc>
      </w:tr>
      <w:tr>
        <w:tc>
          <w:tcPr>
            <w:tcW w:type="dxa" w:w="1800"/>
            <w:tcMar>
              <w:top w:type="dxa" w:w="60"/>
              <w:left w:type="dxa" w:w="100"/>
              <w:bottom w:type="dxa" w:w="60"/>
              <w:right w:type="dxa" w:w="100"/>
            </w:tcMar>
          </w:tcPr>
          <w:p>
            <w:pPr>
              <w:spacing w:after="0" w:line="260"/>
            </w:pPr>
            <w:r>
              <w:rPr>
                <w:color w:val="222222"/>
                <w:sz w:val="20"/>
                <w:szCs w:val="20"/>
              </w:rPr>
              <w:t xml:space="preserve">Trigger</w:t>
            </w:r>
          </w:p>
        </w:tc>
        <w:tc>
          <w:tcPr>
            <w:tcW w:type="dxa" w:w="7200"/>
            <w:tcMar>
              <w:top w:type="dxa" w:w="60"/>
              <w:left w:type="dxa" w:w="100"/>
              <w:bottom w:type="dxa" w:w="60"/>
              <w:right w:type="dxa" w:w="100"/>
            </w:tcMar>
          </w:tcPr>
          <w:p>
            <w:pPr>
              <w:spacing w:after="0" w:line="260"/>
            </w:pPr>
            <w:r>
              <w:rPr>
                <w:color w:val="222222"/>
                <w:sz w:val="20"/>
                <w:szCs w:val="20"/>
              </w:rPr>
              <w:t xml:space="preserve">Pesan klien berintent revisi (mis. “ganti foto hero”, “tambah FAQ”)</w:t>
            </w:r>
          </w:p>
        </w:tc>
      </w:tr>
      <w:tr>
        <w:tc>
          <w:tcPr>
            <w:tcW w:type="dxa" w:w="1800"/>
            <w:shd w:fill="EAF2F2" w:color="auto" w:val="clear"/>
            <w:tcMar>
              <w:top w:type="dxa" w:w="60"/>
              <w:left w:type="dxa" w:w="100"/>
              <w:bottom w:type="dxa" w:w="60"/>
              <w:right w:type="dxa" w:w="100"/>
            </w:tcMar>
          </w:tcPr>
          <w:p>
            <w:pPr>
              <w:spacing w:after="0" w:line="260"/>
            </w:pPr>
            <w:r>
              <w:rPr>
                <w:color w:val="222222"/>
                <w:sz w:val="20"/>
                <w:szCs w:val="20"/>
              </w:rPr>
              <w:t xml:space="preserve">Alur Utama</w:t>
            </w:r>
          </w:p>
        </w:tc>
        <w:tc>
          <w:tcPr>
            <w:tcW w:type="dxa" w:w="7200"/>
            <w:shd w:fill="EAF2F2" w:color="auto" w:val="clear"/>
            <w:tcMar>
              <w:top w:type="dxa" w:w="60"/>
              <w:left w:type="dxa" w:w="100"/>
              <w:bottom w:type="dxa" w:w="60"/>
              <w:right w:type="dxa" w:w="100"/>
            </w:tcMar>
          </w:tcPr>
          <w:p>
            <w:pPr>
              <w:spacing w:after="0" w:line="260"/>
            </w:pPr>
            <w:r>
              <w:rPr>
                <w:color w:val="222222"/>
                <w:sz w:val="20"/>
                <w:szCs w:val="20"/>
              </w:rPr>
              <w:t xml:space="preserve">1) CNV klasifikasi intent revisi → 2) AGT menghasilkan patch terstruktur (FR-AGT-004) terhadap revisi terakhir → 3) Validasi skema → 4) Revisi draft baru + preview → 5) Diff naratif dikirim → 6) Approve → publish</w:t>
            </w:r>
          </w:p>
        </w:tc>
      </w:tr>
      <w:tr>
        <w:tc>
          <w:tcPr>
            <w:tcW w:type="dxa" w:w="1800"/>
            <w:tcMar>
              <w:top w:type="dxa" w:w="60"/>
              <w:left w:type="dxa" w:w="100"/>
              <w:bottom w:type="dxa" w:w="60"/>
              <w:right w:type="dxa" w:w="100"/>
            </w:tcMar>
          </w:tcPr>
          <w:p>
            <w:pPr>
              <w:spacing w:after="0" w:line="260"/>
            </w:pPr>
            <w:r>
              <w:rPr>
                <w:color w:val="222222"/>
                <w:sz w:val="20"/>
                <w:szCs w:val="20"/>
              </w:rPr>
              <w:t xml:space="preserve">Aturan</w:t>
            </w:r>
          </w:p>
        </w:tc>
        <w:tc>
          <w:tcPr>
            <w:tcW w:type="dxa" w:w="7200"/>
            <w:tcMar>
              <w:top w:type="dxa" w:w="60"/>
              <w:left w:type="dxa" w:w="100"/>
              <w:bottom w:type="dxa" w:w="60"/>
              <w:right w:type="dxa" w:w="100"/>
            </w:tcMar>
          </w:tcPr>
          <w:p>
            <w:pPr>
              <w:spacing w:after="0" w:line="260"/>
            </w:pPr>
            <w:r>
              <w:rPr>
                <w:color w:val="222222"/>
                <w:sz w:val="20"/>
                <w:szCs w:val="20"/>
              </w:rPr>
              <w:t xml:space="preserve">Patch tidak boleh menyentuh bagian yang tidak diminta; perubahan tema global dikonfirmasi terpisah karena berdampak seluruh situs</w:t>
            </w:r>
          </w:p>
        </w:tc>
      </w:tr>
      <w:tr>
        <w:tc>
          <w:tcPr>
            <w:tcW w:type="dxa" w:w="1800"/>
            <w:shd w:fill="EAF2F2" w:color="auto" w:val="clear"/>
            <w:tcMar>
              <w:top w:type="dxa" w:w="60"/>
              <w:left w:type="dxa" w:w="100"/>
              <w:bottom w:type="dxa" w:w="60"/>
              <w:right w:type="dxa" w:w="100"/>
            </w:tcMar>
          </w:tcPr>
          <w:p>
            <w:pPr>
              <w:spacing w:after="0" w:line="260"/>
            </w:pPr>
            <w:r>
              <w:rPr>
                <w:color w:val="222222"/>
                <w:sz w:val="20"/>
                <w:szCs w:val="20"/>
              </w:rPr>
              <w:t xml:space="preserve">Alternatif</w:t>
            </w:r>
          </w:p>
        </w:tc>
        <w:tc>
          <w:tcPr>
            <w:tcW w:type="dxa" w:w="7200"/>
            <w:shd w:fill="EAF2F2" w:color="auto" w:val="clear"/>
            <w:tcMar>
              <w:top w:type="dxa" w:w="60"/>
              <w:left w:type="dxa" w:w="100"/>
              <w:bottom w:type="dxa" w:w="60"/>
              <w:right w:type="dxa" w:w="100"/>
            </w:tcMar>
          </w:tcPr>
          <w:p>
            <w:pPr>
              <w:spacing w:after="0" w:line="260"/>
            </w:pPr>
            <w:r>
              <w:rPr>
                <w:color w:val="222222"/>
                <w:sz w:val="20"/>
                <w:szCs w:val="20"/>
              </w:rPr>
              <w:t xml:space="preserve">Instruksi ambigu → bot menanyakan klarifikasi dengan opsi tombol (maks. 1 pertanyaan per giliran)</w:t>
            </w:r>
          </w:p>
        </w:tc>
      </w:tr>
    </w:tbl>
    <w:p>
      <w:pPr>
        <w:pStyle w:val="Heading2"/>
        <w:spacing w:after="120" w:before="280"/>
      </w:pPr>
      <w:r>
        <w:rPr>
          <w:b/>
          <w:bCs/>
          <w:color w:val="0E7C7B"/>
          <w:sz w:val="25"/>
          <w:szCs w:val="25"/>
        </w:rPr>
        <w:t xml:space="preserve">4.3 UC-03: Pembuatan Artikel Blog</w:t>
      </w:r>
    </w:p>
    <w:p>
      <w:pPr>
        <w:spacing w:after="120" w:line="300"/>
        <w:jc w:val="both"/>
      </w:pPr>
      <w:r>
        <w:rPr>
          <w:sz w:val="22"/>
          <w:szCs w:val="22"/>
        </w:rPr>
        <w:t xml:space="preserve">Trigger: intent konten. Alur: agent menyusun outline → draft artikel penuh + gambar sampul → preview → approve → tayang (atau terjadwal). Aturan: artikel memakai gaya bahasa profil tenant; kuota artikel bulan berjalan dicek sebelum job dimulai (FR-BIL-004).</w:t>
      </w:r>
    </w:p>
    <w:p>
      <w:pPr>
        <w:pStyle w:val="Heading2"/>
        <w:spacing w:after="120" w:before="280"/>
      </w:pPr>
      <w:r>
        <w:rPr>
          <w:b/>
          <w:bCs/>
          <w:color w:val="0E7C7B"/>
          <w:sz w:val="25"/>
          <w:szCs w:val="25"/>
        </w:rPr>
        <w:t xml:space="preserve">4.4 UC-04: Langganan &amp; Gagal Bayar</w:t>
      </w:r>
    </w:p>
    <w:p>
      <w:pPr>
        <w:spacing w:after="120" w:line="300"/>
        <w:jc w:val="both"/>
      </w:pPr>
      <w:r>
        <w:rPr>
          <w:sz w:val="22"/>
          <w:szCs w:val="22"/>
        </w:rPr>
        <w:t xml:space="preserve">Alur normal: checkout Xendit → webhook sukses → aktif. Alur gagal bayar: pengingat dunning (FR-BIL-003) → suspensi situs dengan halaman status → pembayaran kembali mengaktifkan otomatis tanpa kehilangan data.</w:t>
      </w:r>
    </w:p>
    <w:p>
      <w:pPr>
        <w:pStyle w:val="Heading2"/>
        <w:spacing w:after="120" w:before="280"/>
      </w:pPr>
      <w:r>
        <w:rPr>
          <w:b/>
          <w:bCs/>
          <w:color w:val="0E7C7B"/>
          <w:sz w:val="25"/>
          <w:szCs w:val="25"/>
        </w:rPr>
        <w:t xml:space="preserve">4.5 UC-05: Aktivasi Custom Domain</w:t>
      </w:r>
    </w:p>
    <w:p>
      <w:pPr>
        <w:spacing w:after="120" w:line="300"/>
        <w:jc w:val="both"/>
      </w:pPr>
      <w:r>
        <w:rPr>
          <w:sz w:val="22"/>
          <w:szCs w:val="22"/>
        </w:rPr>
        <w:t xml:space="preserve">Klien menyebut domain → sistem memvalidasi kepemilikan format → bot mengirim instruksi DNS spesifik registrar populer → verifikasi berkala → TLS otomatis → konfirmasi. Kegagalan umum (record salah/propagasi) dijelaskan bot dengan bahasa awam.</w:t>
      </w:r>
    </w:p>
    <w:p>
      <w:pPr>
        <w:pStyle w:val="Heading1"/>
        <w:spacing w:after="160" w:before="360"/>
      </w:pPr>
      <w:r>
        <w:rPr>
          <w:b/>
          <w:bCs/>
          <w:color w:val="1F4E5F"/>
          <w:sz w:val="30"/>
          <w:szCs w:val="30"/>
        </w:rPr>
        <w:t xml:space="preserve">5. Aturan Bisnis (Business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1F4E5F" w:color="auto" w:val="clear"/>
            <w:tcMar>
              <w:top w:type="dxa" w:w="60"/>
              <w:left w:type="dxa" w:w="100"/>
              <w:bottom w:type="dxa" w:w="60"/>
              <w:right w:type="dxa" w:w="100"/>
            </w:tcMar>
          </w:tcPr>
          <w:p>
            <w:pPr>
              <w:spacing w:after="0" w:line="260"/>
            </w:pPr>
            <w:r>
              <w:rPr>
                <w:b/>
                <w:bCs/>
                <w:color w:val="FFFFFF"/>
                <w:sz w:val="20"/>
                <w:szCs w:val="20"/>
              </w:rPr>
              <w:t xml:space="preserve">ID</w:t>
            </w:r>
          </w:p>
        </w:tc>
        <w:tc>
          <w:tcPr>
            <w:tcW w:type="dxa" w:w="7800"/>
            <w:shd w:fill="1F4E5F" w:color="auto" w:val="clear"/>
            <w:tcMar>
              <w:top w:type="dxa" w:w="60"/>
              <w:left w:type="dxa" w:w="100"/>
              <w:bottom w:type="dxa" w:w="60"/>
              <w:right w:type="dxa" w:w="100"/>
            </w:tcMar>
          </w:tcPr>
          <w:p>
            <w:pPr>
              <w:spacing w:after="0" w:line="260"/>
            </w:pPr>
            <w:r>
              <w:rPr>
                <w:b/>
                <w:bCs/>
                <w:color w:val="FFFFFF"/>
                <w:sz w:val="20"/>
                <w:szCs w:val="20"/>
              </w:rPr>
              <w:t xml:space="preserve">Aturan</w:t>
            </w:r>
          </w:p>
        </w:tc>
      </w:tr>
      <w:tr>
        <w:tc>
          <w:tcPr>
            <w:tcW w:type="dxa" w:w="1200"/>
            <w:tcMar>
              <w:top w:type="dxa" w:w="60"/>
              <w:left w:type="dxa" w:w="100"/>
              <w:bottom w:type="dxa" w:w="60"/>
              <w:right w:type="dxa" w:w="100"/>
            </w:tcMar>
          </w:tcPr>
          <w:p>
            <w:pPr>
              <w:spacing w:after="0" w:line="260"/>
            </w:pPr>
            <w:r>
              <w:rPr>
                <w:color w:val="222222"/>
                <w:sz w:val="20"/>
                <w:szCs w:val="20"/>
              </w:rPr>
              <w:t xml:space="preserve">BRU-01</w:t>
            </w:r>
          </w:p>
        </w:tc>
        <w:tc>
          <w:tcPr>
            <w:tcW w:type="dxa" w:w="7800"/>
            <w:tcMar>
              <w:top w:type="dxa" w:w="60"/>
              <w:left w:type="dxa" w:w="100"/>
              <w:bottom w:type="dxa" w:w="60"/>
              <w:right w:type="dxa" w:w="100"/>
            </w:tcMar>
          </w:tcPr>
          <w:p>
            <w:pPr>
              <w:spacing w:after="0" w:line="260"/>
            </w:pPr>
            <w:r>
              <w:rPr>
                <w:color w:val="222222"/>
                <w:sz w:val="20"/>
                <w:szCs w:val="20"/>
              </w:rPr>
              <w:t xml:space="preserve">Satu tenant = satu website aktif (MVP). Website tambahan memerlukan tenant/langganan terpisah.</w:t>
            </w:r>
          </w:p>
        </w:tc>
      </w:tr>
      <w:tr>
        <w:tc>
          <w:tcPr>
            <w:tcW w:type="dxa" w:w="1200"/>
            <w:shd w:fill="EAF2F2" w:color="auto" w:val="clear"/>
            <w:tcMar>
              <w:top w:type="dxa" w:w="60"/>
              <w:left w:type="dxa" w:w="100"/>
              <w:bottom w:type="dxa" w:w="60"/>
              <w:right w:type="dxa" w:w="100"/>
            </w:tcMar>
          </w:tcPr>
          <w:p>
            <w:pPr>
              <w:spacing w:after="0" w:line="260"/>
            </w:pPr>
            <w:r>
              <w:rPr>
                <w:color w:val="222222"/>
                <w:sz w:val="20"/>
                <w:szCs w:val="20"/>
              </w:rPr>
              <w:t xml:space="preserve">BRU-02</w:t>
            </w:r>
          </w:p>
        </w:tc>
        <w:tc>
          <w:tcPr>
            <w:tcW w:type="dxa" w:w="7800"/>
            <w:shd w:fill="EAF2F2" w:color="auto" w:val="clear"/>
            <w:tcMar>
              <w:top w:type="dxa" w:w="60"/>
              <w:left w:type="dxa" w:w="100"/>
              <w:bottom w:type="dxa" w:w="60"/>
              <w:right w:type="dxa" w:w="100"/>
            </w:tcMar>
          </w:tcPr>
          <w:p>
            <w:pPr>
              <w:spacing w:after="0" w:line="260"/>
            </w:pPr>
            <w:r>
              <w:rPr>
                <w:color w:val="222222"/>
                <w:sz w:val="20"/>
                <w:szCs w:val="20"/>
              </w:rPr>
              <w:t xml:space="preserve">Tidak ada publikasi tanpa approval eksplisit klien pada revisi spesifik yang dipreview.</w:t>
            </w:r>
          </w:p>
        </w:tc>
      </w:tr>
      <w:tr>
        <w:tc>
          <w:tcPr>
            <w:tcW w:type="dxa" w:w="1200"/>
            <w:tcMar>
              <w:top w:type="dxa" w:w="60"/>
              <w:left w:type="dxa" w:w="100"/>
              <w:bottom w:type="dxa" w:w="60"/>
              <w:right w:type="dxa" w:w="100"/>
            </w:tcMar>
          </w:tcPr>
          <w:p>
            <w:pPr>
              <w:spacing w:after="0" w:line="260"/>
            </w:pPr>
            <w:r>
              <w:rPr>
                <w:color w:val="222222"/>
                <w:sz w:val="20"/>
                <w:szCs w:val="20"/>
              </w:rPr>
              <w:t xml:space="preserve">BRU-03</w:t>
            </w:r>
          </w:p>
        </w:tc>
        <w:tc>
          <w:tcPr>
            <w:tcW w:type="dxa" w:w="7800"/>
            <w:tcMar>
              <w:top w:type="dxa" w:w="60"/>
              <w:left w:type="dxa" w:w="100"/>
              <w:bottom w:type="dxa" w:w="60"/>
              <w:right w:type="dxa" w:w="100"/>
            </w:tcMar>
          </w:tcPr>
          <w:p>
            <w:pPr>
              <w:spacing w:after="0" w:line="260"/>
            </w:pPr>
            <w:r>
              <w:rPr>
                <w:color w:val="222222"/>
                <w:sz w:val="20"/>
                <w:szCs w:val="20"/>
              </w:rPr>
              <w:t xml:space="preserve">Slug subdomain unik global, 3–30 karakter, alfanumerik+dash, tidak boleh kata terlarang.</w:t>
            </w:r>
          </w:p>
        </w:tc>
      </w:tr>
      <w:tr>
        <w:tc>
          <w:tcPr>
            <w:tcW w:type="dxa" w:w="1200"/>
            <w:shd w:fill="EAF2F2" w:color="auto" w:val="clear"/>
            <w:tcMar>
              <w:top w:type="dxa" w:w="60"/>
              <w:left w:type="dxa" w:w="100"/>
              <w:bottom w:type="dxa" w:w="60"/>
              <w:right w:type="dxa" w:w="100"/>
            </w:tcMar>
          </w:tcPr>
          <w:p>
            <w:pPr>
              <w:spacing w:after="0" w:line="260"/>
            </w:pPr>
            <w:r>
              <w:rPr>
                <w:color w:val="222222"/>
                <w:sz w:val="20"/>
                <w:szCs w:val="20"/>
              </w:rPr>
              <w:t xml:space="preserve">BRU-04</w:t>
            </w:r>
          </w:p>
        </w:tc>
        <w:tc>
          <w:tcPr>
            <w:tcW w:type="dxa" w:w="7800"/>
            <w:shd w:fill="EAF2F2" w:color="auto" w:val="clear"/>
            <w:tcMar>
              <w:top w:type="dxa" w:w="60"/>
              <w:left w:type="dxa" w:w="100"/>
              <w:bottom w:type="dxa" w:w="60"/>
              <w:right w:type="dxa" w:w="100"/>
            </w:tcMar>
          </w:tcPr>
          <w:p>
            <w:pPr>
              <w:spacing w:after="0" w:line="260"/>
            </w:pPr>
            <w:r>
              <w:rPr>
                <w:color w:val="222222"/>
                <w:sz w:val="20"/>
                <w:szCs w:val="20"/>
              </w:rPr>
              <w:t xml:space="preserve">Job AI hanya berjalan bila langganan aktif dan kuota tersedia; trial dibatasi 1 siklus build + 5 revisi.</w:t>
            </w:r>
          </w:p>
        </w:tc>
      </w:tr>
      <w:tr>
        <w:tc>
          <w:tcPr>
            <w:tcW w:type="dxa" w:w="1200"/>
            <w:tcMar>
              <w:top w:type="dxa" w:w="60"/>
              <w:left w:type="dxa" w:w="100"/>
              <w:bottom w:type="dxa" w:w="60"/>
              <w:right w:type="dxa" w:w="100"/>
            </w:tcMar>
          </w:tcPr>
          <w:p>
            <w:pPr>
              <w:spacing w:after="0" w:line="260"/>
            </w:pPr>
            <w:r>
              <w:rPr>
                <w:color w:val="222222"/>
                <w:sz w:val="20"/>
                <w:szCs w:val="20"/>
              </w:rPr>
              <w:t xml:space="preserve">BRU-05</w:t>
            </w:r>
          </w:p>
        </w:tc>
        <w:tc>
          <w:tcPr>
            <w:tcW w:type="dxa" w:w="7800"/>
            <w:tcMar>
              <w:top w:type="dxa" w:w="60"/>
              <w:left w:type="dxa" w:w="100"/>
              <w:bottom w:type="dxa" w:w="60"/>
              <w:right w:type="dxa" w:w="100"/>
            </w:tcMar>
          </w:tcPr>
          <w:p>
            <w:pPr>
              <w:spacing w:after="0" w:line="260"/>
            </w:pPr>
            <w:r>
              <w:rPr>
                <w:color w:val="222222"/>
                <w:sz w:val="20"/>
                <w:szCs w:val="20"/>
              </w:rPr>
              <w:t xml:space="preserve">Pesan keluar WA di luar jendela 24 jam wajib memakai template tersertifikasi Meta.</w:t>
            </w:r>
          </w:p>
        </w:tc>
      </w:tr>
      <w:tr>
        <w:tc>
          <w:tcPr>
            <w:tcW w:type="dxa" w:w="1200"/>
            <w:shd w:fill="EAF2F2" w:color="auto" w:val="clear"/>
            <w:tcMar>
              <w:top w:type="dxa" w:w="60"/>
              <w:left w:type="dxa" w:w="100"/>
              <w:bottom w:type="dxa" w:w="60"/>
              <w:right w:type="dxa" w:w="100"/>
            </w:tcMar>
          </w:tcPr>
          <w:p>
            <w:pPr>
              <w:spacing w:after="0" w:line="260"/>
            </w:pPr>
            <w:r>
              <w:rPr>
                <w:color w:val="222222"/>
                <w:sz w:val="20"/>
                <w:szCs w:val="20"/>
              </w:rPr>
              <w:t xml:space="preserve">BRU-06</w:t>
            </w:r>
          </w:p>
        </w:tc>
        <w:tc>
          <w:tcPr>
            <w:tcW w:type="dxa" w:w="7800"/>
            <w:shd w:fill="EAF2F2" w:color="auto" w:val="clear"/>
            <w:tcMar>
              <w:top w:type="dxa" w:w="60"/>
              <w:left w:type="dxa" w:w="100"/>
              <w:bottom w:type="dxa" w:w="60"/>
              <w:right w:type="dxa" w:w="100"/>
            </w:tcMar>
          </w:tcPr>
          <w:p>
            <w:pPr>
              <w:spacing w:after="0" w:line="260"/>
            </w:pPr>
            <w:r>
              <w:rPr>
                <w:color w:val="222222"/>
                <w:sz w:val="20"/>
                <w:szCs w:val="20"/>
              </w:rPr>
              <w:t xml:space="preserve">Konten yang melanggar kebijakan (ilegal, menyesatkan, SARA, dewasa) ditolak dan dicatat; pelanggaran berulang dapat menonaktifkan tenant.</w:t>
            </w:r>
          </w:p>
        </w:tc>
      </w:tr>
      <w:tr>
        <w:tc>
          <w:tcPr>
            <w:tcW w:type="dxa" w:w="1200"/>
            <w:tcMar>
              <w:top w:type="dxa" w:w="60"/>
              <w:left w:type="dxa" w:w="100"/>
              <w:bottom w:type="dxa" w:w="60"/>
              <w:right w:type="dxa" w:w="100"/>
            </w:tcMar>
          </w:tcPr>
          <w:p>
            <w:pPr>
              <w:spacing w:after="0" w:line="260"/>
            </w:pPr>
            <w:r>
              <w:rPr>
                <w:color w:val="222222"/>
                <w:sz w:val="20"/>
                <w:szCs w:val="20"/>
              </w:rPr>
              <w:t xml:space="preserve">BRU-07</w:t>
            </w:r>
          </w:p>
        </w:tc>
        <w:tc>
          <w:tcPr>
            <w:tcW w:type="dxa" w:w="7800"/>
            <w:tcMar>
              <w:top w:type="dxa" w:w="60"/>
              <w:left w:type="dxa" w:w="100"/>
              <w:bottom w:type="dxa" w:w="60"/>
              <w:right w:type="dxa" w:w="100"/>
            </w:tcMar>
          </w:tcPr>
          <w:p>
            <w:pPr>
              <w:spacing w:after="0" w:line="260"/>
            </w:pPr>
            <w:r>
              <w:rPr>
                <w:color w:val="222222"/>
                <w:sz w:val="20"/>
                <w:szCs w:val="20"/>
              </w:rPr>
              <w:t xml:space="preserve">Data tenant yang berhenti disimpan 90 hari lalu dihapus permanen, kecuali diminta lebih cepat (hak hapus UU PDP).</w:t>
            </w:r>
          </w:p>
        </w:tc>
      </w:tr>
      <w:tr>
        <w:tc>
          <w:tcPr>
            <w:tcW w:type="dxa" w:w="1200"/>
            <w:shd w:fill="EAF2F2" w:color="auto" w:val="clear"/>
            <w:tcMar>
              <w:top w:type="dxa" w:w="60"/>
              <w:left w:type="dxa" w:w="100"/>
              <w:bottom w:type="dxa" w:w="60"/>
              <w:right w:type="dxa" w:w="100"/>
            </w:tcMar>
          </w:tcPr>
          <w:p>
            <w:pPr>
              <w:spacing w:after="0" w:line="260"/>
            </w:pPr>
            <w:r>
              <w:rPr>
                <w:color w:val="222222"/>
                <w:sz w:val="20"/>
                <w:szCs w:val="20"/>
              </w:rPr>
              <w:t xml:space="preserve">BRU-08</w:t>
            </w:r>
          </w:p>
        </w:tc>
        <w:tc>
          <w:tcPr>
            <w:tcW w:type="dxa" w:w="7800"/>
            <w:shd w:fill="EAF2F2" w:color="auto" w:val="clear"/>
            <w:tcMar>
              <w:top w:type="dxa" w:w="60"/>
              <w:left w:type="dxa" w:w="100"/>
              <w:bottom w:type="dxa" w:w="60"/>
              <w:right w:type="dxa" w:w="100"/>
            </w:tcMar>
          </w:tcPr>
          <w:p>
            <w:pPr>
              <w:spacing w:after="0" w:line="260"/>
            </w:pPr>
            <w:r>
              <w:rPr>
                <w:color w:val="222222"/>
                <w:sz w:val="20"/>
                <w:szCs w:val="20"/>
              </w:rPr>
              <w:t xml:space="preserve">Downgrade paket tidak menghapus konten; konten melebihi batas paket menjadi read-only.</w:t>
            </w:r>
          </w:p>
        </w:tc>
      </w:tr>
    </w:tbl>
    <w:p>
      <w:pPr>
        <w:pStyle w:val="Heading1"/>
        <w:spacing w:after="160" w:before="360"/>
      </w:pPr>
      <w:r>
        <w:rPr>
          <w:b/>
          <w:bCs/>
          <w:color w:val="1F4E5F"/>
          <w:sz w:val="30"/>
          <w:szCs w:val="30"/>
        </w:rPr>
        <w:t xml:space="preserve">6. State Machine Utama</w:t>
      </w:r>
    </w:p>
    <w:p>
      <w:pPr>
        <w:pStyle w:val="Heading2"/>
        <w:spacing w:after="120" w:before="280"/>
      </w:pPr>
      <w:r>
        <w:rPr>
          <w:b/>
          <w:bCs/>
          <w:color w:val="0E7C7B"/>
          <w:sz w:val="25"/>
          <w:szCs w:val="25"/>
        </w:rPr>
        <w:t xml:space="preserve">6.1 Status Website</w:t>
      </w:r>
    </w:p>
    <w:p>
      <w:pPr>
        <w:spacing w:after="120" w:line="300"/>
        <w:jc w:val="both"/>
      </w:pPr>
      <w:r>
        <w:rPr>
          <w:sz w:val="22"/>
          <w:szCs w:val="22"/>
        </w:rPr>
        <w:t xml:space="preserve">DRAFTING → PREVIEW_READY → (APPROVED → PUBLISHED) | (REJECTED → DRAFTING). Dari PUBLISHED: perubahan baru membuat cabang DRAFTING tanpa mengubah versi tayang; SUSPENDED (gagal bayar/pelanggaran) ↔ PUBLISHED; ARCHIVED setelah masa tenggang.</w:t>
      </w:r>
    </w:p>
    <w:p>
      <w:pPr>
        <w:pStyle w:val="Heading2"/>
        <w:spacing w:after="120" w:before="280"/>
      </w:pPr>
      <w:r>
        <w:rPr>
          <w:b/>
          <w:bCs/>
          <w:color w:val="0E7C7B"/>
          <w:sz w:val="25"/>
          <w:szCs w:val="25"/>
        </w:rPr>
        <w:t xml:space="preserve">6.2 Status AgentJob</w:t>
      </w:r>
    </w:p>
    <w:p>
      <w:pPr>
        <w:spacing w:after="120" w:line="300"/>
        <w:jc w:val="both"/>
      </w:pPr>
      <w:r>
        <w:rPr>
          <w:sz w:val="22"/>
          <w:szCs w:val="22"/>
        </w:rPr>
        <w:t xml:space="preserve">QUEUED → RUNNING → (DONE | NEEDS_INFO | FAILED). NEEDS_INFO kembali ke QUEUED setelah klien menjawab. FAILED di-retry otomatis maks. 2x sebelum eskalasi.</w:t>
      </w:r>
    </w:p>
    <w:p>
      <w:pPr>
        <w:pStyle w:val="Heading2"/>
        <w:spacing w:after="120" w:before="280"/>
      </w:pPr>
      <w:r>
        <w:rPr>
          <w:b/>
          <w:bCs/>
          <w:color w:val="0E7C7B"/>
          <w:sz w:val="25"/>
          <w:szCs w:val="25"/>
        </w:rPr>
        <w:t xml:space="preserve">6.3 Status Subscription</w:t>
      </w:r>
    </w:p>
    <w:p>
      <w:pPr>
        <w:spacing w:after="120" w:line="300"/>
        <w:jc w:val="both"/>
      </w:pPr>
      <w:r>
        <w:rPr>
          <w:sz w:val="22"/>
          <w:szCs w:val="22"/>
        </w:rPr>
        <w:t xml:space="preserve">TRIALING → ACTIVE → PAST_DUE → SUSPENDED → (ACTIVE kembali | CANCELED → ARCHIVED).</w:t>
      </w:r>
    </w:p>
    <w:p>
      <w:pPr>
        <w:pStyle w:val="Heading1"/>
        <w:spacing w:after="160" w:before="360"/>
      </w:pPr>
      <w:r>
        <w:rPr>
          <w:b/>
          <w:bCs/>
          <w:color w:val="1F4E5F"/>
          <w:sz w:val="30"/>
          <w:szCs w:val="30"/>
        </w:rPr>
        <w:t xml:space="preserve">7. Matriks Keterlacakan (Ringkas)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1F4E5F" w:color="auto" w:val="clear"/>
            <w:tcMar>
              <w:top w:type="dxa" w:w="60"/>
              <w:left w:type="dxa" w:w="100"/>
              <w:bottom w:type="dxa" w:w="60"/>
              <w:right w:type="dxa" w:w="100"/>
            </w:tcMar>
          </w:tcPr>
          <w:p>
            <w:pPr>
              <w:spacing w:after="0" w:line="260"/>
            </w:pPr>
            <w:r>
              <w:rPr>
                <w:b/>
                <w:bCs/>
                <w:color w:val="FFFFFF"/>
                <w:sz w:val="20"/>
                <w:szCs w:val="20"/>
              </w:rPr>
              <w:t xml:space="preserve">Kebutuhan Bisnis (BRD)</w:t>
            </w:r>
          </w:p>
        </w:tc>
        <w:tc>
          <w:tcPr>
            <w:tcW w:type="dxa" w:w="2400"/>
            <w:shd w:fill="1F4E5F" w:color="auto" w:val="clear"/>
            <w:tcMar>
              <w:top w:type="dxa" w:w="60"/>
              <w:left w:type="dxa" w:w="100"/>
              <w:bottom w:type="dxa" w:w="60"/>
              <w:right w:type="dxa" w:w="100"/>
            </w:tcMar>
          </w:tcPr>
          <w:p>
            <w:pPr>
              <w:spacing w:after="0" w:line="260"/>
            </w:pPr>
            <w:r>
              <w:rPr>
                <w:b/>
                <w:bCs/>
                <w:color w:val="FFFFFF"/>
                <w:sz w:val="20"/>
                <w:szCs w:val="20"/>
              </w:rPr>
              <w:t xml:space="preserve">Fitur (PRD)</w:t>
            </w:r>
          </w:p>
        </w:tc>
        <w:tc>
          <w:tcPr>
            <w:tcW w:type="dxa" w:w="3600"/>
            <w:shd w:fill="1F4E5F" w:color="auto" w:val="clear"/>
            <w:tcMar>
              <w:top w:type="dxa" w:w="60"/>
              <w:left w:type="dxa" w:w="100"/>
              <w:bottom w:type="dxa" w:w="60"/>
              <w:right w:type="dxa" w:w="100"/>
            </w:tcMar>
          </w:tcPr>
          <w:p>
            <w:pPr>
              <w:spacing w:after="0" w:line="260"/>
            </w:pPr>
            <w:r>
              <w:rPr>
                <w:b/>
                <w:bCs/>
                <w:color w:val="FFFFFF"/>
                <w:sz w:val="20"/>
                <w:szCs w:val="20"/>
              </w:rPr>
              <w:t xml:space="preserve">FR Utama (FRD)</w:t>
            </w:r>
          </w:p>
        </w:tc>
      </w:tr>
      <w:tr>
        <w:tc>
          <w:tcPr>
            <w:tcW w:type="dxa" w:w="3000"/>
            <w:tcMar>
              <w:top w:type="dxa" w:w="60"/>
              <w:left w:type="dxa" w:w="100"/>
              <w:bottom w:type="dxa" w:w="60"/>
              <w:right w:type="dxa" w:w="100"/>
            </w:tcMar>
          </w:tcPr>
          <w:p>
            <w:pPr>
              <w:spacing w:after="0" w:line="260"/>
            </w:pPr>
            <w:r>
              <w:rPr>
                <w:color w:val="222222"/>
                <w:sz w:val="20"/>
                <w:szCs w:val="20"/>
              </w:rPr>
              <w:t xml:space="preserve">BR-01 Chat-only building</w:t>
            </w:r>
          </w:p>
        </w:tc>
        <w:tc>
          <w:tcPr>
            <w:tcW w:type="dxa" w:w="2400"/>
            <w:tcMar>
              <w:top w:type="dxa" w:w="60"/>
              <w:left w:type="dxa" w:w="100"/>
              <w:bottom w:type="dxa" w:w="60"/>
              <w:right w:type="dxa" w:w="100"/>
            </w:tcMar>
          </w:tcPr>
          <w:p>
            <w:pPr>
              <w:spacing w:after="0" w:line="260"/>
            </w:pPr>
            <w:r>
              <w:rPr>
                <w:color w:val="222222"/>
                <w:sz w:val="20"/>
                <w:szCs w:val="20"/>
              </w:rPr>
              <w:t xml:space="preserve">F-01, F-02, F-03</w:t>
            </w:r>
          </w:p>
        </w:tc>
        <w:tc>
          <w:tcPr>
            <w:tcW w:type="dxa" w:w="3600"/>
            <w:tcMar>
              <w:top w:type="dxa" w:w="60"/>
              <w:left w:type="dxa" w:w="100"/>
              <w:bottom w:type="dxa" w:w="60"/>
              <w:right w:type="dxa" w:w="100"/>
            </w:tcMar>
          </w:tcPr>
          <w:p>
            <w:pPr>
              <w:spacing w:after="0" w:line="260"/>
            </w:pPr>
            <w:r>
              <w:rPr>
                <w:color w:val="222222"/>
                <w:sz w:val="20"/>
                <w:szCs w:val="20"/>
              </w:rPr>
              <w:t xml:space="preserve">FR-CHN-001..004, FR-CNV-001..003</w:t>
            </w:r>
          </w:p>
        </w:tc>
      </w:tr>
      <w:tr>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BR-02 Kualitas konsisten</w:t>
            </w:r>
          </w:p>
        </w:tc>
        <w:tc>
          <w:tcPr>
            <w:tcW w:type="dxa" w:w="2400"/>
            <w:shd w:fill="EAF2F2" w:color="auto" w:val="clear"/>
            <w:tcMar>
              <w:top w:type="dxa" w:w="60"/>
              <w:left w:type="dxa" w:w="100"/>
              <w:bottom w:type="dxa" w:w="60"/>
              <w:right w:type="dxa" w:w="100"/>
            </w:tcMar>
          </w:tcPr>
          <w:p>
            <w:pPr>
              <w:spacing w:after="0" w:line="260"/>
            </w:pPr>
            <w:r>
              <w:rPr>
                <w:color w:val="222222"/>
                <w:sz w:val="20"/>
                <w:szCs w:val="20"/>
              </w:rPr>
              <w:t xml:space="preserve">F-04, F-05</w:t>
            </w:r>
          </w:p>
        </w:tc>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FR-AGT-001..003, FR-CMP-001..005</w:t>
            </w:r>
          </w:p>
        </w:tc>
      </w:tr>
      <w:tr>
        <w:tc>
          <w:tcPr>
            <w:tcW w:type="dxa" w:w="3000"/>
            <w:tcMar>
              <w:top w:type="dxa" w:w="60"/>
              <w:left w:type="dxa" w:w="100"/>
              <w:bottom w:type="dxa" w:w="60"/>
              <w:right w:type="dxa" w:w="100"/>
            </w:tcMar>
          </w:tcPr>
          <w:p>
            <w:pPr>
              <w:spacing w:after="0" w:line="260"/>
            </w:pPr>
            <w:r>
              <w:rPr>
                <w:color w:val="222222"/>
                <w:sz w:val="20"/>
                <w:szCs w:val="20"/>
              </w:rPr>
              <w:t xml:space="preserve">BR-03 Approval-first</w:t>
            </w:r>
          </w:p>
        </w:tc>
        <w:tc>
          <w:tcPr>
            <w:tcW w:type="dxa" w:w="2400"/>
            <w:tcMar>
              <w:top w:type="dxa" w:w="60"/>
              <w:left w:type="dxa" w:w="100"/>
              <w:bottom w:type="dxa" w:w="60"/>
              <w:right w:type="dxa" w:w="100"/>
            </w:tcMar>
          </w:tcPr>
          <w:p>
            <w:pPr>
              <w:spacing w:after="0" w:line="260"/>
            </w:pPr>
            <w:r>
              <w:rPr>
                <w:color w:val="222222"/>
                <w:sz w:val="20"/>
                <w:szCs w:val="20"/>
              </w:rPr>
              <w:t xml:space="preserve">F-07</w:t>
            </w:r>
          </w:p>
        </w:tc>
        <w:tc>
          <w:tcPr>
            <w:tcW w:type="dxa" w:w="3600"/>
            <w:tcMar>
              <w:top w:type="dxa" w:w="60"/>
              <w:left w:type="dxa" w:w="100"/>
              <w:bottom w:type="dxa" w:w="60"/>
              <w:right w:type="dxa" w:w="100"/>
            </w:tcMar>
          </w:tcPr>
          <w:p>
            <w:pPr>
              <w:spacing w:after="0" w:line="260"/>
            </w:pPr>
            <w:r>
              <w:rPr>
                <w:color w:val="222222"/>
                <w:sz w:val="20"/>
                <w:szCs w:val="20"/>
              </w:rPr>
              <w:t xml:space="preserve">FR-PUB-001..003, BRU-02</w:t>
            </w:r>
          </w:p>
        </w:tc>
      </w:tr>
      <w:tr>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BR-04 Editing via chat</w:t>
            </w:r>
          </w:p>
        </w:tc>
        <w:tc>
          <w:tcPr>
            <w:tcW w:type="dxa" w:w="2400"/>
            <w:shd w:fill="EAF2F2" w:color="auto" w:val="clear"/>
            <w:tcMar>
              <w:top w:type="dxa" w:w="60"/>
              <w:left w:type="dxa" w:w="100"/>
              <w:bottom w:type="dxa" w:w="60"/>
              <w:right w:type="dxa" w:w="100"/>
            </w:tcMar>
          </w:tcPr>
          <w:p>
            <w:pPr>
              <w:spacing w:after="0" w:line="260"/>
            </w:pPr>
            <w:r>
              <w:rPr>
                <w:color w:val="222222"/>
                <w:sz w:val="20"/>
                <w:szCs w:val="20"/>
              </w:rPr>
              <w:t xml:space="preserve">F-06, F-10</w:t>
            </w:r>
          </w:p>
        </w:tc>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FR-AGT-004, FR-CNT-001..004</w:t>
            </w:r>
          </w:p>
        </w:tc>
      </w:tr>
      <w:tr>
        <w:tc>
          <w:tcPr>
            <w:tcW w:type="dxa" w:w="3000"/>
            <w:tcMar>
              <w:top w:type="dxa" w:w="60"/>
              <w:left w:type="dxa" w:w="100"/>
              <w:bottom w:type="dxa" w:w="60"/>
              <w:right w:type="dxa" w:w="100"/>
            </w:tcMar>
          </w:tcPr>
          <w:p>
            <w:pPr>
              <w:spacing w:after="0" w:line="260"/>
            </w:pPr>
            <w:r>
              <w:rPr>
                <w:color w:val="222222"/>
                <w:sz w:val="20"/>
                <w:szCs w:val="20"/>
              </w:rPr>
              <w:t xml:space="preserve">BR-05 Billing otomatis</w:t>
            </w:r>
          </w:p>
        </w:tc>
        <w:tc>
          <w:tcPr>
            <w:tcW w:type="dxa" w:w="2400"/>
            <w:tcMar>
              <w:top w:type="dxa" w:w="60"/>
              <w:left w:type="dxa" w:w="100"/>
              <w:bottom w:type="dxa" w:w="60"/>
              <w:right w:type="dxa" w:w="100"/>
            </w:tcMar>
          </w:tcPr>
          <w:p>
            <w:pPr>
              <w:spacing w:after="0" w:line="260"/>
            </w:pPr>
            <w:r>
              <w:rPr>
                <w:color w:val="222222"/>
                <w:sz w:val="20"/>
                <w:szCs w:val="20"/>
              </w:rPr>
              <w:t xml:space="preserve">F-12</w:t>
            </w:r>
          </w:p>
        </w:tc>
        <w:tc>
          <w:tcPr>
            <w:tcW w:type="dxa" w:w="3600"/>
            <w:tcMar>
              <w:top w:type="dxa" w:w="60"/>
              <w:left w:type="dxa" w:w="100"/>
              <w:bottom w:type="dxa" w:w="60"/>
              <w:right w:type="dxa" w:w="100"/>
            </w:tcMar>
          </w:tcPr>
          <w:p>
            <w:pPr>
              <w:spacing w:after="0" w:line="260"/>
            </w:pPr>
            <w:r>
              <w:rPr>
                <w:color w:val="222222"/>
                <w:sz w:val="20"/>
                <w:szCs w:val="20"/>
              </w:rPr>
              <w:t xml:space="preserve">FR-BIL-001..003</w:t>
            </w:r>
          </w:p>
        </w:tc>
      </w:tr>
      <w:tr>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BR-06 Custom domain</w:t>
            </w:r>
          </w:p>
        </w:tc>
        <w:tc>
          <w:tcPr>
            <w:tcW w:type="dxa" w:w="2400"/>
            <w:shd w:fill="EAF2F2" w:color="auto" w:val="clear"/>
            <w:tcMar>
              <w:top w:type="dxa" w:w="60"/>
              <w:left w:type="dxa" w:w="100"/>
              <w:bottom w:type="dxa" w:w="60"/>
              <w:right w:type="dxa" w:w="100"/>
            </w:tcMar>
          </w:tcPr>
          <w:p>
            <w:pPr>
              <w:spacing w:after="0" w:line="260"/>
            </w:pPr>
            <w:r>
              <w:rPr>
                <w:color w:val="222222"/>
                <w:sz w:val="20"/>
                <w:szCs w:val="20"/>
              </w:rPr>
              <w:t xml:space="preserve">F-15</w:t>
            </w:r>
          </w:p>
        </w:tc>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FR-PUB-006</w:t>
            </w:r>
          </w:p>
        </w:tc>
      </w:tr>
      <w:tr>
        <w:tc>
          <w:tcPr>
            <w:tcW w:type="dxa" w:w="3000"/>
            <w:tcMar>
              <w:top w:type="dxa" w:w="60"/>
              <w:left w:type="dxa" w:w="100"/>
              <w:bottom w:type="dxa" w:w="60"/>
              <w:right w:type="dxa" w:w="100"/>
            </w:tcMar>
          </w:tcPr>
          <w:p>
            <w:pPr>
              <w:spacing w:after="0" w:line="260"/>
            </w:pPr>
            <w:r>
              <w:rPr>
                <w:color w:val="222222"/>
                <w:sz w:val="20"/>
                <w:szCs w:val="20"/>
              </w:rPr>
              <w:t xml:space="preserve">BR-07 Monitoring internal</w:t>
            </w:r>
          </w:p>
        </w:tc>
        <w:tc>
          <w:tcPr>
            <w:tcW w:type="dxa" w:w="2400"/>
            <w:tcMar>
              <w:top w:type="dxa" w:w="60"/>
              <w:left w:type="dxa" w:w="100"/>
              <w:bottom w:type="dxa" w:w="60"/>
              <w:right w:type="dxa" w:w="100"/>
            </w:tcMar>
          </w:tcPr>
          <w:p>
            <w:pPr>
              <w:spacing w:after="0" w:line="260"/>
            </w:pPr>
            <w:r>
              <w:rPr>
                <w:color w:val="222222"/>
                <w:sz w:val="20"/>
                <w:szCs w:val="20"/>
              </w:rPr>
              <w:t xml:space="preserve">F-14</w:t>
            </w:r>
          </w:p>
        </w:tc>
        <w:tc>
          <w:tcPr>
            <w:tcW w:type="dxa" w:w="3600"/>
            <w:tcMar>
              <w:top w:type="dxa" w:w="60"/>
              <w:left w:type="dxa" w:w="100"/>
              <w:bottom w:type="dxa" w:w="60"/>
              <w:right w:type="dxa" w:w="100"/>
            </w:tcMar>
          </w:tcPr>
          <w:p>
            <w:pPr>
              <w:spacing w:after="0" w:line="260"/>
            </w:pPr>
            <w:r>
              <w:rPr>
                <w:color w:val="222222"/>
                <w:sz w:val="20"/>
                <w:szCs w:val="20"/>
              </w:rPr>
              <w:t xml:space="preserve">FR-ADM-001..004</w:t>
            </w:r>
          </w:p>
        </w:tc>
      </w:tr>
      <w:tr>
        <w:tc>
          <w:tcPr>
            <w:tcW w:type="dxa" w:w="3000"/>
            <w:shd w:fill="EAF2F2" w:color="auto" w:val="clear"/>
            <w:tcMar>
              <w:top w:type="dxa" w:w="60"/>
              <w:left w:type="dxa" w:w="100"/>
              <w:bottom w:type="dxa" w:w="60"/>
              <w:right w:type="dxa" w:w="100"/>
            </w:tcMar>
          </w:tcPr>
          <w:p>
            <w:pPr>
              <w:spacing w:after="0" w:line="260"/>
            </w:pPr>
            <w:r>
              <w:rPr>
                <w:color w:val="222222"/>
                <w:sz w:val="20"/>
                <w:szCs w:val="20"/>
              </w:rPr>
              <w:t xml:space="preserve">BR-08 Kendali biaya AI</w:t>
            </w:r>
          </w:p>
        </w:tc>
        <w:tc>
          <w:tcPr>
            <w:tcW w:type="dxa" w:w="2400"/>
            <w:shd w:fill="EAF2F2" w:color="auto" w:val="clear"/>
            <w:tcMar>
              <w:top w:type="dxa" w:w="60"/>
              <w:left w:type="dxa" w:w="100"/>
              <w:bottom w:type="dxa" w:w="60"/>
              <w:right w:type="dxa" w:w="100"/>
            </w:tcMar>
          </w:tcPr>
          <w:p>
            <w:pPr>
              <w:spacing w:after="0" w:line="260"/>
            </w:pPr>
            <w:r>
              <w:rPr>
                <w:color w:val="222222"/>
                <w:sz w:val="20"/>
                <w:szCs w:val="20"/>
              </w:rPr>
              <w:t xml:space="preserve">F-13</w:t>
            </w:r>
          </w:p>
        </w:tc>
        <w:tc>
          <w:tcPr>
            <w:tcW w:type="dxa" w:w="3600"/>
            <w:shd w:fill="EAF2F2" w:color="auto" w:val="clear"/>
            <w:tcMar>
              <w:top w:type="dxa" w:w="60"/>
              <w:left w:type="dxa" w:w="100"/>
              <w:bottom w:type="dxa" w:w="60"/>
              <w:right w:type="dxa" w:w="100"/>
            </w:tcMar>
          </w:tcPr>
          <w:p>
            <w:pPr>
              <w:spacing w:after="0" w:line="260"/>
            </w:pPr>
            <w:r>
              <w:rPr>
                <w:color w:val="222222"/>
                <w:sz w:val="20"/>
                <w:szCs w:val="20"/>
              </w:rPr>
              <w:t xml:space="preserve">FR-AGT-005, FR-BIL-004..005</w:t>
            </w:r>
          </w:p>
        </w:tc>
      </w:tr>
      <w:tr>
        <w:tc>
          <w:tcPr>
            <w:tcW w:type="dxa" w:w="3000"/>
            <w:tcMar>
              <w:top w:type="dxa" w:w="60"/>
              <w:left w:type="dxa" w:w="100"/>
              <w:bottom w:type="dxa" w:w="60"/>
              <w:right w:type="dxa" w:w="100"/>
            </w:tcMar>
          </w:tcPr>
          <w:p>
            <w:pPr>
              <w:spacing w:after="0" w:line="260"/>
            </w:pPr>
            <w:r>
              <w:rPr>
                <w:color w:val="222222"/>
                <w:sz w:val="20"/>
                <w:szCs w:val="20"/>
              </w:rPr>
              <w:t xml:space="preserve">BR-12 Ganti vendor LLM</w:t>
            </w:r>
          </w:p>
        </w:tc>
        <w:tc>
          <w:tcPr>
            <w:tcW w:type="dxa" w:w="2400"/>
            <w:tcMar>
              <w:top w:type="dxa" w:w="60"/>
              <w:left w:type="dxa" w:w="100"/>
              <w:bottom w:type="dxa" w:w="60"/>
              <w:right w:type="dxa" w:w="100"/>
            </w:tcMar>
          </w:tcPr>
          <w:p>
            <w:pPr>
              <w:spacing w:after="0" w:line="260"/>
            </w:pPr>
            <w:r>
              <w:rPr>
                <w:color w:val="222222"/>
                <w:sz w:val="20"/>
                <w:szCs w:val="20"/>
              </w:rPr>
              <w:t xml:space="preserve">—</w:t>
            </w:r>
          </w:p>
        </w:tc>
        <w:tc>
          <w:tcPr>
            <w:tcW w:type="dxa" w:w="3600"/>
            <w:tcMar>
              <w:top w:type="dxa" w:w="60"/>
              <w:left w:type="dxa" w:w="100"/>
              <w:bottom w:type="dxa" w:w="60"/>
              <w:right w:type="dxa" w:w="100"/>
            </w:tcMar>
          </w:tcPr>
          <w:p>
            <w:pPr>
              <w:spacing w:after="0" w:line="260"/>
            </w:pPr>
            <w:r>
              <w:rPr>
                <w:color w:val="222222"/>
                <w:sz w:val="20"/>
                <w:szCs w:val="20"/>
              </w:rPr>
              <w:t xml:space="preserve">FR-AGT-008 (rinci di SRS)</w:t>
            </w:r>
          </w:p>
        </w:tc>
      </w:tr>
    </w:tbl>
    <w:p>
      <w:pPr>
        <w:spacing w:after="120" w:line="300"/>
        <w:jc w:val="both"/>
      </w:pPr>
      <w:r>
        <w:rPr>
          <w:i/>
          <w:iCs/>
          <w:sz w:val="22"/>
          <w:szCs w:val="22"/>
        </w:rPr>
        <w:t xml:space="preserve">Kriteria penerimaan per FR diturunkan langsung dari kalimat kebutuhan (dapat diuji), dan wajib dibuat sebagai test case sebelum implementasi tiap modul dimulai.</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FRD – digimaestro.id  —  Hal.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2026-07-03T02:30:55.795Z</dcterms:created>
  <dcterms:modified xsi:type="dcterms:W3CDTF">2026-07-03T02:30:55.795Z</dcterms:modified>
</cp:coreProperties>
</file>

<file path=docProps/custom.xml><?xml version="1.0" encoding="utf-8"?>
<Properties xmlns="http://schemas.openxmlformats.org/officeDocument/2006/custom-properties" xmlns:vt="http://schemas.openxmlformats.org/officeDocument/2006/docPropsVTypes"/>
</file>