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400" w:line="340" w:lineRule="auto"/>
        <w:jc w:val="center"/>
      </w:pPr>
      <w:r>
        <w:rPr>
          <w:b/>
          <w:bCs/>
          <w:color w:val="1F4E5F"/>
          <w:sz w:val="48"/>
          <w:szCs w:val="48"/>
        </w:rPr>
        <w:t xml:space="preserve">Software Requirement Specification (SRS)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Platform Website Builder Berbasis Chatbot &amp; Agentic AI — digimaestro.id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1.2 (Rebrand ke digimaestro.id; fokus tunggal produk)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Tanggal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2 Juli 2026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Pemilik Dokumen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Darusman (Product Owner)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Audiens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Tim pengembang (1–2 developer)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Standar Acuan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Diadaptasi dari IEEE 830 / ISO 29148; panduan web modern Google (web.dev)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Dokumen Terkait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BRD v1.1, PRD v1.1, FRD v1.1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1. Pendahuluan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1.1 Tujuan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Menetapkan spesifikasi perangkat lunak — arsitektur, teknologi, model data, antarmuka, dan kebutuhan non-fungsional — sebagai acuan implementasi kebutuhan fungsional pada FRD v1.1. Versi 1.1 merevisi arsitektur publikasi: situs klien dibangun statis (Astro) dan di-deploy ke shared hosting terpisah, sementara platform (chatbot, agent, portal, n8n) berjalan di VPS.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1.2 Definisi &amp; Singkatan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Satu akun klien beserta website, media, langganan, dan percakapannya.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WABA</w:t>
            </w:r>
          </w:p>
        </w:tc>
        <w:tc>
          <w:tcPr>
            <w:tcW w:type="dxa" w:w="6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WhatsApp Business API (Meta Cloud API).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Site Document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Representasi terstruktur website (pages → sections → props) dalam JSON tervalidasi.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AgentJob</w:t>
            </w:r>
          </w:p>
        </w:tc>
        <w:tc>
          <w:tcPr>
            <w:tcW w:type="dxa" w:w="6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Unit pekerjaan AI asinkron (build/edit/konten) yang diproses worker.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Revision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Snapshot immutable Site Document pada satu titik waktu.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Build Artifact</w:t>
            </w:r>
          </w:p>
        </w:tc>
        <w:tc>
          <w:tcPr>
            <w:tcW w:type="dxa" w:w="6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Hasil build statis Astro (folder HTML/aset) dari satu Revision, disimpan di object storage.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DeployPort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Antarmuka abstraksi pengiriman artefak ke target hosting (cPanel/SSH, dsb.).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CWV</w:t>
            </w:r>
          </w:p>
        </w:tc>
        <w:tc>
          <w:tcPr>
            <w:tcW w:type="dxa" w:w="6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Core Web Vitals (Google): LCP, INP, CLS — metrik pengalaman pengguna web.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1.3 Keputusan Arsitektural Kunci (ADR Ringkas)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00"/>
        <w:gridCol w:w="40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1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4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ADR-1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Modular monolith (bukan microservices), TypeScript end-to-end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Tim 1–2 dev; batas modul ditegakkan lewat struktur paket &amp; dependency rule, bukan jaringan.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ADR-2</w:t>
            </w:r>
          </w:p>
        </w:tc>
        <w:tc>
          <w:tcPr>
            <w:tcW w:type="dxa" w:w="41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Proses web (api) &amp; worker terpisah, berbagi codebase; antrean BullMQ (Redis)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Job AI &amp; build berdurasi panjang tidak boleh memblokir webhook; retry &amp; rate limit bawaan.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ADR-3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Situs klien = statis penuh: Site Document → build Astro → deploy ke shared hosting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CWV terbaik (zero-JS default), biaya hosting sangat rendah, aman (tanpa runtime di sisi situs), sejalan panduan web.dev.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ADR-4</w:t>
            </w:r>
          </w:p>
        </w:tc>
        <w:tc>
          <w:tcPr>
            <w:tcW w:type="dxa" w:w="41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LLM abstraction layer (Port/Adapter)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DeepSeek default berbiaya rendah; provider dapat diganti/dicampur per jenis tugas (BR-12).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ADR-5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PostgreSQL tunggal multi-tenant dengan tenantId di semua tabel domain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Sederhana, cukup untuk 500 tenant; isolasi via kolom + guard di repository layer.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ADR-6</w:t>
            </w:r>
          </w:p>
        </w:tc>
        <w:tc>
          <w:tcPr>
            <w:tcW w:type="dxa" w:w="41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Hosting situs klien: satu akun cPanel (subdomain via cPanel API, custom domain via addon domain, TLS via AutoSSL); deploy rsync/SSH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Memanfaatkan aset yang sudah dimiliki; otomatis penuh via API; dibungkus DeployPort agar mudah bermigrasi (risiko SPOF, lihat BRD RSK-09).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ADR-7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n8n hybrid: logika inti (percakapan, agent, pipeline publish) di kode; n8n untuk notifikasi terjadwal, laporan, alert &amp; integrasi sekunder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Inti tetap testable &amp; SOLID; pekerjaan repetitif berpindah cepat tanpa menyita waktu dev.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ADR-8</w:t>
            </w:r>
          </w:p>
        </w:tc>
        <w:tc>
          <w:tcPr>
            <w:tcW w:type="dxa" w:w="41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VPS &amp; data di data center Indonesia (mis. IDCloudHost/Biznet)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Latensi pengguna lokal &amp; dukungan kepatuhan residensi data UU PDP.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ADR-9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Lapisan tools agent dibangun di atas MCP (Model Context Protocol): kemampuan platform diekspos sebagai MCP server internal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Definisi tool tunggal &amp; terstandar untuk semua model LLM (DeepSeek/pengganti); tool dapat diakses host MCP lain (asisten operator, otomasi masa depan) tanpa integrasi khusus — memperkuat portabilitas vendor.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ADR-10</w:t>
            </w:r>
          </w:p>
        </w:tc>
        <w:tc>
          <w:tcPr>
            <w:tcW w:type="dxa" w:w="41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SEO diperlakukan sebagai subsistem kelas satu (bukan fitur tempelan): terlibat sejak generasi konten, build, hingga pelaporan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SEO adalah alasan utama UMKM membuat website (ditemukan di Google); menjadi nilai jual &amp; pembeda produk.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2. Teknologi &amp; Versi (Stack Terkini)</w:t>
      </w:r>
    </w:p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Prinsip: pakai versi LTS/stabil terbaru saat implementasi dimulai; tabel ini mencantumkan generasi minimum. Dependensi dikunci via lockfile dan diperbarui terjadwal (Renovate/Dependabot).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00"/>
      </w:tblGrid>
      <w:tr>
        <w:trPr>
          <w:tblHeader/>
        </w:trPr>
        <w:tc>
          <w:tcPr>
            <w:tcW w:type="dxa" w:w="1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Lapisan</w:t>
            </w:r>
          </w:p>
        </w:tc>
        <w:tc>
          <w:tcPr>
            <w:tcW w:type="dxa" w:w="3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Node.js 22 LTS, TypeScript 5.x (strict)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ESM murni; tsx untuk dev.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API/webhook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Fastify v5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Plugin resmi: rate-limit, websocket (web chat), schema validation; alternatif ringan: Hono.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ORM &amp; DB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Prisma 6.x + PostgreSQL 16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JSONB untuk Site Document; Prisma Migrate untuk skema.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Antrean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BullMQ 5.x + Redis 7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Job AI, build, deploy, verifikasi DNS.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Validasi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Zod 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Skema komponen, structured output LLM, input API.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Situs klien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Astro 5.x + Tailwind CSS 4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Static output; islands hanya untuk komponen interaktif; komponen library dibangun sebagai komponen Astro.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Portal &amp; admin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React 19 + Vite 6 (atau Next.js App Router)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TanStack Query, Tailwind 4, shadcn/ui.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Monorepo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pnpm workspaces + Turborepo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Paket: api, worker, portal, sites-kit (library komponen), shared.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Vitest 3 + Playwright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Unit, kontrak adapter, e2e, regresi visual komponen.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Kualitas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ESLint 9 (flat config) + Prettier; Lighthouse CI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Budget performa dijalankan di pipeline build situs.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Tools agent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MCP TypeScript SDK (@modelcontextprotocol/sdk)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MCP server in-process/stdio untuk tools platform; bridge ke function-calling DeepSeek.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Otomasi ops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n8n (self-host, container)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Workflow notifikasi/laporan; kredensial di n8n vault.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Umami (self-host)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Website-id per tenant; tanpa cookie pihak ketiga.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Edge platform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Caddy 2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TLS otomatis untuk domain platform (portal, api, preview, umami, n8n).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3. Deskripsi Umum Sistem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3.1 Topologi Runtime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VPS platform (Indonesia, 4 vCPU / 8 GB / NVMe): </w:t>
      </w:r>
      <w:r>
        <w:rPr>
          <w:sz w:val="22"/>
          <w:szCs w:val="22"/>
        </w:rPr>
        <w:t xml:space="preserve">Docker Compose — api (Fastify), worker (BullMQ), portal (React), n8n, Umami, PostgreSQL, Redis, Caddy. Termasuk hosting URL preview draft (ber-token, noindex).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Shared hosting cPanel (terpisah, sudah dimiliki): </w:t>
      </w:r>
      <w:r>
        <w:rPr>
          <w:sz w:val="22"/>
          <w:szCs w:val="22"/>
        </w:rPr>
        <w:t xml:space="preserve">hanya berisi file statis situs klien yang sudah publish. Subdomain &lt;slug&gt;.digimaestro.id dan addon custom domain dikelola via cPanel API; TLS via AutoSSL.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Object storage S3-compatible: </w:t>
      </w:r>
      <w:r>
        <w:rPr>
          <w:sz w:val="22"/>
          <w:szCs w:val="22"/>
        </w:rPr>
        <w:t xml:space="preserve">media tenant + build artifact (10 revisi terakhir per situs) untuk rollback cepat &amp; redeploy lintas target.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3.2 Alur Publish (menggantikan render on-the-fly v1.0)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Approve revisi → worker mengambil Site Document → build Astro (library komponen sites-kit) → optimasi aset → Lighthouse CI budget → unggah artifact ke object storage → DeployPort menyalin ke docroot tenant di shared hosting (rsync incremental) → verifikasi HTTP 200 + smoke check → status PUBLISHED + notifikasi. Rollback = redeploy artifact lama tanpa build ulang.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3.3 Antarmuka Eksternal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</w:t>
            </w:r>
          </w:p>
        </w:tc>
        <w:tc>
          <w:tcPr>
            <w:tcW w:type="dxa" w:w="1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Arah</w:t>
            </w:r>
          </w:p>
        </w:tc>
        <w:tc>
          <w:tcPr>
            <w:tcW w:type="dxa" w:w="5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Protokol/Keterangan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WhatsApp Cloud API (Meta)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Dua arah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Webhook masuk (verifikasi X-Hub-Signature-256); Graph API keluar (pesan, media, template).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Xendit</w:t>
            </w:r>
          </w:p>
        </w:tc>
        <w:tc>
          <w:tcPr>
            <w:tcW w:type="dxa" w:w="1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Dua arah</w:t>
            </w:r>
          </w:p>
        </w:tc>
        <w:tc>
          <w:tcPr>
            <w:tcW w:type="dxa" w:w="5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Invoice/recurring via REST; webhook status bayar (verifikasi callback token, idempoten).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Keluar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Chat completion (OpenAI-compatible) via LLM Port; timeout, retry, circuit breaker.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Provider Image Generation</w:t>
            </w:r>
          </w:p>
        </w:tc>
        <w:tc>
          <w:tcPr>
            <w:tcW w:type="dxa" w:w="1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Keluar</w:t>
            </w:r>
          </w:p>
        </w:tc>
        <w:tc>
          <w:tcPr>
            <w:tcW w:type="dxa" w:w="5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Via ImageGenPort (finalisasi Fase 0; DeepSeek tidak menyediakan image-gen).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Stock Photo API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Keluar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Pencarian &amp; unduh berlisensi via StockPhotoPort; lisensi dicatat per aset.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cPanel/UAPI shared hosting</w:t>
            </w:r>
          </w:p>
        </w:tc>
        <w:tc>
          <w:tcPr>
            <w:tcW w:type="dxa" w:w="1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Keluar</w:t>
            </w:r>
          </w:p>
        </w:tc>
        <w:tc>
          <w:tcPr>
            <w:tcW w:type="dxa" w:w="5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Buat subdomain, addon domain, cek AutoSSL; deploy file via SSH/rsync (fallback FTP).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DNS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Keluar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Verifikasi record custom domain klien sebelum penambahan addon domain.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n8n</w:t>
            </w:r>
          </w:p>
        </w:tc>
        <w:tc>
          <w:tcPr>
            <w:tcW w:type="dxa" w:w="1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Dua arah</w:t>
            </w:r>
          </w:p>
        </w:tc>
        <w:tc>
          <w:tcPr>
            <w:tcW w:type="dxa" w:w="5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Platform memicu workflow via webhook n8n; n8n memanggil API platform (service token) untuk data &amp; pengiriman WA.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4. Arsitektur Perangkat Lunak: Clean Architecture &amp; SOLID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4.1 Lapisan &amp; Dependency Rule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Kode diorganisasi per modul domain (sesuai peta modul FRD) dengan empat lapisan; ketergantungan hanya boleh mengarah ke dalam: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apps/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api/  worker/  portal/            # entry point (presentation &amp; composition root)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packages/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core/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modules/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conversation/                 # CNV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domain/                     # entity, value object, aturan bisnis murni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application/                # use case (mis. HandleIncomingMessage)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agent/ builder/ media/ publishing/ billing/ admin/ channel/ analytics/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shared/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kernel/                       # Result, DomainEvent, error types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ports/                        # LlmPort, ImageGenPort, StoragePort,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# PaymentPort, MessagingPort, DeployPort,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# HostingControlPort, AnalyticsPort, AutomationPort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adapters/                         # DeepSeekAdapter, XenditAdapter, R2Adapter,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# WabaAdapter, CpanelDeployAdapter, CpanelUapiAdapter,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# UmamiAdapter, N8nWebhookAdapter, ...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sites-kit/                        # library komponen Astro + tema + skema Zod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4.2 Pemetaan Prinsip SOLID (Wajib Ditaati)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Prinsip</w:t>
            </w:r>
          </w:p>
        </w:tc>
        <w:tc>
          <w:tcPr>
            <w:tcW w:type="dxa" w:w="6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Penerapan Konkret di Proyek Ini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Satu use case = satu kelas/fungsi aplikasi (GenerateSitePlan, ApplyRevisionPatch, PublishRevision). Handler webhook hanya memvalidasi &amp; mengantre; pipeline publish memisahkan build, quality-check, dan deploy sebagai langkah berbeda.</w:t>
            </w:r>
          </w:p>
        </w:tc>
      </w:tr>
      <w:tr>
        <w:tc>
          <w:tcPr>
            <w:tcW w:type="dxa" w:w="2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6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Komponen situs baru = registrasi di sites-kit (komponen Astro + skema Zod) tanpa mengubah engine agent. Target hosting baru = adapter DeployPort baru tanpa mengubah pipeline (FR-PUB-009). Intent chatbot baru = handler baru pada router intent.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 — Liskov Substitution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Semua adapter (LLM/ImageGen/Storage/Payment/Deploy) harus lolos test suite kontrak yang sama, termasuk perilaku error, sehingga dapat saling dipertukarkan di test maupun produksi.</w:t>
            </w:r>
          </w:p>
        </w:tc>
      </w:tr>
      <w:tr>
        <w:tc>
          <w:tcPr>
            <w:tcW w:type="dxa" w:w="2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6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Port kecil &amp; spesifik: LlmChatPort vs LlmJsonPort; DeployPort (kirim artefak) terpisah dari HostingControlPort (subdomain/addon/SSL); MessagingPort terpisah dari TemplateMessagePort; repository per agregat.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Use case bergantung pada interface di shared/ports; implementasi disuntik lewat composition root (awilix/tsyringe). Tidak ada import SDK vendor (Meta, Xendit, cPanel, DeepSeek) di domain/application.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4.3 Konvensi Clean Code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TypeScript strict; ESLint 9 + Prettier; larangan any tanpa justifikasi; penamaan Inggris di kode, Bahasa Indonesia di copy pengguna.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Validasi input di tepi sistem dengan Zod; hasil operasi memakai Result&lt;T, E&gt;; domain event untuk efek samping lintas modul (RevisionApproved → publishing + notification).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Semua fungsi publik use case memiliki unit test; PR tanpa test tidak digabung.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4.4 Batas Tanggung Jawab n8n (ADR-7)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Boleh di n8n: </w:t>
      </w:r>
      <w:r>
        <w:rPr>
          <w:sz w:val="22"/>
          <w:szCs w:val="22"/>
        </w:rPr>
        <w:t xml:space="preserve">penjadwalan dunning &amp; pengingat kuota, laporan bulanan Umami → WA, alert operasional (job gagal, webhook error, anggaran AI), sinkronisasi ringan (mis. rekap ke Google Sheets), eksperimen integrasi baru.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Tidak boleh di n8n: </w:t>
      </w:r>
      <w:r>
        <w:rPr>
          <w:sz w:val="22"/>
          <w:szCs w:val="22"/>
        </w:rPr>
        <w:t xml:space="preserve">state machine percakapan, agent loop &amp; pemanggilan LLM inti, keputusan billing/kuota, pipeline build-deploy, dan apa pun yang butuh unit test atau menyimpan aturan bisnis.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n8n memanggil platform hanya lewat API ber-service-token dengan scope terbatas; workflow diekspor JSON dan disimpan di repositori (version control).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5. Desain Subsistem AI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5.1 LLM Abstraction Layer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interface LlmJsonPort {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completeJson&lt;T&gt;(req: {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task: 'site_plan'|'section_copy'|'revision_patch'|'article'|'intent'|'interview',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system: string; messages: ChatMessage[];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schema: ZodType&lt;T&gt;; maxTokens: number; temperature?: number;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}): Promise&lt;Result&lt;T, LlmError&gt;&gt;;   // retry + self-repair bila JSON invalid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Routing per tugas dikonfigurasi (env/DB): default DeepSeek untuk semua tugas teks; tugas dapat dipetakan ke provider lain tanpa perubahan kode (BR-12, FR-AGT-008).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Setiap panggilan mencatat tenantId, jobId, tugas, provider, token in/out, latensi, biaya estimasi → tabel LlmUsage (dasar FR-BIL-004 &amp; GO-05).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Guardrail: system prompt kebijakan konten; keluaran divalidasi skema Zod; konten pengguna tidak pernah dieksekusi sebagai kode.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5.2 Pola Agent (Plan → Act → Validate)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Build: </w:t>
      </w:r>
      <w:r>
        <w:rPr>
          <w:sz w:val="22"/>
          <w:szCs w:val="22"/>
        </w:rPr>
        <w:t xml:space="preserve">brief → SitePlan (JSON) → per halaman: pilih section &amp; varian → isi props + copywriting → validasi skema komponen → gagal? self-repair maks. 3x → rakit Revision.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Edit: </w:t>
      </w:r>
      <w:r>
        <w:rPr>
          <w:sz w:val="22"/>
          <w:szCs w:val="22"/>
        </w:rPr>
        <w:t xml:space="preserve">instruksi + Site Document ringkas (outline + section terkait) → RevisionPatch (add/remove/update terbatas) → terapkan → validasi → Revision baru — patch-based menjaga stabilitas &amp; hemat token (FR-AGT-004).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Konten: </w:t>
      </w:r>
      <w:r>
        <w:rPr>
          <w:sz w:val="22"/>
          <w:szCs w:val="22"/>
        </w:rPr>
        <w:t xml:space="preserve">topik → outline → artikel → metadata SEO → gambar sampul via ImageGen/stock → draft Post.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NEEDS_INFO: </w:t>
      </w:r>
      <w:r>
        <w:rPr>
          <w:sz w:val="22"/>
          <w:szCs w:val="22"/>
        </w:rPr>
        <w:t xml:space="preserve">agent mengembalikan pertanyaan terstruktur; orchestrator mengubahnya jadi pertanyaan chatbot; jawaban melengkapi konteks lalu job dilanjutkan.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5.3 Pengendalian Biaya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Konteks minimal (outline + section relevan saja); cache klasifikasi intent frasa umum; batas token keras per job; anggaran harian per tenant dengan alarm via n8n.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5.4 Arsitektur Tools via MCP (Model Context Protocol)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Kemampuan platform diekspos sebagai kumpulan MCP server internal; agent engine berperan sebagai MCP host. Tool didefinisikan sekali (nama, deskripsi, skema input Zod→JSON Schema) dan dipakai oleh model apa pun — DeepSeek via bridge function-calling, atau model MCP-native tanpa bridge.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MCP Servers internal (in-process/stdio):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sitebuilder-mcp : list_components, get_site_outline, apply_patch,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create_page, set_theme_tokens (scope: tenant)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media-mcp       : list_assets, generate_image, search_stock, set_alt_text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content-mcp     : draft_article, keyword_brief, schedule_post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seo-mcp         : get_search_performance, request_indexing, run_onpage_audit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ops-mcp (read)  : get_quota, get_subscription_status, get_job_status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Setiap sesi agent membawa konteks tenant + scope; server MCP menegakkan otorisasi per tool (tenant hanya menyentuh datanya sendiri) dan mencatat setiap invokasi ke AuditLog.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Bridge DeepSeek: definisi tool MCP dikonversi otomatis menjadi skema function-calling; hasil eksekusi dikembalikan sebagai tool result — satu sumber kebenaran, dua protokol.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Manfaat jangka panjang: dashboard operator dapat memakai asisten AI apa pun yang MCP-capable untuk mengoperasikan platform (“suspend tenant X”, “berapa biaya AI minggu ini?”) tanpa endpoint khusus; integrasi eksternal masa depan cukup menambah MCP server baru (open/closed).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6. Kepatuhan Panduan Web Modern (web.dev / Google)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Seluruh situs klien wajib memenuhi praktik berikut; sebagian ditegakkan otomatis oleh sites-kit dan Lighthouse CI budget pada pipeline build (FR-PUB-010):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2500"/>
      </w:tblGrid>
      <w:tr>
        <w:trPr>
          <w:tblHeader/>
        </w:trPr>
        <w:tc>
          <w:tcPr>
            <w:tcW w:type="dxa" w:w="1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Praktik Wajib</w:t>
            </w:r>
          </w:p>
        </w:tc>
        <w:tc>
          <w:tcPr>
            <w:tcW w:type="dxa" w:w="25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Penegakan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LCP ≤ 2,5 dtk; INP &lt; 200 ms; CLS &lt; 0,1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Lighthouse CI budget saat build; pemantauan lapangan via Umami + sampling CrUX</w:t>
            </w:r>
          </w:p>
        </w:tc>
      </w:tr>
      <w:tr>
        <w:tc>
          <w:tcPr>
            <w:tcW w:type="dxa" w:w="1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JavaScript</w:t>
            </w:r>
          </w:p>
        </w:tc>
        <w:tc>
          <w:tcPr>
            <w:tcW w:type="dxa" w:w="4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Zero-JS-by-default; hydration hanya pada islands interaktif (galeri, form)</w:t>
            </w:r>
          </w:p>
        </w:tc>
        <w:tc>
          <w:tcPr>
            <w:tcW w:type="dxa" w:w="2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Arsitektur Astro; budget total JS ≤ 50 KB per halaman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Gambar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AVIF/WebP dengan fallback, srcset responsif, lazy loading di bawah lipatan, dimensi eksplisit (anti-CLS)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Pipeline media + komponen Image sites-kit</w:t>
            </w:r>
          </w:p>
        </w:tc>
      </w:tr>
      <w:tr>
        <w:tc>
          <w:tcPr>
            <w:tcW w:type="dxa" w:w="1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Font</w:t>
            </w:r>
          </w:p>
        </w:tc>
        <w:tc>
          <w:tcPr>
            <w:tcW w:type="dxa" w:w="4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Font lokal (self-host), font-display: swap, subset Latin, preload font utama</w:t>
            </w:r>
          </w:p>
        </w:tc>
        <w:tc>
          <w:tcPr>
            <w:tcW w:type="dxa" w:w="2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Konfigurasi tema sites-kit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HTML &amp; SEO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HTML semantik, meta/OG lengkap, sitemap &amp; robots otomatis, structured data (LocalBusiness/Article)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Generator build (FR-PUB-008)</w:t>
            </w:r>
          </w:p>
        </w:tc>
      </w:tr>
      <w:tr>
        <w:tc>
          <w:tcPr>
            <w:tcW w:type="dxa" w:w="1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Aksesibilitas</w:t>
            </w:r>
          </w:p>
        </w:tc>
        <w:tc>
          <w:tcPr>
            <w:tcW w:type="dxa" w:w="4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Kontras AA, alt text (otomatis dari agent), navigasi keyboard, landmark</w:t>
            </w:r>
          </w:p>
        </w:tc>
        <w:tc>
          <w:tcPr>
            <w:tcW w:type="dxa" w:w="2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Aturan lint komponen + audit Lighthouse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Keamanan situs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HTTPS (AutoSSL), security headers via .htaccess yang dihasilkan build (CSP dasar, HSTS, no-sniff)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Template .htaccess sites-kit</w:t>
            </w:r>
          </w:p>
        </w:tc>
      </w:tr>
      <w:tr>
        <w:tc>
          <w:tcPr>
            <w:tcW w:type="dxa" w:w="1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Caching</w:t>
            </w:r>
          </w:p>
        </w:tc>
        <w:tc>
          <w:tcPr>
            <w:tcW w:type="dxa" w:w="4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Cache-Control agresif untuk aset ber-hash, HTML no-cache ringan</w:t>
            </w:r>
          </w:p>
        </w:tc>
        <w:tc>
          <w:tcPr>
            <w:tcW w:type="dxa" w:w="2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.htaccess hasil build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7. Subsistem SEO “Heavy”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SEO ditegakkan di tiga titik siklus hidup situs (merinci modul SEO pada FRD v1.1):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2800"/>
      </w:tblGrid>
      <w:tr>
        <w:trPr>
          <w:tblHeader/>
        </w:trPr>
        <w:tc>
          <w:tcPr>
            <w:tcW w:type="dxa" w:w="1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Titik</w:t>
            </w:r>
          </w:p>
        </w:tc>
        <w:tc>
          <w:tcPr>
            <w:tcW w:type="dxa" w:w="4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Kemampuan</w:t>
            </w:r>
          </w:p>
        </w:tc>
        <w:tc>
          <w:tcPr>
            <w:tcW w:type="dxa" w:w="2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Saat generasi konten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Riset kata kunci ringan (input klien + data Search Console + saran LLM), brief artikel ber-target keyword, heading terstruktur, internal linking otomatis ke halaman terkait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content-mcp + seo-mcp; graf internal link dihitung dari Site Document &amp; daftar Post</w:t>
            </w:r>
          </w:p>
        </w:tc>
      </w:tr>
      <w:tr>
        <w:tc>
          <w:tcPr>
            <w:tcW w:type="dxa" w:w="1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Saat build</w:t>
            </w:r>
          </w:p>
        </w:tc>
        <w:tc>
          <w:tcPr>
            <w:tcW w:type="dxa" w:w="4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Title/meta unik per halaman, canonical, OG/Twitter Card, JSON-LD (LocalBusiness, Product, Article, FAQPage, BreadcrumbList) tervalidasi, sitemap.xml, robots.txt, audit on-page (blokir publish bila kritis)</w:t>
            </w:r>
          </w:p>
        </w:tc>
        <w:tc>
          <w:tcPr>
            <w:tcW w:type="dxa" w:w="2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sites-kit + langkah validasi schema.org &amp; audit di pipeline build (FR-SEO-001/002/007)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Pasca publish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Ping IndexNow + Search Console API, verifikasi kepemilikan GSC otomatis, tarik performa (klik/impresi/posisi), laporan bulanan &amp; saran topik via WA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Worker + GscAdapter (AnalyticsPort diperluas); pengiriman laporan via n8n (FR-SEO-003/004/006)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Keyword &amp; performa per tenant disimpan (tabel SeoKeyword, SeoSnapshot) agar agent dapat menjawab pertanyaan SEO dengan data nyata (FR-SEO-008) dan memilih topik artikel yang menaikkan ranking, bukan topik acak.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Prasyarat teknis SEO (kecepatan, mobile, HTTPS, aksesibilitas) sudah dipenuhi bab 6 — kedua bab ini saling melengkapi.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8. Model Data (Prisma — Ringkasan Skema)</w:t>
      </w:r>
    </w:p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Skema indikatif; semua tabel domain memuat tenantId + timestamps; akses selalu melalui repository yang memfilter tenantId. Perubahan v1.1 ditandai (*).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Tenant       { id, name, slug, status, planId, waNumbers[] ...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User         { id, tenantId, role(OWNER|STAFF), name, phone, email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Conversation { id, tenantId, channel(WA|WEB), state, escalatedAt?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Message      { id, conversationId, direction, type, text?, mediaId?,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providerMsgId @unique, status, createdAt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InterviewBrief { id, tenantId, data Json, completedAt?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Website      { id, tenantId @unique, slug @unique, status,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publishedRevisionId?, themeId, deploymentTargetId (*)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Revision     { id, websiteId, number, siteDoc Json, summary,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status(DRAFT|PREVIEW|APPROVED|PUBLISHED|REJECTED), createdBy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BuildArtifact(*) { id, revisionId @unique, storageKey, sizeBytes,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lighthouse Json?, builtAt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DeploymentTarget(*) { id, kind(CPANEL_SSH|CPANEL_FTP|CF_PAGES),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host, basePath, credsRef, active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Deployment(*) { id, websiteId, artifactId, targetId,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status(PENDING|DEPLOYED|FAILED|ROLLED_BACK), finishedAt?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ComponentDef { id, type, variant, schema Json, version, deprecated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Theme        { id, name, tokens Json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MediaAsset   { id, tenantId, kind(UPLOAD|AI|STOCK), storageKey, mime,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width?, height?, license?, altText?, source?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Post         { id, tenantId, title, slug, body Json, coverMediaId?,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status(DRAFT|SCHEDULED|PUBLISHED), publishAt?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CatalogItem  { id, tenantId, name, price, description, mediaIds[]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Lead(*)      { id, tenantId, formId, payload Json, forwardedAt?, spamScore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AgentJob     { id, tenantId, kind(BUILD|EDIT|ARTICLE|CATALOG|DOMAIN),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status, input Json, output Json?, error?, attempts,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tokenIn, tokenOut, costEstimate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LlmUsage     { id, tenantId, jobId?, provider, task, tokenIn, tokenOut, cost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Plan         { id, code(BASIC|PREMIUM), price, quotas Json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Subscription { id, tenantId @unique, planId, status, currentPeriodEnd,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xenditCustomerId?, xenditRecurringId?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Invoice      { id, tenantId, subscriptionId, amount, status,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xenditInvoiceId @unique, paidAt?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QuotaUsage   { id, tenantId, period, metric, used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DomainMapping{ id, tenantId, domain @unique, status, verifiedAt?, lastCheckAt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EscalationTicket { id, tenantId, conversationId, reason, status, assignee? 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 AuditLog     { id, actor, tenantId?, action, meta Json, createdAt }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9. Antarmuka API &amp; Port Kunci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4400"/>
      </w:tblGrid>
      <w:tr>
        <w:trPr>
          <w:tblHeader/>
        </w:trPr>
        <w:tc>
          <w:tcPr>
            <w:tcW w:type="dxa" w:w="3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dxa" w:w="4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Verifikasi &amp; terima event WABA (FR-CHN-001/005).</w:t>
            </w:r>
          </w:p>
        </w:tc>
      </w:tr>
      <w:tr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/webhooks/xendit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Status pembayaran (FR-BIL-002), idempoten.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/api/chat (WS)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Web chat portal klien (FR-CHN-003).</w:t>
            </w:r>
          </w:p>
        </w:tc>
      </w:tr>
      <w:tr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/api/tenant/me, /api/billing/*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4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Profil, langganan, invoice, upgrade paket.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/api/preview/:revisionId?t=token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Preview draft di VPS, noindex (FR-PUB-001).</w:t>
            </w:r>
          </w:p>
        </w:tc>
      </w:tr>
      <w:tr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/public/forms/:tenantKey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Form kontak situs statis → anti-spam → Lead → WA klien (FR-ANL-003); CORS dibatasi domain situs tenant.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/internal/automation/* (token n8n)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Data untuk workflow n8n (laporan, dunning) dengan scope terbatas.</w:t>
            </w:r>
          </w:p>
        </w:tc>
      </w:tr>
      <w:tr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/api/admin/* (RBAC)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CRUD</w:t>
            </w:r>
          </w:p>
        </w:tc>
        <w:tc>
          <w:tcPr>
            <w:tcW w:type="dxa" w:w="4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Tenant, eskalasi, job, komponen, deploy, suspend (FR-ADM-*).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9.1 Kontrak DeployPort &amp; HostingControlPort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interface DeployPort {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deploy(a: { artifactKey: string; target: DeploymentTarget;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docrootPath: string }): Promise&lt;Result&lt;DeployReceipt, DeployError&gt;&gt;;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remove(target: DeploymentTarget, docrootPath: string): Promise&lt;Result&lt;void, DeployError&gt;&gt;;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interface HostingControlPort {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ensureSubdomain(slug: string): Promise&lt;Result&lt;{ docroot: string }, HostingError&gt;&gt;;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ensureAddonDomain(domain: string): Promise&lt;Result&lt;{ docroot: string }, HostingError&gt;&gt;;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checkSsl(host: string): Promise&lt;Result&lt;SslStatus, HostingError&gt;&gt;;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Implementasi MVP: CpanelUapiAdapter (subdomain/addon/AutoSSL) + RsyncSshDeployAdapter (fallback FtpDeployAdapter). Adapter cadangan CfPagesDeployAdapter disiapkan sebagai bukti portabilitas (NFR-12).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10. Kebutuhan Non-Fungsional (NFR)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600"/>
        <w:gridCol w:w="20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2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Target/Ukuran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Kinerja situs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Core Web Vitals situs klien (mobile)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LCP ≤ 2,5 dtk; INP &lt; 200 ms; CLS &lt; 0,1; Lighthouse ≥ 90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NFR-02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Kinerja bot</w:t>
            </w:r>
          </w:p>
        </w:tc>
        <w:tc>
          <w:tcPr>
            <w:tcW w:type="dxa" w:w="4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Balasan chatbot non-AI (status, menu)</w:t>
            </w:r>
          </w:p>
        </w:tc>
        <w:tc>
          <w:tcPr>
            <w:tcW w:type="dxa" w:w="2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≤ 2 dtk p95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NFR-03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Kinerja pipeline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Draft build pertama; publish (build+deploy)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Draft ≤ 10 mnt p90; publish ≤ 5 mnt p90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NFR-04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4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Kapasitas desain platform</w:t>
            </w:r>
          </w:p>
        </w:tc>
        <w:tc>
          <w:tcPr>
            <w:tcW w:type="dxa" w:w="2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500 tenant, 200 job AI/jam; ±150 situs per akun hosting sebelum target kedua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NFR-05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Ketersediaan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Uptime webhook &amp; API; situs klien mengikuti SLA shared hosting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≥ 99,5%/bulan; webhook antre saat worker mati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NFR-06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Keandalan</w:t>
            </w:r>
          </w:p>
        </w:tc>
        <w:tc>
          <w:tcPr>
            <w:tcW w:type="dxa" w:w="4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Konsumsi webhook &amp; job idempoten; deploy atomik (upload ke folder temp → swap)</w:t>
            </w:r>
          </w:p>
        </w:tc>
        <w:tc>
          <w:tcPr>
            <w:tcW w:type="dxa" w:w="2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0 pesan hilang; tidak ada situs setengah ter-deploy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NFR-07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Keamanan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TLS semua lalu lintas; rahasia (termasuk kredensial cPanel/SSH) di secret manager; RBAC admin; audit log; anti-spam form publik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NFR-08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Privasi (UU PDP)</w:t>
            </w:r>
          </w:p>
        </w:tc>
        <w:tc>
          <w:tcPr>
            <w:tcW w:type="dxa" w:w="4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Persetujuan pemrosesan saat onboarding; data platform di DC Indonesia; enkripsi at-rest; hak akses/hapus; retensi 90 hari pasca berhenti; analytics tanpa cookie pihak ketiga (Umami); data tidak dipakai melatih model pihak ketiga</w:t>
            </w:r>
          </w:p>
        </w:tc>
        <w:tc>
          <w:tcPr>
            <w:tcW w:type="dxa" w:w="2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NFR-09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Isolasi tenant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Guard tenantId di repository + docroot terpisah per tenant di hosting + uji kebocoran lintas tenant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NFR-10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Observabilitas</w:t>
            </w:r>
          </w:p>
        </w:tc>
        <w:tc>
          <w:tcPr>
            <w:tcW w:type="dxa" w:w="4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Log terstruktur, tracing job &amp; deploy, metrik biaya AI per tenant, alerting via n8n (job gagal, webhook error, SSL gagal, inode hosting &gt; 80%)</w:t>
            </w:r>
          </w:p>
        </w:tc>
        <w:tc>
          <w:tcPr>
            <w:tcW w:type="dxa" w:w="2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Dashboard sejak Fase 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Coverage unit test lapisan application ≥ 70%; e2e alur kritis (build→approve→publish→situs live, billing)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CI wajib hijau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NFR-12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Portabilitas vendor</w:t>
            </w:r>
          </w:p>
        </w:tc>
        <w:tc>
          <w:tcPr>
            <w:tcW w:type="dxa" w:w="4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Ganti provider LLM/ImageGen/storage/target deploy tanpa menyentuh domain/application</w:t>
            </w:r>
          </w:p>
        </w:tc>
        <w:tc>
          <w:tcPr>
            <w:tcW w:type="dxa" w:w="2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Terbukti via test kontrak adapter ganda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11. Deployment &amp; Operasional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11.1 Topologi Produksi Awal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VPS 4 vCPU / 8 GB / NVMe di DC Indonesia (IDCloudHost/Biznet): Docker Compose — caddy, api, worker, portal, postgres, redis, n8n, umami. Estimasi RAM: Postgres 1,5 GB, Redis 0,3 GB, api+worker 1,5 GB (spike build Astro +1–2 GB), n8n 0,4 GB, Umami 0,3 GB — headroom aman di 8 GB; swap 2 GB sebagai pengaman.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Build Astro dijalankan worker dengan konkurensi 1–2 dan nice/cgroup limit agar tidak mengganggu api; antrean build terpisah dari antrean job AI.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Shared hosting: docroot per tenant di bawah satu akun; deploy rsync incremental via SSH key khusus; .htaccess (headers &amp; caching) dihasilkan build.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Backup: dump Postgres harian + object storage versioned; uji restore bulanan; artefak build = disaster recovery situs klien.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11.2 Jalur Skala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VPS kedua untuk worker/build saat antrean padat; akun hosting kedua atau reseller WHM saat mendekati ±150 situs (hanya menambah DeploymentTarget); DB managed bila diperlukan. Tanpa perubahan arsitektur kode (ADR-1).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11.3 Lingkungan &amp; CI/CD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Lingkungan: development, staging (nomor WA uji + folder staging di hosting), production. Prisma Migrate otomatis di pipeline dengan gerbang persetujuan produksi.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CI (GitHub Actions): lint, typecheck, unit, kontrak adapter, e2e ringkas, build image; deploy otomatis staging, manual approve produksi.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12. Strategi Pengujian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Unit: </w:t>
      </w:r>
      <w:r>
        <w:rPr>
          <w:sz w:val="22"/>
          <w:szCs w:val="22"/>
        </w:rPr>
        <w:t xml:space="preserve">use case dengan fake adapter; validasi skema komponen; aturan kuota &amp; dunning.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Kontrak adapter: </w:t>
      </w:r>
      <w:r>
        <w:rPr>
          <w:sz w:val="22"/>
          <w:szCs w:val="22"/>
        </w:rPr>
        <w:t xml:space="preserve">satu test suite dijalankan terhadap semua implementasi Port (LSP) — termasuk mock LLM deterministik dan mock DeployPort (server SSH lokal di CI).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Integrasi: </w:t>
      </w:r>
      <w:r>
        <w:rPr>
          <w:sz w:val="22"/>
          <w:szCs w:val="22"/>
        </w:rPr>
        <w:t xml:space="preserve">webhook WABA &amp; Xendit dengan payload rekaman nyata; idempotensi; alur NEEDS_INFO; cPanel UAPI terhadap akun staging hosting.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E2E: </w:t>
      </w:r>
      <w:r>
        <w:rPr>
          <w:sz w:val="22"/>
          <w:szCs w:val="22"/>
        </w:rPr>
        <w:t xml:space="preserve">UC-01–UC-05 di staging termasuk publish nyata ke folder staging hosting; regresi visual komponen sites-kit (Playwright screenshot per komponen/tema).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Kualitas AI: </w:t>
      </w:r>
      <w:r>
        <w:rPr>
          <w:sz w:val="22"/>
          <w:szCs w:val="22"/>
        </w:rPr>
        <w:t xml:space="preserve">golden set 20 brief usaha → evaluasi rubrik (kelengkapan, bahasa, kepatuhan skema) tiap perubahan prompt/model.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Kualitas web: </w:t>
      </w:r>
      <w:r>
        <w:rPr>
          <w:sz w:val="22"/>
          <w:szCs w:val="22"/>
        </w:rPr>
        <w:t xml:space="preserve">Lighthouse CI budget wajib lolos pada 3 situs sampel setiap perubahan sites-kit.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13. Keterlacakan &amp; Ketaatan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Setiap FR pada FRD v1.1 dipetakan ke modul bab 4–8 dokumen ini; setiap NFR memiliki mekanisme verifikasi (test/monitoring). Perubahan kebutuhan mengikuti kontrol versi dokumen: usulan → analisis dampak → persetujuan Product Owner → pembaruan BRD/PRD/FRD/SRS secara konsisten.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3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Persetujuan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Darusman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3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SRS – digimaestro.id  — 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2026-07-03T02:30:56.204Z</dcterms:created>
  <dcterms:modified xsi:type="dcterms:W3CDTF">2026-07-03T02:30:56.204Z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