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CA31" w14:textId="16278770" w:rsidR="00426340" w:rsidRDefault="00667BAE">
      <w:r>
        <w:rPr>
          <w:rFonts w:hint="eastAsia"/>
        </w:rPr>
        <w:t>In</w:t>
      </w:r>
      <w:r>
        <w:t xml:space="preserve"> addition to perturbations to strong and weak students, perturbation to intermediate students is also performed. The filter is given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7BAE" w14:paraId="60CFB803" w14:textId="77777777" w:rsidTr="00667BAE">
        <w:tc>
          <w:tcPr>
            <w:tcW w:w="2074" w:type="dxa"/>
          </w:tcPr>
          <w:p w14:paraId="0D1441CB" w14:textId="74664722" w:rsidR="00667BAE" w:rsidRDefault="00667BAE" w:rsidP="00667B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2074" w:type="dxa"/>
          </w:tcPr>
          <w:p w14:paraId="5D2CBEEB" w14:textId="5299480C" w:rsidR="00667BAE" w:rsidRDefault="00667BAE" w:rsidP="00667B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trong</w:t>
            </w:r>
          </w:p>
        </w:tc>
        <w:tc>
          <w:tcPr>
            <w:tcW w:w="2074" w:type="dxa"/>
          </w:tcPr>
          <w:p w14:paraId="18A523BA" w14:textId="408BB6E5" w:rsidR="00667BAE" w:rsidRDefault="00667BAE" w:rsidP="00667B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ntermediate</w:t>
            </w:r>
          </w:p>
        </w:tc>
        <w:tc>
          <w:tcPr>
            <w:tcW w:w="2074" w:type="dxa"/>
          </w:tcPr>
          <w:p w14:paraId="12584EB2" w14:textId="70EAAC04" w:rsidR="00667BAE" w:rsidRDefault="00667BAE" w:rsidP="00667B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eak</w:t>
            </w:r>
          </w:p>
        </w:tc>
      </w:tr>
      <w:tr w:rsidR="00667BAE" w14:paraId="09DE8CFF" w14:textId="77777777" w:rsidTr="00667BAE">
        <w:tc>
          <w:tcPr>
            <w:tcW w:w="2074" w:type="dxa"/>
          </w:tcPr>
          <w:p w14:paraId="1BD33185" w14:textId="564C8EFF" w:rsidR="00667BAE" w:rsidRDefault="00B11908" w:rsidP="00667BAE">
            <w:pPr>
              <w:jc w:val="center"/>
              <w:rPr>
                <w:rFonts w:hint="eastAsia"/>
              </w:rPr>
            </w:pPr>
            <w:r>
              <w:t>t</w:t>
            </w:r>
            <w:r w:rsidR="00667BAE">
              <w:t>opic_fam</w:t>
            </w:r>
          </w:p>
        </w:tc>
        <w:tc>
          <w:tcPr>
            <w:tcW w:w="2074" w:type="dxa"/>
          </w:tcPr>
          <w:p w14:paraId="101F7A69" w14:textId="57D2FB3F" w:rsidR="00667BAE" w:rsidRDefault="004802D1" w:rsidP="00667B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s'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22A7BF60" w14:textId="42A60BE0" w:rsidR="00667BAE" w:rsidRDefault="004802D1" w:rsidP="00667B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s'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18658651" w14:textId="4FD7A6B5" w:rsidR="00667BAE" w:rsidRDefault="004802D1" w:rsidP="00667B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s'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667BAE" w14:paraId="711CDCC1" w14:textId="77777777" w:rsidTr="00667BAE">
        <w:tc>
          <w:tcPr>
            <w:tcW w:w="2074" w:type="dxa"/>
          </w:tcPr>
          <w:p w14:paraId="39D3D5A0" w14:textId="49EC28C5" w:rsidR="00667BAE" w:rsidRDefault="00B11908" w:rsidP="00667BAE">
            <w:pPr>
              <w:jc w:val="center"/>
              <w:rPr>
                <w:rFonts w:hint="eastAsia"/>
              </w:rPr>
            </w:pPr>
            <w:r>
              <w:t>c</w:t>
            </w:r>
            <w:r w:rsidR="00667BAE">
              <w:t>orrect_so_far</w:t>
            </w:r>
          </w:p>
        </w:tc>
        <w:tc>
          <w:tcPr>
            <w:tcW w:w="2074" w:type="dxa"/>
          </w:tcPr>
          <w:p w14:paraId="0EB71D71" w14:textId="0532EE3F" w:rsidR="00667BAE" w:rsidRDefault="004802D1" w:rsidP="00667B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s'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21F12203" w14:textId="2789AAC9" w:rsidR="00667BAE" w:rsidRDefault="004802D1" w:rsidP="00667B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s'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3AB29C24" w14:textId="57F61BC2" w:rsidR="00667BAE" w:rsidRDefault="004802D1" w:rsidP="00667B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s'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667BAE" w14:paraId="26763936" w14:textId="77777777" w:rsidTr="00667BAE">
        <w:tc>
          <w:tcPr>
            <w:tcW w:w="2074" w:type="dxa"/>
          </w:tcPr>
          <w:p w14:paraId="7B4DC37B" w14:textId="7D71EAC3" w:rsidR="00667BAE" w:rsidRDefault="00B11908" w:rsidP="00667BAE">
            <w:pPr>
              <w:jc w:val="center"/>
              <w:rPr>
                <w:rFonts w:hint="eastAsia"/>
              </w:rPr>
            </w:pPr>
            <w:r>
              <w:t>a</w:t>
            </w:r>
            <w:r w:rsidR="00667BAE">
              <w:t>vg_time</w:t>
            </w:r>
          </w:p>
        </w:tc>
        <w:tc>
          <w:tcPr>
            <w:tcW w:w="2074" w:type="dxa"/>
          </w:tcPr>
          <w:p w14:paraId="7151511F" w14:textId="247C564A" w:rsidR="00667BAE" w:rsidRDefault="004802D1" w:rsidP="00667B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s'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57A213D0" w14:textId="5B32DE1F" w:rsidR="00667BAE" w:rsidRDefault="004802D1" w:rsidP="00667B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s'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14:paraId="7FDEEEA5" w14:textId="730A605F" w:rsidR="00667BAE" w:rsidRDefault="004802D1" w:rsidP="00667BAE">
            <w:pPr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s'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 w14:paraId="058381C6" w14:textId="51F3F793" w:rsidR="00667BAE" w:rsidRDefault="00B11908" w:rsidP="004802D1">
      <w:r>
        <w:t xml:space="preserve">The feature </w:t>
      </w:r>
      <w:r w:rsidR="0048123D">
        <w:t>t</w:t>
      </w:r>
      <w:r>
        <w:t xml:space="preserve">opic_fam </w:t>
      </w:r>
      <w:r w:rsidR="0048123D">
        <w:t xml:space="preserve">represents the familiarity of previously chosen part of a topic by students; the feature correct_so_far </w:t>
      </w:r>
      <w:r w:rsidR="00A21618">
        <w:t xml:space="preserve">is the quantized ratio of correct responses to total number of responses; and avg_time measures the average time taken by students on each topic. </w:t>
      </w:r>
      <w:r w:rsidR="004802D1">
        <w:rPr>
          <w:rFonts w:hint="eastAsia"/>
        </w:rPr>
        <w:t>H</w:t>
      </w:r>
      <w:r w:rsidR="004802D1">
        <w:t xml:space="preserve">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802D1">
        <w:rPr>
          <w:rFonts w:hint="eastAsia"/>
        </w:rPr>
        <w:t xml:space="preserve"> </w:t>
      </w:r>
      <w:r w:rsidR="004802D1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'</m:t>
            </m:r>
          </m:sub>
        </m:sSub>
      </m:oMath>
      <w:r w:rsidR="004802D1">
        <w:rPr>
          <w:rFonts w:hint="eastAsia"/>
        </w:rPr>
        <w:t xml:space="preserve"> </w:t>
      </w:r>
      <w:r w:rsidR="004802D1">
        <w:t>represent current state and next values respectively</w:t>
      </w:r>
      <w:r>
        <w:t xml:space="preserve">. </w:t>
      </w:r>
      <w:r w:rsidR="00A21618">
        <w:t xml:space="preserve">For strong and intermediate students, we would expect them to be more familiar to the topic after some learning engagement while for weak students, the learning effect may be negligible. </w:t>
      </w:r>
      <w:r w:rsidR="0088147B">
        <w:t>In addition, strong students are more likely to give a correct response and spend less time in learning as their familiarity grows.</w:t>
      </w:r>
    </w:p>
    <w:p w14:paraId="176DAC0E" w14:textId="656E4CE8" w:rsidR="00B71A83" w:rsidRDefault="00B71A83" w:rsidP="004802D1"/>
    <w:p w14:paraId="5389467C" w14:textId="1026B48B" w:rsidR="00B71A83" w:rsidRDefault="00100DED" w:rsidP="004802D1">
      <w:r>
        <w:rPr>
          <w:rFonts w:hint="eastAsia"/>
        </w:rPr>
        <w:t>T</w:t>
      </w:r>
      <w:r>
        <w:t>he reward is calculated in such a way that correct responses on harder questions attain higher rewards (1 to 4) while incorrect responses on easier questions attain higher penalties (-</w:t>
      </w:r>
      <w:r w:rsidR="00A349A4">
        <w:t>8</w:t>
      </w:r>
      <w:r>
        <w:t xml:space="preserve"> to -</w:t>
      </w:r>
      <w:r w:rsidR="00A349A4">
        <w:t>2</w:t>
      </w:r>
      <w:r>
        <w:t xml:space="preserve">). </w:t>
      </w:r>
      <w:r w:rsidR="00A349A4">
        <w:t>Since in general students would get more reward than penalty, the penalty is scaled from [-4,-1] to [-8,-2].</w:t>
      </w:r>
    </w:p>
    <w:p w14:paraId="37E8F6FD" w14:textId="7F580E1D" w:rsidR="00A349A4" w:rsidRDefault="00A349A4" w:rsidP="004802D1"/>
    <w:p w14:paraId="2DB217B2" w14:textId="77777777" w:rsidR="00F92F73" w:rsidRDefault="00A349A4" w:rsidP="004802D1">
      <w:r>
        <w:rPr>
          <w:rFonts w:hint="eastAsia"/>
        </w:rPr>
        <w:t>T</w:t>
      </w:r>
      <w:r>
        <w:t xml:space="preserve">he cumulative reward from initial states across </w:t>
      </w:r>
      <w:r w:rsidR="00F92F73">
        <w:t xml:space="preserve">1000 steps </w:t>
      </w:r>
      <w:r>
        <w:t>for various MDPs</w:t>
      </w:r>
      <w:r w:rsidR="00F92F73">
        <w:t xml:space="preserve"> is shown as below:</w:t>
      </w:r>
    </w:p>
    <w:p w14:paraId="7022764D" w14:textId="4B09F2E1" w:rsidR="00A349A4" w:rsidRDefault="00F92F73" w:rsidP="004802D1">
      <w:r>
        <w:rPr>
          <w:noProof/>
        </w:rPr>
        <w:drawing>
          <wp:inline distT="0" distB="0" distL="0" distR="0" wp14:anchorId="31C56E5D" wp14:editId="7FC887AD">
            <wp:extent cx="5274310" cy="3578225"/>
            <wp:effectExtent l="0" t="0" r="2540" b="3175"/>
            <wp:docPr id="1" name="图片 1" descr="图形用户界面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图示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9A4">
        <w:t xml:space="preserve"> </w:t>
      </w:r>
    </w:p>
    <w:p w14:paraId="57B78577" w14:textId="29532412" w:rsidR="00F92F73" w:rsidRDefault="00F92F73" w:rsidP="004802D1">
      <w:pPr>
        <w:rPr>
          <w:rFonts w:hint="eastAsia"/>
        </w:rPr>
      </w:pPr>
      <w:r>
        <w:rPr>
          <w:rFonts w:hint="eastAsia"/>
        </w:rPr>
        <w:t>F</w:t>
      </w:r>
      <w:r>
        <w:t xml:space="preserve">rom the graphs, we can see that </w:t>
      </w:r>
      <w:r w:rsidR="004F371C">
        <w:t>t</w:t>
      </w:r>
      <w:r w:rsidR="004F371C">
        <w:t xml:space="preserve">he original MDP always has the best performance because it is where the policy is derived. </w:t>
      </w:r>
      <w:r w:rsidR="004F371C">
        <w:t>W</w:t>
      </w:r>
      <w:r>
        <w:t>hen only perturbing three features</w:t>
      </w:r>
      <w:r w:rsidR="001B065D">
        <w:t>, weaker students are affected more</w:t>
      </w:r>
      <w:r w:rsidR="007D54D3">
        <w:t xml:space="preserve">. As shown by the top-left graph, there is a big difference between reward of </w:t>
      </w:r>
      <w:r w:rsidR="007D54D3">
        <w:lastRenderedPageBreak/>
        <w:t>weak students and reward of intermediate students.</w:t>
      </w:r>
      <w:r w:rsidR="001B065D">
        <w:t xml:space="preserve"> However, as more features are included, the effect starts to diminish. </w:t>
      </w:r>
      <w:r w:rsidR="004F371C">
        <w:t>The bottom-right graph shows that even with all features perturbed, the performance of policy is not affected.</w:t>
      </w:r>
      <w:r w:rsidR="00084B0F">
        <w:t xml:space="preserve"> This means that the policies would be robust in the real-world setting</w:t>
      </w:r>
      <w:r w:rsidR="004F371C">
        <w:t xml:space="preserve"> where students have different learning styles</w:t>
      </w:r>
      <w:r w:rsidR="00084B0F">
        <w:t>.</w:t>
      </w:r>
      <w:r w:rsidR="00020A1D">
        <w:t xml:space="preserve"> One drawback is that including more features inevitably increases the cost of computation</w:t>
      </w:r>
      <w:r w:rsidR="007D54D3">
        <w:t>. A policy that favors weaker students would be desired.</w:t>
      </w:r>
    </w:p>
    <w:sectPr w:rsidR="00F92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40"/>
    <w:rsid w:val="00020A1D"/>
    <w:rsid w:val="00084B0F"/>
    <w:rsid w:val="00100DED"/>
    <w:rsid w:val="001B065D"/>
    <w:rsid w:val="00426340"/>
    <w:rsid w:val="004802D1"/>
    <w:rsid w:val="0048123D"/>
    <w:rsid w:val="004F371C"/>
    <w:rsid w:val="00667BAE"/>
    <w:rsid w:val="007D54D3"/>
    <w:rsid w:val="0088147B"/>
    <w:rsid w:val="00A21618"/>
    <w:rsid w:val="00A349A4"/>
    <w:rsid w:val="00B11908"/>
    <w:rsid w:val="00B71A83"/>
    <w:rsid w:val="00F9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D26"/>
  <w15:chartTrackingRefBased/>
  <w15:docId w15:val="{402E23E1-0499-4017-A9FD-F1FDF696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B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802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RONGXING</dc:creator>
  <cp:keywords/>
  <dc:description/>
  <cp:lastModifiedBy>RONGXING</cp:lastModifiedBy>
  <cp:revision>4</cp:revision>
  <dcterms:created xsi:type="dcterms:W3CDTF">2022-03-12T16:05:00Z</dcterms:created>
  <dcterms:modified xsi:type="dcterms:W3CDTF">2022-03-12T22:14:00Z</dcterms:modified>
</cp:coreProperties>
</file>