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b/>
          <w:color w:val="0D0D0D"/>
          <w:spacing w:val="0"/>
          <w:sz w:val="26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575pt;height:69.8pt;mso-wrap-distance-right:0pt;mso-wrap-distance-bottom:8pt" filled="f" o:ole="">
            <v:imagedata r:id="rId3" o:title=""/>
          </v:shape>
          <o:OLEObject Type="Embed" ProgID="StaticMetafile" ShapeID="ole_rId2" DrawAspect="Content" ObjectID="_1690966367" r:id="rId2"/>
        </w:object>
      </w:r>
      <w:r>
        <w:rPr>
          <w:rFonts w:eastAsia="Times New Roman" w:cs="Times New Roman" w:ascii="Times New Roman" w:hAnsi="Times New Roman"/>
          <w:b/>
          <w:color w:val="0D0D0D"/>
          <w:spacing w:val="0"/>
          <w:sz w:val="26"/>
          <w:shd w:fill="auto" w:val="clear"/>
        </w:rPr>
        <w:t>НЕГОСУДАРСТВЕННОЕ ОБРАЗОВАТЕЛЬНОЕ ЧАСТНОЕ</w:t>
      </w: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D0D0D"/>
          <w:spacing w:val="0"/>
          <w:sz w:val="26"/>
          <w:shd w:fill="auto" w:val="clear"/>
        </w:rPr>
        <w:t>УЧРЕЖДЕНИЕ ВЫСШЕГО ОБРАЗОВАНИЯ</w:t>
      </w: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D0D0D"/>
          <w:spacing w:val="0"/>
          <w:sz w:val="26"/>
          <w:shd w:fill="auto" w:val="clear"/>
        </w:rPr>
        <w:t>«МОСКОВСКИЙ ФИНАНСОВО-ПРОМЫШЛЕННЫЙ УНИВЕРСИТЕТ</w:t>
      </w: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D0D0D"/>
          <w:spacing w:val="0"/>
          <w:sz w:val="26"/>
          <w:shd w:fill="auto" w:val="clear"/>
        </w:rPr>
        <w:t>“СИНЕРГИЯ”»</w:t>
      </w:r>
    </w:p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</w:r>
    </w:p>
    <w:tbl>
      <w:tblPr>
        <w:tblW w:w="9355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8"/>
        <w:gridCol w:w="5961"/>
      </w:tblGrid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8"/>
                <w:shd w:fill="auto" w:val="clear"/>
              </w:rPr>
              <w:t>Факультет/Институт</w:t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28"/>
                <w:shd w:fill="auto" w:val="clear"/>
              </w:rPr>
              <w:t>Кафедра ИМиИКТ им. В.В. Дика</w:t>
            </w:r>
          </w:p>
        </w:tc>
      </w:tr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8"/>
                <w:shd w:fill="auto" w:val="clear"/>
              </w:rPr>
              <w:t>(наименование факультета/ Института)</w:t>
            </w:r>
          </w:p>
        </w:tc>
      </w:tr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center"/>
              <w:rPr>
                <w:spacing w:val="0"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2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26"/>
                <w:shd w:fill="auto" w:val="clear"/>
              </w:rPr>
              <w:t xml:space="preserve">Информационные технологии и программирование </w:t>
            </w:r>
          </w:p>
        </w:tc>
      </w:tr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-1"/>
              <w:jc w:val="center"/>
              <w:rPr>
                <w:spacing w:val="0"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2"/>
                <w:shd w:fill="auto" w:val="clear"/>
              </w:rPr>
              <w:t>подготовки:</w:t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-1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8"/>
                <w:shd w:fill="auto" w:val="clear"/>
              </w:rPr>
              <w:t>(код и наименование направления /специальности подготовки)</w:t>
            </w:r>
          </w:p>
        </w:tc>
      </w:tr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2"/>
                <w:shd w:fill="auto" w:val="clear"/>
              </w:rPr>
              <w:t>Форма обучения</w:t>
            </w: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8"/>
                <w:shd w:fill="auto" w:val="clear"/>
              </w:rPr>
              <w:t>:</w:t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24"/>
                <w:shd w:fill="auto" w:val="clear"/>
              </w:rPr>
              <w:t xml:space="preserve">Очная </w:t>
            </w:r>
          </w:p>
        </w:tc>
      </w:tr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-1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8"/>
                <w:shd w:fill="auto" w:val="clear"/>
              </w:rPr>
              <w:t>(очная, очно-заочная, заочная)</w:t>
            </w:r>
          </w:p>
        </w:tc>
      </w:tr>
      <w:tr>
        <w:trPr>
          <w:trHeight w:val="340" w:hRule="atLeast"/>
        </w:trPr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</w:r>
    </w:p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b/>
          <w:color w:val="0D0D0D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D0D0D"/>
          <w:spacing w:val="0"/>
          <w:sz w:val="28"/>
          <w:shd w:fill="auto" w:val="clear"/>
        </w:rPr>
        <w:t xml:space="preserve">Отчет по практической работе </w:t>
      </w:r>
      <w:r>
        <w:rPr>
          <w:rFonts w:eastAsia="Segoe UI Symbol" w:cs="Segoe UI Symbol" w:ascii="Segoe UI Symbol" w:hAnsi="Segoe UI Symbol"/>
          <w:b/>
          <w:color w:val="0D0D0D"/>
          <w:spacing w:val="0"/>
          <w:sz w:val="28"/>
          <w:shd w:fill="auto" w:val="clear"/>
        </w:rPr>
        <w:t>№</w:t>
      </w:r>
      <w:r>
        <w:rPr>
          <w:rFonts w:eastAsia="Times New Roman" w:cs="Times New Roman" w:ascii="Times New Roman" w:hAnsi="Times New Roman"/>
          <w:b/>
          <w:color w:val="0D0D0D"/>
          <w:spacing w:val="0"/>
          <w:sz w:val="28"/>
          <w:shd w:fill="auto" w:val="clear"/>
        </w:rPr>
        <w:t>2</w:t>
      </w:r>
    </w:p>
    <w:tbl>
      <w:tblPr>
        <w:tblW w:w="963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84"/>
        <w:gridCol w:w="567"/>
        <w:gridCol w:w="284"/>
        <w:gridCol w:w="7087"/>
      </w:tblGrid>
      <w:tr>
        <w:trPr>
          <w:trHeight w:val="1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8"/>
                <w:shd w:fill="auto" w:val="clear"/>
              </w:rPr>
              <w:t>на тему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93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360" w:before="0" w:after="0"/>
              <w:ind w:firstLine="851" w:left="0" w:right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Р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азработка и оформление технического задания</w:t>
            </w:r>
          </w:p>
        </w:tc>
      </w:tr>
      <w:tr>
        <w:trPr>
          <w:trHeight w:val="1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8"/>
                <w:shd w:fill="auto" w:val="clear"/>
              </w:rPr>
              <w:t>(наименование темы)</w:t>
            </w:r>
          </w:p>
        </w:tc>
      </w:tr>
      <w:tr>
        <w:trPr>
          <w:trHeight w:val="1" w:hRule="atLeast"/>
        </w:trPr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93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/>
                <w:color w:val="0D0D0D"/>
                <w:spacing w:val="0"/>
                <w:sz w:val="3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30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30"/>
                <w:shd w:fill="auto" w:val="clear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>Технология разработки программного обеспечения</w:t>
            </w:r>
          </w:p>
        </w:tc>
      </w:tr>
      <w:tr>
        <w:trPr>
          <w:trHeight w:val="1" w:hRule="atLeast"/>
        </w:trPr>
        <w:tc>
          <w:tcPr>
            <w:tcW w:w="22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8"/>
                <w:shd w:fill="auto" w:val="clear"/>
              </w:rPr>
              <w:t>(наименование дисциплины)</w:t>
            </w:r>
          </w:p>
        </w:tc>
      </w:tr>
    </w:tbl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18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</w:r>
    </w:p>
    <w:tbl>
      <w:tblPr>
        <w:tblW w:w="9355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80"/>
        <w:gridCol w:w="4860"/>
        <w:gridCol w:w="281"/>
        <w:gridCol w:w="1875"/>
      </w:tblGrid>
      <w:tr>
        <w:trPr>
          <w:trHeight w:val="1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8"/>
                <w:shd w:fill="auto" w:val="clear"/>
              </w:rPr>
              <w:t>Обучающийся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26"/>
                <w:shd w:fill="auto" w:val="clear"/>
              </w:rPr>
              <w:t>Сорокин Никита Александрович</w:t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8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6"/>
                <w:shd w:fill="auto" w:val="clear"/>
              </w:rPr>
              <w:t>(ФИО)</w:t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6"/>
                <w:shd w:fill="auto" w:val="clear"/>
              </w:rPr>
              <w:t>(подпись)</w:t>
            </w:r>
          </w:p>
        </w:tc>
      </w:tr>
      <w:tr>
        <w:trPr>
          <w:trHeight w:val="1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8"/>
                <w:shd w:fill="auto" w:val="clear"/>
              </w:rPr>
              <w:t>Группа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26"/>
                <w:shd w:fill="auto" w:val="clear"/>
              </w:rPr>
              <w:t>Группа – ДКИП 111</w:t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8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</w:r>
    </w:p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</w:r>
    </w:p>
    <w:tbl>
      <w:tblPr>
        <w:tblW w:w="9571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2"/>
        <w:gridCol w:w="4932"/>
        <w:gridCol w:w="283"/>
        <w:gridCol w:w="1919"/>
      </w:tblGrid>
      <w:tr>
        <w:trPr>
          <w:trHeight w:val="1" w:hRule="atLeast"/>
        </w:trPr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8"/>
                <w:shd w:fill="auto" w:val="clear"/>
              </w:rPr>
              <w:t>Преподаватель</w:t>
            </w:r>
          </w:p>
        </w:tc>
        <w:tc>
          <w:tcPr>
            <w:tcW w:w="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6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D0D0D"/>
                <w:spacing w:val="0"/>
                <w:sz w:val="26"/>
                <w:shd w:fill="auto" w:val="clear"/>
              </w:rPr>
              <w:t>Бунькин Виктор Иванович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6"/>
                <w:shd w:fill="auto" w:val="clear"/>
              </w:rPr>
              <w:t>(ФИО)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9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76" w:before="0" w:after="0"/>
              <w:ind w:hanging="0" w:left="0" w:right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pacing w:val="0"/>
                <w:sz w:val="16"/>
                <w:shd w:fill="auto" w:val="clear"/>
              </w:rPr>
              <w:t>(подпись)</w:t>
            </w:r>
          </w:p>
        </w:tc>
      </w:tr>
    </w:tbl>
    <w:p>
      <w:pPr>
        <w:pStyle w:val="Normal"/>
        <w:bidi w:val="0"/>
        <w:spacing w:lineRule="exact" w:line="276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D0D0D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</w:r>
    </w:p>
    <w:p>
      <w:pPr>
        <w:pStyle w:val="Normal"/>
        <w:tabs>
          <w:tab w:val="clear" w:pos="709"/>
          <w:tab w:val="center" w:pos="4904" w:leader="none"/>
          <w:tab w:val="left" w:pos="6504" w:leader="none"/>
        </w:tabs>
        <w:bidi w:val="0"/>
        <w:spacing w:lineRule="exact" w:line="276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D0D0D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D0D0D"/>
          <w:spacing w:val="0"/>
          <w:sz w:val="26"/>
          <w:shd w:fill="auto" w:val="clear"/>
        </w:rPr>
        <w:tab/>
      </w:r>
    </w:p>
    <w:p>
      <w:pPr>
        <w:pStyle w:val="Normal"/>
        <w:tabs>
          <w:tab w:val="clear" w:pos="709"/>
          <w:tab w:val="center" w:pos="4904" w:leader="none"/>
          <w:tab w:val="left" w:pos="6504" w:leader="none"/>
        </w:tabs>
        <w:bidi w:val="0"/>
        <w:spacing w:lineRule="exact" w:line="276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D0D0D"/>
          <w:spacing w:val="0"/>
          <w:sz w:val="28"/>
          <w:shd w:fill="auto" w:val="clear"/>
        </w:rPr>
      </w:pPr>
      <w:r>
        <w:rPr/>
      </w:r>
    </w:p>
    <w:p>
      <w:pPr>
        <w:pStyle w:val="Normal"/>
        <w:tabs>
          <w:tab w:val="clear" w:pos="709"/>
          <w:tab w:val="center" w:pos="4904" w:leader="none"/>
          <w:tab w:val="left" w:pos="6504" w:leader="none"/>
        </w:tabs>
        <w:bidi w:val="0"/>
        <w:spacing w:lineRule="exact" w:line="276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D0D0D"/>
          <w:spacing w:val="0"/>
          <w:sz w:val="28"/>
          <w:shd w:fill="auto" w:val="clear"/>
        </w:rPr>
      </w:pPr>
      <w:r>
        <w:rPr/>
      </w:r>
    </w:p>
    <w:p>
      <w:pPr>
        <w:pStyle w:val="Normal"/>
        <w:tabs>
          <w:tab w:val="clear" w:pos="709"/>
          <w:tab w:val="center" w:pos="4904" w:leader="none"/>
          <w:tab w:val="left" w:pos="6504" w:leader="none"/>
        </w:tabs>
        <w:bidi w:val="0"/>
        <w:spacing w:lineRule="exact" w:line="276" w:before="0" w:after="160"/>
        <w:ind w:hanging="0" w:left="0" w:right="0"/>
        <w:jc w:val="center"/>
        <w:rPr/>
      </w:pPr>
      <w:r>
        <w:rPr>
          <w:rFonts w:eastAsia="Times New Roman" w:cs="Times New Roman" w:ascii="Times New Roman" w:hAnsi="Times New Roman"/>
          <w:b/>
          <w:color w:val="0D0D0D"/>
          <w:spacing w:val="0"/>
          <w:sz w:val="28"/>
          <w:shd w:fill="auto" w:val="clear"/>
        </w:rPr>
        <w:t>Москва 2024 г.</w:t>
      </w:r>
    </w:p>
    <w:p>
      <w:pPr>
        <w:pStyle w:val="Normal"/>
        <w:bidi w:val="0"/>
        <w:spacing w:lineRule="exact" w:line="240" w:before="0" w:after="240"/>
        <w:ind w:hanging="0" w:left="0" w:right="0"/>
        <w:jc w:val="center"/>
        <w:rPr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Вариант 21 (</w:t>
      </w:r>
      <w:bookmarkStart w:id="0" w:name="docs-internal-guid-7c2b7276-7fff-666a-61"/>
      <w:bookmarkEnd w:id="0"/>
      <w:r>
        <w:rPr>
          <w:shd w:fill="auto" w:val="clear"/>
        </w:rPr>
        <w:t>Экспертная система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)</w:t>
      </w:r>
    </w:p>
    <w:p>
      <w:pPr>
        <w:pStyle w:val="Normal"/>
        <w:bidi w:val="0"/>
        <w:spacing w:lineRule="exact" w:line="240" w:before="0" w:after="24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shd w:fill="FFFFFF" w:val="clear"/>
        </w:rPr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Составим ТЗ для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Э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кспертной системы для предиктивного обслуживания промышленного оборудования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выполняется в рамках проекта "Разработка экспертной системы для предиктивного обслуживания промышленного оборудования".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Основание для разработки: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Основанием для данной работы является Соглашение № 1235 от 15 марта 2023 г.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Название работы: "Разработка экспертной системы для предиктивного обслуживания промышленного оборудования".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Исполнители: ООО "Лаборатория разработки программного обеспечения".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Соисполнители: нет.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Назначение разработки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разработки является создание экспертной системы для предиктивного обслуживания промышленного оборудования, которая позволит своевременно обнаруживать потенциальные отказы и уменьшать время простоя.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Технические требования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Функциональные требования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4.1.1. Экспертная система должна выполнять следующие функции: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и анализ данных из различных источников (датчиков, баз данных и т.д.) о состоянии промышленного оборудования;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потенциальных отказов и аномалий в работе оборудования;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Предоставление рекомендаций для обслуживания и ремонта;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текущего состояния оборудования в реальном времени;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Архивирование данных для дальнейшего анализа и отчетности.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Требования к надежности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обеспечивать надежность собираемых и анализируемых данных, а также надежность предоставляемых рекомендаций.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Требования к условиям эксплуатации и техническим средствам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работать в стандартной офисной среде и быть совместимой с операционными системами Windows 10/11.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 Требования к информационной и программной совместимости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быть совместимой с различными форматами данных и программными платформами.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4.5. Требования к транспортировке и хранению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поставляться на цифровом носителе (CD/DVD или USB-накопителе).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4.6. Специальные требования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иметь дружественный интерфейс;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быть модульной, позволяющей легко обновлять и расширять;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быть разработана на языке программирования, обеспечивающем интеграцию с различными периферийными устройствами.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Требования к программной документации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документами, регламентирующими разработку экспертной системы,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Технико-экономические показатели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экспертной системы будет определяться ее способностью уменьшать время простоя и увеличивать общую эффективность обслуживания промышленного оборудования.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Порядок контроля и приемки</w:t>
      </w:r>
    </w:p>
    <w:p>
      <w:pPr>
        <w:pStyle w:val="Normal"/>
        <w:bidi w:val="0"/>
        <w:spacing w:lineRule="exact" w:line="240" w:before="0" w:after="2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поставки каждого функционального модуля экспертной системы Заказчик имеет право тестировать модуль в течение 7 дней. После тестирования Заказчик должен принять работу или предоставить письменное обоснование для отказа. В случае обоснованного отказа Исполнитель должен пересмотреть модуль.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Noto Sans Devanagari"/>
      <w:color w:val="auto"/>
      <w:kern w:val="2"/>
      <w:sz w:val="22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LibreOffice/7.6.6.3$Linux_X86_64 LibreOffice_project/60$Build-3</Application>
  <AppVersion>15.0000</AppVersion>
  <Pages>4</Pages>
  <Words>431</Words>
  <Characters>3371</Characters>
  <CharactersWithSpaces>3735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2024-05-20T09:57:03Z</dcterms:modified>
  <cp:revision>3</cp:revision>
  <dc:subject/>
  <dc:title/>
</cp:coreProperties>
</file>