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103" w:rsidRDefault="008E2103" w:rsidP="003F6909">
      <w:pPr>
        <w:jc w:val="both"/>
        <w:rPr>
          <w:b/>
        </w:rPr>
      </w:pPr>
    </w:p>
    <w:p w:rsidR="00EA2863" w:rsidRPr="00F84A1D" w:rsidRDefault="00F84A1D" w:rsidP="00F84A1D">
      <w:pPr>
        <w:pStyle w:val="TtuloApartado1sinnivel"/>
      </w:pPr>
      <w:r>
        <w:t>Actividad</w:t>
      </w:r>
      <w:r w:rsidR="008E2103" w:rsidRPr="00F84A1D">
        <w:t xml:space="preserve"> grupal</w:t>
      </w:r>
      <w:r>
        <w:t>:</w:t>
      </w:r>
      <w:r w:rsidR="008E2103" w:rsidRPr="00F84A1D">
        <w:t xml:space="preserve"> </w:t>
      </w:r>
      <w:r>
        <w:t xml:space="preserve">Condiciones de compra-venta en una tienda </w:t>
      </w:r>
      <w:r w:rsidRPr="00F84A1D">
        <w:rPr>
          <w:i/>
        </w:rPr>
        <w:t>online</w:t>
      </w:r>
    </w:p>
    <w:p w:rsidR="00667907" w:rsidRDefault="00667907" w:rsidP="00F84A1D">
      <w:pPr>
        <w:pStyle w:val="Prrafodelista"/>
        <w:ind w:left="0"/>
      </w:pPr>
    </w:p>
    <w:p w:rsidR="00EA2863" w:rsidRDefault="00F84A1D" w:rsidP="00F84A1D">
      <w:pPr>
        <w:pStyle w:val="TtuloApartado3"/>
      </w:pPr>
      <w:r>
        <w:t>Descripción de la actividad y pautas de elaboración</w:t>
      </w:r>
    </w:p>
    <w:p w:rsidR="00F84A1D" w:rsidRDefault="00F84A1D" w:rsidP="00F84A1D">
      <w:pPr>
        <w:pStyle w:val="Prrafodelista"/>
        <w:ind w:left="0"/>
      </w:pPr>
    </w:p>
    <w:p w:rsidR="00F84A1D" w:rsidRDefault="00F84A1D" w:rsidP="00F84A1D">
      <w:pPr>
        <w:pStyle w:val="Prrafodelista"/>
        <w:ind w:left="0"/>
      </w:pPr>
      <w:r>
        <w:t xml:space="preserve">La empresa </w:t>
      </w:r>
      <w:proofErr w:type="spellStart"/>
      <w:r>
        <w:t>SportLine</w:t>
      </w:r>
      <w:proofErr w:type="spellEnd"/>
      <w:r>
        <w:t xml:space="preserve"> S.L. con CIF nº B83472645, domicilio en la Calle Mayor </w:t>
      </w:r>
      <w:r w:rsidR="001D067C">
        <w:t>nº</w:t>
      </w:r>
      <w:r>
        <w:t xml:space="preserve">2 de Alicante y correo electrónico info@sporline.es, quiere poner en su página web una plataforma de venta </w:t>
      </w:r>
      <w:r w:rsidR="00227B62">
        <w:rPr>
          <w:i/>
        </w:rPr>
        <w:t>online</w:t>
      </w:r>
      <w:r>
        <w:t xml:space="preserve"> para vender las zapatillas de deporte. Para ello contrata una aplicación estándar del mercado p</w:t>
      </w:r>
      <w:r w:rsidR="00227B62">
        <w:t xml:space="preserve">ara poder gestionar la venta </w:t>
      </w:r>
      <w:r w:rsidR="00227B62" w:rsidRPr="00227B62">
        <w:rPr>
          <w:i/>
        </w:rPr>
        <w:t>on</w:t>
      </w:r>
      <w:r w:rsidRPr="00227B62">
        <w:rPr>
          <w:i/>
        </w:rPr>
        <w:t>line</w:t>
      </w:r>
      <w:r>
        <w:t xml:space="preserve"> mediante un procedimiento de carrito de la compra. </w:t>
      </w:r>
    </w:p>
    <w:p w:rsidR="00F84A1D" w:rsidRDefault="00F84A1D" w:rsidP="00F84A1D">
      <w:pPr>
        <w:pStyle w:val="Prrafodelista"/>
        <w:ind w:left="0"/>
      </w:pPr>
    </w:p>
    <w:p w:rsidR="00F84A1D" w:rsidRDefault="00F84A1D" w:rsidP="00F84A1D">
      <w:pPr>
        <w:pStyle w:val="Prrafodelista"/>
        <w:ind w:left="0"/>
      </w:pPr>
      <w:r>
        <w:t>Los clientes al entrar en la web pueden visualizar las zapatillas de deporte que quieren comprar, seleccionarla, elegir la talla e incluirlas en la cesta de la compra.</w:t>
      </w:r>
      <w:r w:rsidR="00227B62">
        <w:t xml:space="preserve"> </w:t>
      </w:r>
      <w:r>
        <w:t>Luego se registran con sus datos personales (nombre y apellidos, DNI, e</w:t>
      </w:r>
      <w:r w:rsidR="00227B62">
        <w:t>-</w:t>
      </w:r>
      <w:r>
        <w:t xml:space="preserve">mail, teléfono móvil y dirección) y pasan a la pasarela de pago del banco, donde pagan por medio de la tarjeta de crédito o rédito. </w:t>
      </w:r>
    </w:p>
    <w:p w:rsidR="00F84A1D" w:rsidRDefault="00F84A1D" w:rsidP="00F84A1D">
      <w:pPr>
        <w:pStyle w:val="Prrafodelista"/>
        <w:ind w:left="0"/>
      </w:pPr>
    </w:p>
    <w:p w:rsidR="00F84A1D" w:rsidRDefault="00F84A1D" w:rsidP="00F84A1D">
      <w:pPr>
        <w:pStyle w:val="Prrafodelista"/>
        <w:ind w:left="0"/>
      </w:pPr>
      <w:r>
        <w:t xml:space="preserve">Tras el pago se confirma por </w:t>
      </w:r>
      <w:proofErr w:type="spellStart"/>
      <w:r>
        <w:t>SportLine</w:t>
      </w:r>
      <w:proofErr w:type="spellEnd"/>
      <w:r>
        <w:t xml:space="preserve"> la compra enviando un e</w:t>
      </w:r>
      <w:r w:rsidR="00227B62">
        <w:t>-mail al comprador</w:t>
      </w:r>
      <w:r>
        <w:t xml:space="preserve"> y se entregan las zapatillas en la dirección postal indicada en el formulario de registro a través de la empres</w:t>
      </w:r>
      <w:r w:rsidR="00227B62">
        <w:t>a</w:t>
      </w:r>
      <w:r>
        <w:t xml:space="preserve"> de mensajería WRM. </w:t>
      </w:r>
    </w:p>
    <w:p w:rsidR="00F84A1D" w:rsidRDefault="00F84A1D" w:rsidP="00F84A1D">
      <w:pPr>
        <w:pStyle w:val="Prrafodelista"/>
        <w:ind w:left="0"/>
      </w:pPr>
    </w:p>
    <w:p w:rsidR="00F84A1D" w:rsidRDefault="00F84A1D" w:rsidP="00F84A1D">
      <w:pPr>
        <w:pStyle w:val="Prrafodelista"/>
        <w:ind w:left="0"/>
      </w:pPr>
      <w:r>
        <w:t>La entrega es gratuita si</w:t>
      </w:r>
      <w:r w:rsidR="00227B62">
        <w:t xml:space="preserve"> la compra supera los cien euros;</w:t>
      </w:r>
      <w:r>
        <w:t xml:space="preserve"> si</w:t>
      </w:r>
      <w:r w:rsidR="00227B62">
        <w:t xml:space="preserve"> </w:t>
      </w:r>
      <w:r>
        <w:t>no</w:t>
      </w:r>
      <w:r w:rsidR="00227B62">
        <w:t>,</w:t>
      </w:r>
      <w:r>
        <w:t xml:space="preserve"> se cobra un gast</w:t>
      </w:r>
      <w:r w:rsidR="00227B62">
        <w:t>o de envío de diez</w:t>
      </w:r>
      <w:r>
        <w:t xml:space="preserve"> euros. Solo se entregan las zapatillas de compra a una dirección del territorio nacional. </w:t>
      </w:r>
    </w:p>
    <w:p w:rsidR="00F84A1D" w:rsidRDefault="00F84A1D" w:rsidP="00F84A1D">
      <w:pPr>
        <w:pStyle w:val="Prrafodelista"/>
        <w:ind w:left="0"/>
      </w:pPr>
    </w:p>
    <w:p w:rsidR="00F84A1D" w:rsidRPr="00B3362D" w:rsidRDefault="00F84A1D" w:rsidP="00F84A1D">
      <w:pPr>
        <w:pStyle w:val="Prrafodelista"/>
        <w:ind w:left="0"/>
      </w:pPr>
      <w:r>
        <w:t xml:space="preserve">Redacta las condiciones de venta </w:t>
      </w:r>
      <w:r w:rsidRPr="00227B62">
        <w:rPr>
          <w:i/>
        </w:rPr>
        <w:t>online,</w:t>
      </w:r>
      <w:r>
        <w:t xml:space="preserve"> por la compra a través de la página web de las zapatillas. Incluyendo todas las condiciones e información exigida por la normativa de comercio electrónico, según la Ley 34/2002, de 11 de julio, de servicios de la sociedad </w:t>
      </w:r>
      <w:r>
        <w:lastRenderedPageBreak/>
        <w:t xml:space="preserve">de la información y comercio electrónico y el </w:t>
      </w:r>
      <w:r w:rsidRPr="00B3362D">
        <w:t xml:space="preserve">Real Decreto Legislativo 1/2007, de 16 de noviembre, por el que se aprueba el texto refundido de la Ley General para la Defensa de los Consumidores y Usuarios y otras leyes complementarias. </w:t>
      </w:r>
    </w:p>
    <w:p w:rsidR="00F84A1D" w:rsidRDefault="00F84A1D" w:rsidP="00F84A1D">
      <w:pPr>
        <w:pStyle w:val="Prrafodelista"/>
        <w:ind w:left="0"/>
      </w:pPr>
    </w:p>
    <w:p w:rsidR="00EA2863" w:rsidRPr="00F84A1D" w:rsidRDefault="001D067C" w:rsidP="00F84A1D">
      <w:pPr>
        <w:pStyle w:val="Prrafodelista"/>
        <w:ind w:left="0"/>
      </w:pPr>
      <w:r w:rsidRPr="001D067C">
        <w:rPr>
          <w:b/>
        </w:rPr>
        <w:t>Objetivos</w:t>
      </w:r>
    </w:p>
    <w:p w:rsidR="001D067C" w:rsidRDefault="001D067C" w:rsidP="00F84A1D">
      <w:pPr>
        <w:pStyle w:val="Prrafodelista"/>
        <w:ind w:left="0"/>
      </w:pPr>
    </w:p>
    <w:p w:rsidR="00072C52" w:rsidRDefault="001D067C" w:rsidP="00F84A1D">
      <w:pPr>
        <w:pStyle w:val="Prrafodelista"/>
        <w:ind w:left="0"/>
      </w:pPr>
      <w:r>
        <w:t>E</w:t>
      </w:r>
      <w:r w:rsidR="00EB112B">
        <w:t xml:space="preserve">laborar las condiciones de compra-venta de una tienda de comercio electrónico. </w:t>
      </w:r>
    </w:p>
    <w:p w:rsidR="00F051B4" w:rsidRDefault="00F051B4" w:rsidP="00F84A1D">
      <w:pPr>
        <w:pStyle w:val="Prrafodelista"/>
        <w:ind w:left="0"/>
      </w:pPr>
    </w:p>
    <w:p w:rsidR="00630FE2" w:rsidRDefault="00B118D0" w:rsidP="00F84A1D">
      <w:pPr>
        <w:pStyle w:val="Prrafodelista"/>
        <w:ind w:left="0"/>
      </w:pPr>
      <w:r>
        <w:rPr>
          <w:b/>
        </w:rPr>
        <w:t>Extensión máxima</w:t>
      </w:r>
      <w:r w:rsidR="00F83DFD" w:rsidRPr="001D067C">
        <w:rPr>
          <w:b/>
        </w:rPr>
        <w:t>:</w:t>
      </w:r>
      <w:r w:rsidR="001D067C">
        <w:t xml:space="preserve"> </w:t>
      </w:r>
      <w:r w:rsidR="00F051B4">
        <w:t>2</w:t>
      </w:r>
      <w:r w:rsidR="00F83DFD">
        <w:t xml:space="preserve"> p</w:t>
      </w:r>
      <w:r w:rsidR="001D067C">
        <w:t>áginas, fuente Calibri 12, interlineado 1,5.</w:t>
      </w:r>
    </w:p>
    <w:p w:rsidR="00B46510" w:rsidRDefault="00B46510" w:rsidP="00F84A1D">
      <w:pPr>
        <w:pStyle w:val="Prrafodelista"/>
        <w:ind w:left="0"/>
      </w:pPr>
    </w:p>
    <w:p w:rsidR="00B46510" w:rsidRPr="00F84A1D" w:rsidRDefault="001D067C" w:rsidP="00F84A1D">
      <w:pPr>
        <w:pStyle w:val="Prrafodelista"/>
        <w:ind w:left="0"/>
      </w:pPr>
      <w:r w:rsidRPr="001D067C">
        <w:rPr>
          <w:b/>
        </w:rPr>
        <w:t>Rúbrica</w:t>
      </w:r>
    </w:p>
    <w:p w:rsidR="00B46510" w:rsidRDefault="00B46510" w:rsidP="00B46510">
      <w:pPr>
        <w:jc w:val="both"/>
        <w:rPr>
          <w:b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B46510" w:rsidTr="001F1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B46510" w:rsidRPr="00A443AD" w:rsidRDefault="001F1F6B" w:rsidP="001F1F6B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A443AD">
              <w:rPr>
                <w:rFonts w:cs="UnitOT-Medi"/>
                <w:b w:val="0"/>
                <w:sz w:val="20"/>
                <w:szCs w:val="20"/>
              </w:rPr>
              <w:t xml:space="preserve">Condiciones de compra-venta en una tienda </w:t>
            </w:r>
            <w:r w:rsidRPr="00A443AD">
              <w:rPr>
                <w:rFonts w:cs="UnitOT-Medi"/>
                <w:b w:val="0"/>
                <w:i/>
                <w:sz w:val="20"/>
                <w:szCs w:val="20"/>
              </w:rPr>
              <w:t>online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B46510" w:rsidRPr="00A443AD" w:rsidRDefault="00B46510" w:rsidP="001F1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A443AD">
              <w:rPr>
                <w:rFonts w:cs="UnitOT-Medi"/>
                <w:b w:val="0"/>
                <w:bCs w:val="0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B46510" w:rsidRPr="00A443AD" w:rsidRDefault="00B46510" w:rsidP="001F1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A443AD">
              <w:rPr>
                <w:rFonts w:cs="UnitOT-Medi"/>
                <w:b w:val="0"/>
                <w:bCs w:val="0"/>
                <w:sz w:val="20"/>
                <w:szCs w:val="20"/>
              </w:rPr>
              <w:t>Puntuación máxima</w:t>
            </w:r>
          </w:p>
          <w:p w:rsidR="00B46510" w:rsidRPr="00A443AD" w:rsidRDefault="00B46510" w:rsidP="001F1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A443AD">
              <w:rPr>
                <w:rFonts w:cs="UnitOT-Medi"/>
                <w:b w:val="0"/>
                <w:bCs w:val="0"/>
                <w:sz w:val="20"/>
                <w:szCs w:val="20"/>
              </w:rPr>
              <w:t>(</w:t>
            </w:r>
            <w:r w:rsidR="00E2623C">
              <w:rPr>
                <w:rFonts w:cs="UnitOT-Medi"/>
                <w:b w:val="0"/>
                <w:bCs w:val="0"/>
                <w:sz w:val="20"/>
                <w:szCs w:val="20"/>
              </w:rPr>
              <w:t>valor real: 6,5</w:t>
            </w:r>
            <w:bookmarkStart w:id="0" w:name="_GoBack"/>
            <w:bookmarkEnd w:id="0"/>
            <w:r w:rsidR="001F1F6B" w:rsidRPr="00A443AD">
              <w:rPr>
                <w:rFonts w:cs="UnitOT-Medi"/>
                <w:b w:val="0"/>
                <w:bCs w:val="0"/>
                <w:sz w:val="20"/>
                <w:szCs w:val="20"/>
              </w:rPr>
              <w:t xml:space="preserve"> </w:t>
            </w:r>
            <w:r w:rsidRPr="00A443AD">
              <w:rPr>
                <w:rFonts w:cs="UnitOT-Medi"/>
                <w:b w:val="0"/>
                <w:bCs w:val="0"/>
                <w:sz w:val="20"/>
                <w:szCs w:val="20"/>
              </w:rPr>
              <w:t>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B46510" w:rsidRPr="00A443AD" w:rsidRDefault="00B46510" w:rsidP="001F1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A443AD">
              <w:rPr>
                <w:rFonts w:cs="UnitOT-Medi"/>
                <w:b w:val="0"/>
                <w:bCs w:val="0"/>
                <w:sz w:val="20"/>
                <w:szCs w:val="20"/>
              </w:rPr>
              <w:t>Peso</w:t>
            </w:r>
          </w:p>
          <w:p w:rsidR="00B46510" w:rsidRPr="00A443AD" w:rsidRDefault="00B46510" w:rsidP="001F1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A443AD">
              <w:rPr>
                <w:rFonts w:cs="UnitOT-Medi"/>
                <w:b w:val="0"/>
                <w:bCs w:val="0"/>
                <w:sz w:val="20"/>
                <w:szCs w:val="20"/>
              </w:rPr>
              <w:t>%</w:t>
            </w:r>
          </w:p>
        </w:tc>
      </w:tr>
      <w:tr w:rsidR="00B46510" w:rsidTr="001F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46510" w:rsidRPr="001F1F6B" w:rsidRDefault="00B46510" w:rsidP="001F1F6B">
            <w:pPr>
              <w:jc w:val="center"/>
              <w:rPr>
                <w:rFonts w:cs="UnitOT-Medi"/>
                <w:b w:val="0"/>
                <w:color w:val="333333"/>
                <w:sz w:val="20"/>
                <w:szCs w:val="20"/>
              </w:rPr>
            </w:pPr>
            <w:r w:rsidRPr="001F1F6B">
              <w:rPr>
                <w:rFonts w:cs="UnitOT-Medi"/>
                <w:b w:val="0"/>
                <w:bCs w:val="0"/>
                <w:color w:val="333333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B46510" w:rsidRPr="001F1F6B" w:rsidRDefault="00B46510" w:rsidP="001F1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color w:val="333333"/>
                <w:sz w:val="20"/>
                <w:szCs w:val="20"/>
              </w:rPr>
            </w:pPr>
            <w:r w:rsidRPr="001F1F6B">
              <w:rPr>
                <w:rFonts w:cs="UnitOT-Light"/>
                <w:color w:val="333333"/>
                <w:sz w:val="20"/>
                <w:szCs w:val="20"/>
              </w:rPr>
              <w:t>Se incluyen los apartados</w:t>
            </w:r>
            <w:r w:rsidR="00B3362D" w:rsidRPr="001F1F6B">
              <w:rPr>
                <w:rFonts w:cs="UnitOT-Light"/>
                <w:color w:val="333333"/>
                <w:sz w:val="20"/>
                <w:szCs w:val="20"/>
              </w:rPr>
              <w:t xml:space="preserve"> </w:t>
            </w:r>
            <w:r w:rsidRPr="001F1F6B">
              <w:rPr>
                <w:rFonts w:cs="UnitOT-Light"/>
                <w:color w:val="333333"/>
                <w:sz w:val="20"/>
                <w:szCs w:val="20"/>
              </w:rPr>
              <w:t>mínimos exigidos por ley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B46510" w:rsidRPr="001F1F6B" w:rsidRDefault="00B46510" w:rsidP="001F1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color w:val="333333"/>
                <w:sz w:val="20"/>
                <w:szCs w:val="20"/>
              </w:rPr>
            </w:pPr>
            <w:r w:rsidRPr="001F1F6B">
              <w:rPr>
                <w:rFonts w:cs="UnitOT-Light"/>
                <w:color w:val="333333"/>
                <w:sz w:val="20"/>
                <w:szCs w:val="20"/>
              </w:rPr>
              <w:t>5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B46510" w:rsidRPr="001F1F6B" w:rsidRDefault="00B46510" w:rsidP="001F1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color w:val="333333"/>
                <w:sz w:val="20"/>
                <w:szCs w:val="20"/>
              </w:rPr>
            </w:pPr>
            <w:r w:rsidRPr="001F1F6B">
              <w:rPr>
                <w:rFonts w:cs="UnitOT-Light"/>
                <w:color w:val="333333"/>
                <w:sz w:val="20"/>
                <w:szCs w:val="20"/>
              </w:rPr>
              <w:t>50</w:t>
            </w:r>
            <w:r w:rsidR="001F1F6B">
              <w:rPr>
                <w:rFonts w:cs="UnitOT-Light"/>
                <w:color w:val="333333"/>
                <w:sz w:val="20"/>
                <w:szCs w:val="20"/>
              </w:rPr>
              <w:t xml:space="preserve"> </w:t>
            </w:r>
            <w:r w:rsidRPr="001F1F6B">
              <w:rPr>
                <w:rFonts w:cs="UnitOT-Light"/>
                <w:color w:val="333333"/>
                <w:sz w:val="20"/>
                <w:szCs w:val="20"/>
              </w:rPr>
              <w:t>%</w:t>
            </w:r>
          </w:p>
        </w:tc>
      </w:tr>
      <w:tr w:rsidR="00B46510" w:rsidTr="001F1F6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46510" w:rsidRPr="001F1F6B" w:rsidRDefault="00B46510" w:rsidP="001F1F6B">
            <w:pPr>
              <w:jc w:val="center"/>
              <w:rPr>
                <w:rFonts w:cs="UnitOT-Medi"/>
                <w:b w:val="0"/>
                <w:color w:val="333333"/>
                <w:sz w:val="20"/>
                <w:szCs w:val="20"/>
              </w:rPr>
            </w:pPr>
            <w:r w:rsidRPr="001F1F6B">
              <w:rPr>
                <w:rFonts w:cs="UnitOT-Medi"/>
                <w:b w:val="0"/>
                <w:bCs w:val="0"/>
                <w:color w:val="333333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B46510" w:rsidRPr="001F1F6B" w:rsidRDefault="00B46510" w:rsidP="001F1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color w:val="333333"/>
                <w:sz w:val="20"/>
                <w:szCs w:val="20"/>
              </w:rPr>
            </w:pPr>
            <w:r w:rsidRPr="001F1F6B">
              <w:rPr>
                <w:rFonts w:cs="UnitOT-Light"/>
                <w:color w:val="333333"/>
                <w:sz w:val="20"/>
                <w:szCs w:val="20"/>
              </w:rPr>
              <w:t>Se redactan los apartados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B46510" w:rsidRPr="001F1F6B" w:rsidRDefault="00B46510" w:rsidP="001F1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color w:val="333333"/>
                <w:sz w:val="20"/>
                <w:szCs w:val="20"/>
              </w:rPr>
            </w:pPr>
            <w:r w:rsidRPr="001F1F6B">
              <w:rPr>
                <w:rFonts w:cs="UnitOT-Light"/>
                <w:color w:val="333333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B46510" w:rsidRPr="001F1F6B" w:rsidRDefault="00B46510" w:rsidP="001F1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color w:val="333333"/>
                <w:sz w:val="20"/>
                <w:szCs w:val="20"/>
              </w:rPr>
            </w:pPr>
            <w:r w:rsidRPr="001F1F6B">
              <w:rPr>
                <w:rFonts w:cs="UnitOT-Light"/>
                <w:color w:val="333333"/>
                <w:sz w:val="20"/>
                <w:szCs w:val="20"/>
              </w:rPr>
              <w:t>30</w:t>
            </w:r>
            <w:r w:rsidR="001F1F6B">
              <w:rPr>
                <w:rFonts w:cs="UnitOT-Light"/>
                <w:color w:val="333333"/>
                <w:sz w:val="20"/>
                <w:szCs w:val="20"/>
              </w:rPr>
              <w:t xml:space="preserve"> </w:t>
            </w:r>
            <w:r w:rsidRPr="001F1F6B">
              <w:rPr>
                <w:rFonts w:cs="UnitOT-Light"/>
                <w:color w:val="333333"/>
                <w:sz w:val="20"/>
                <w:szCs w:val="20"/>
              </w:rPr>
              <w:t>%</w:t>
            </w:r>
          </w:p>
        </w:tc>
      </w:tr>
      <w:tr w:rsidR="00B46510" w:rsidTr="001F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46510" w:rsidRPr="001F1F6B" w:rsidRDefault="00B46510" w:rsidP="001F1F6B">
            <w:pPr>
              <w:jc w:val="center"/>
              <w:rPr>
                <w:rFonts w:cs="UnitOT-Medi"/>
                <w:b w:val="0"/>
                <w:color w:val="333333"/>
                <w:sz w:val="20"/>
                <w:szCs w:val="20"/>
              </w:rPr>
            </w:pPr>
            <w:r w:rsidRPr="001F1F6B">
              <w:rPr>
                <w:rFonts w:cs="UnitOT-Medi"/>
                <w:b w:val="0"/>
                <w:bCs w:val="0"/>
                <w:color w:val="333333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B46510" w:rsidRPr="001F1F6B" w:rsidRDefault="00B46510" w:rsidP="001F1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color w:val="333333"/>
                <w:sz w:val="20"/>
                <w:szCs w:val="20"/>
              </w:rPr>
            </w:pPr>
            <w:r w:rsidRPr="001F1F6B">
              <w:rPr>
                <w:rFonts w:cs="UnitOT-Light"/>
                <w:color w:val="333333"/>
                <w:sz w:val="20"/>
                <w:szCs w:val="20"/>
              </w:rPr>
              <w:t>Se incluyen los contenidos correctamente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B46510" w:rsidRPr="001F1F6B" w:rsidRDefault="00B46510" w:rsidP="001F1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color w:val="333333"/>
                <w:sz w:val="20"/>
                <w:szCs w:val="20"/>
              </w:rPr>
            </w:pPr>
            <w:r w:rsidRPr="001F1F6B">
              <w:rPr>
                <w:rFonts w:cs="UnitOT-Light"/>
                <w:color w:val="333333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B46510" w:rsidRPr="001F1F6B" w:rsidRDefault="00B46510" w:rsidP="001F1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color w:val="333333"/>
                <w:sz w:val="20"/>
                <w:szCs w:val="20"/>
              </w:rPr>
            </w:pPr>
            <w:r w:rsidRPr="001F1F6B">
              <w:rPr>
                <w:rFonts w:cs="UnitOT-Light"/>
                <w:color w:val="333333"/>
                <w:sz w:val="20"/>
                <w:szCs w:val="20"/>
              </w:rPr>
              <w:t>20</w:t>
            </w:r>
            <w:r w:rsidR="001F1F6B">
              <w:rPr>
                <w:rFonts w:cs="UnitOT-Light"/>
                <w:color w:val="333333"/>
                <w:sz w:val="20"/>
                <w:szCs w:val="20"/>
              </w:rPr>
              <w:t xml:space="preserve"> </w:t>
            </w:r>
            <w:r w:rsidRPr="001F1F6B">
              <w:rPr>
                <w:rFonts w:cs="UnitOT-Light"/>
                <w:color w:val="333333"/>
                <w:sz w:val="20"/>
                <w:szCs w:val="20"/>
              </w:rPr>
              <w:t>%</w:t>
            </w:r>
          </w:p>
        </w:tc>
      </w:tr>
      <w:tr w:rsidR="00B46510" w:rsidTr="001F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  <w:vAlign w:val="center"/>
          </w:tcPr>
          <w:p w:rsidR="00B46510" w:rsidRPr="001F1F6B" w:rsidRDefault="00B46510" w:rsidP="001F1F6B">
            <w:pPr>
              <w:spacing w:line="288" w:lineRule="auto"/>
              <w:jc w:val="center"/>
              <w:rPr>
                <w:b w:val="0"/>
                <w:bCs w:val="0"/>
                <w:color w:val="333333"/>
                <w:szCs w:val="18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  <w:vAlign w:val="center"/>
          </w:tcPr>
          <w:p w:rsidR="00B46510" w:rsidRPr="001F1F6B" w:rsidRDefault="00B46510" w:rsidP="001F1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color w:val="333333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46510" w:rsidRPr="001F1F6B" w:rsidRDefault="00B46510" w:rsidP="001F1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color w:val="333333"/>
                <w:sz w:val="20"/>
                <w:szCs w:val="20"/>
              </w:rPr>
            </w:pPr>
            <w:r w:rsidRPr="001F1F6B">
              <w:rPr>
                <w:rFonts w:cs="UnitOT-Light"/>
                <w:b/>
                <w:color w:val="333333"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  <w:vAlign w:val="center"/>
          </w:tcPr>
          <w:p w:rsidR="00B46510" w:rsidRPr="001F1F6B" w:rsidRDefault="00B46510" w:rsidP="001F1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color w:val="333333"/>
                <w:sz w:val="20"/>
                <w:szCs w:val="20"/>
              </w:rPr>
            </w:pPr>
            <w:r w:rsidRPr="001F1F6B">
              <w:rPr>
                <w:rFonts w:cs="UnitOT-Light"/>
                <w:b/>
                <w:color w:val="333333"/>
                <w:sz w:val="20"/>
                <w:szCs w:val="20"/>
              </w:rPr>
              <w:t>100 %</w:t>
            </w:r>
          </w:p>
        </w:tc>
      </w:tr>
    </w:tbl>
    <w:p w:rsidR="00B46510" w:rsidRDefault="00B46510" w:rsidP="001F1F6B">
      <w:pPr>
        <w:pStyle w:val="Prrafodelista"/>
        <w:ind w:left="0"/>
        <w:rPr>
          <w:rFonts w:asciiTheme="minorHAnsi" w:eastAsiaTheme="minorHAnsi" w:hAnsiTheme="minorHAnsi" w:cstheme="minorBidi"/>
          <w:b/>
          <w:color w:val="auto"/>
          <w:lang w:eastAsia="en-US"/>
        </w:rPr>
      </w:pPr>
    </w:p>
    <w:p w:rsidR="001F1F6B" w:rsidRDefault="001F1F6B" w:rsidP="001F1F6B">
      <w:pPr>
        <w:pStyle w:val="Prrafodelista"/>
        <w:ind w:left="0"/>
      </w:pPr>
    </w:p>
    <w:sectPr w:rsidR="001F1F6B" w:rsidSect="00F84A1D">
      <w:headerReference w:type="default" r:id="rId6"/>
      <w:footerReference w:type="even" r:id="rId7"/>
      <w:foot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B0F" w:rsidRDefault="00493B0F" w:rsidP="00F83DFD">
      <w:r>
        <w:separator/>
      </w:r>
    </w:p>
  </w:endnote>
  <w:endnote w:type="continuationSeparator" w:id="0">
    <w:p w:rsidR="00493B0F" w:rsidRDefault="00493B0F" w:rsidP="00F8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tOT-Medi"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-Light"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67A" w:rsidRDefault="0034567A" w:rsidP="0034567A">
    <w:pPr>
      <w:pStyle w:val="PiedepginaAsignatura"/>
    </w:pPr>
    <w:r w:rsidRPr="00D8376E">
      <w:rPr>
        <w:noProof/>
        <w:color w:val="0098CD"/>
      </w:rPr>
      <mc:AlternateContent>
        <mc:Choice Requires="wps">
          <w:drawing>
            <wp:anchor distT="0" distB="0" distL="114300" distR="114300" simplePos="0" relativeHeight="251663360" behindDoc="0" locked="1" layoutInCell="1" allowOverlap="1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0" t="3175" r="1270" b="254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-54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567A" w:rsidRPr="00525591" w:rsidRDefault="0034567A" w:rsidP="0034567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vert="vert270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-178.7pt;margin-top:729.45pt;width:198.3pt;height:25.4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rsJvwIAAMkFAAAOAAAAZHJzL2Uyb0RvYy54bWysVNuOmzAQfa/Uf7D8znIJSQhastqFUFXa&#10;XqRtP8DBJlgFm9pOyKrqv3dscu9L1ZYHa7DHxzNzzsz9w75r0Y4pzaXIcHgXYMREJSkXmwx//VJ6&#10;CUbaEEFJKwXL8CvT+GH59s390Kcsko1sKVMIQIROhz7DjTF96vu6alhH9J3smYDDWqqOGPhVG58q&#10;MgB61/pREMz8QSraK1kxrWG3GA/x0uHXNavMp7rWzKA2wxCbcaty69qu/vKepBtF+oZXhzDIX0TR&#10;ES7g0RNUQQxBW8V/g+p4paSWtbmrZOfLuuYVczlANmFwk81LQ3rmcoHi6P5UJv3/YKuPu88KcZrh&#10;CUaCdEBRviVUSUQZMmxvJJrYIg29TsH3pQdvs3+SeyDbJaz7Z1l900jIvCFiwx6VkkPDCIUgQ3vT&#10;v7g64mgLsh4+SAqvka2RDmhfqw4pCQx50ziwn9uGEiF4DLh7PfEFYaEKNqNpmMQhHFVwNomiaeII&#10;9UlqwSwdvdLmHZMdskaGFejBoZLdszY2uLOLdRey5G3rNNGKqw1wHHfgbbhqz2wUjuIfi2CxSlZJ&#10;7MXRbOXFQVF4j2Uee7MynE+LSZHnRfjTvhvGacMpZcI+c5RbGP8ZnQfhj0I5CU7LllMLZ0PSarPO&#10;W4V2BOReus9RACdnN/86DFcEyOUmpTCKg6do4ZWzZO7FZTz1FvMg8YJw8bSYBfEiLsrrlJ65YP+e&#10;EhoyPJtMR+4vgr7JzenjSPaVW8cNDJSWdxlORhU5Oq0iV4I62xDejvZFKWz451IA3UeinX6tZEfx&#10;mv167/olOrbFWtJXELSTLmgRhiEoza7RHH4HmC0Z1t+3RDGM2vcC+gK2zdFQR2N9NIioGgkjao3R&#10;aOZmHFjbXvFNA+Bj5wn5CL1Tc6dj22RjIIeOg3nh0jnMNjuQLv+d13kCL38BAAD//wMAUEsDBBQA&#10;BgAIAAAAIQC4Rxfp4gAAAA8BAAAPAAAAZHJzL2Rvd25yZXYueG1sTI9PT4NAEMXvJn6HzZh4o8s/&#10;gSBLY0w8GD1oNZ63MAVSdpawW0q/vePJHue9X968V21XM4oFZzdYUhBtQhBIjW0H6hR8f70EBQjn&#10;NbV6tIQKLuhgW9/eVLps7Zk+cdn5TnAIuVIr6L2fSild06PRbmMnJPYOdjba8zl3sp31mcPNKOMw&#10;zKTRA/GHXk/43GNz3J2Mgo9uPSyYpG95nJrm+ONe3/PLpNT93fr0CMLj6v9h+KvP1aHmTnt7otaJ&#10;UUEQFekDs+zERcazmAmiJMlB7FnLijgDWVfyekf9CwAA//8DAFBLAQItABQABgAIAAAAIQC2gziS&#10;/gAAAOEBAAATAAAAAAAAAAAAAAAAAAAAAABbQ29udGVudF9UeXBlc10ueG1sUEsBAi0AFAAGAAgA&#10;AAAhADj9If/WAAAAlAEAAAsAAAAAAAAAAAAAAAAALwEAAF9yZWxzLy5yZWxzUEsBAi0AFAAGAAgA&#10;AAAhAL/Guwm/AgAAyQUAAA4AAAAAAAAAAAAAAAAALgIAAGRycy9lMm9Eb2MueG1sUEsBAi0AFAAG&#10;AAgAAAAhALhHF+niAAAADwEAAA8AAAAAAAAAAAAAAAAAGQUAAGRycy9kb3ducmV2LnhtbFBLBQYA&#10;AAAABAAEAPMAAAAoBgAAAAA=&#10;" filled="f" stroked="f" strokeweight=".5pt">
              <v:textbox style="layout-flow:vertical;mso-layout-flow-alt:bottom-to-top" inset="0,0,0,0">
                <w:txbxContent>
                  <w:p w:rsidR="0034567A" w:rsidRPr="00525591" w:rsidRDefault="0034567A" w:rsidP="0034567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D8376E">
      <w:rPr>
        <w:noProof/>
        <w:color w:val="0098CD"/>
      </w:rPr>
      <mc:AlternateContent>
        <mc:Choice Requires="wps">
          <w:drawing>
            <wp:anchor distT="0" distB="0" distL="114300" distR="252095" simplePos="0" relativeHeight="251662336" behindDoc="1" locked="0" layoutInCell="1" allowOverlap="0">
              <wp:simplePos x="0" y="0"/>
              <wp:positionH relativeFrom="page">
                <wp:posOffset>6534150</wp:posOffset>
              </wp:positionH>
              <wp:positionV relativeFrom="page">
                <wp:posOffset>9959975</wp:posOffset>
              </wp:positionV>
              <wp:extent cx="251460" cy="719455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1460" cy="71945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34567A" w:rsidRPr="00D93008" w:rsidRDefault="0034567A" w:rsidP="0034567A">
                          <w:pPr>
                            <w:jc w:val="center"/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</w:pP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2623C">
                            <w:rPr>
                              <w:rFonts w:cs="UnitOT-Light"/>
                              <w:noProof/>
                              <w:color w:val="FFFFFF"/>
                              <w:sz w:val="20"/>
                              <w:szCs w:val="20"/>
                            </w:rPr>
                            <w:t>2</w: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" o:spid="_x0000_s1027" style="position:absolute;left:0;text-align:left;margin-left:514.5pt;margin-top:784.25pt;width:19.8pt;height:56.65pt;z-index:-251654144;visibility:visible;mso-wrap-style:square;mso-width-percent:0;mso-height-percent:0;mso-wrap-distance-left:9pt;mso-wrap-distance-top:0;mso-wrap-distance-right:19.8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jlgQIAAOsEAAAOAAAAZHJzL2Uyb0RvYy54bWysVMlu2zAQvRfoPxC8N1pgZxEiB4aNFAWM&#10;JGhS5DymKIkot5K05fRv+i39sQ4pOUnTnorqQAxnhrO8eaPLq4OSZM+dF0bXtDjJKeGamUborqZf&#10;Hq4/nFPiA+gGpNG8pk/c06vF+3eXg614aXojG+4IBtG+GmxN+xBslWWe9VyBPzGWazS2xikIeHVd&#10;1jgYMLqSWZnnp9lgXGOdYdx71K5HI12k+G3LWbhtW88DkTXF2kI6XTq38cwWl1B1Dmwv2FQG/EMV&#10;CoTGpM+h1hCA7Jz4I5QSzBlv2nDCjMpM2wrGUw/YTZG/6ea+B8tTLwiOt88w+f8Xlt3s7xwRTU1L&#10;SjQoHNFnBO3nD93tpCFlBGiwvkK/e3vnYovebgz76tGQ/WaJFz/5HFqnoi82SA4J7adntPkhEIbK&#10;cl7MTnEmDE1nxcVsPo/JMqiOj63z4SM3ikShpg7rShjDfuPD6Hp0SXUZKZprIWW6uG67ko7sIQ4+&#10;vzhfrafo/rWb1GRA2pZneSwEkICthICisgiJ1x0lIDtkNgsu5dYmZsDkUMXca/D9mCOFHemkREBO&#10;S6Fqep7Hb8osdXzGEyunDl4wi1I4bA9pFkV8ETVb0zzhfJwZiestuxaYdgM+3IFDpmLZuH3hFo9W&#10;GuzFTBIlvXHf/6aP/kggtFIyIPOxz287cJwS+UkjteKaJKGYzWLxxB3V2yTM5mclavVOrQyCW+CC&#10;W5bE6BvkUWydUY+4ncuYDk2gGSatKcI7iqswLiJuN+PLZXLCrbAQNvreshj6iPPD4RGcnYgQkEE3&#10;5rgcUL3hw+gbX2qz3AXTikSWFzgn4uJGJbpN2x9X9vU9eb38oxa/AAAA//8DAFBLAwQUAAYACAAA&#10;ACEAGGI0ouAAAAAPAQAADwAAAGRycy9kb3ducmV2LnhtbEyPwU7DMBBE70j8g7VI3KidSrWcEKdC&#10;lXrg2NILNyc2SdrYDvE2DX/P9gS3Ge1o9k25XfzAZjelPgYN2UoAc6GJtg+thtPH/kUBS2iCNUMM&#10;TsOPS7CtHh9KU9h4Cwc3H7FlVBJSYTR0iGPBeWo6501axdEFun3FyRskO7XcTuZG5X7gayEk96YP&#10;9KEzo9t1rrkcr16D32XeZ3uVx+/3z3M9SzycctT6+Wl5ewWGbsG/MNzxCR0qYqrjNdjEBvJindMY&#10;JLWRagPsnhFSSWA1KakyBbwq+f8d1S8AAAD//wMAUEsBAi0AFAAGAAgAAAAhALaDOJL+AAAA4QEA&#10;ABMAAAAAAAAAAAAAAAAAAAAAAFtDb250ZW50X1R5cGVzXS54bWxQSwECLQAUAAYACAAAACEAOP0h&#10;/9YAAACUAQAACwAAAAAAAAAAAAAAAAAvAQAAX3JlbHMvLnJlbHNQSwECLQAUAAYACAAAACEAL8j4&#10;5YECAADrBAAADgAAAAAAAAAAAAAAAAAuAgAAZHJzL2Uyb0RvYy54bWxQSwECLQAUAAYACAAAACEA&#10;GGI0ouAAAAAPAQAADwAAAAAAAAAAAAAAAADbBAAAZHJzL2Rvd25yZXYueG1sUEsFBgAAAAAEAAQA&#10;8wAAAOgFAAAAAA==&#10;" o:allowoverlap="f" fillcolor="#0098cd" stroked="f" strokeweight="1pt">
              <v:path arrowok="t"/>
              <v:textbox inset="0,4mm,0">
                <w:txbxContent>
                  <w:p w:rsidR="0034567A" w:rsidRPr="00D93008" w:rsidRDefault="0034567A" w:rsidP="0034567A">
                    <w:pPr>
                      <w:jc w:val="center"/>
                      <w:rPr>
                        <w:rFonts w:cs="UnitOT-Light"/>
                        <w:color w:val="FFFFFF"/>
                        <w:sz w:val="20"/>
                        <w:szCs w:val="20"/>
                      </w:rPr>
                    </w:pP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begin"/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instrText>PAGE   \* MERGEFORMAT</w:instrTex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separate"/>
                    </w:r>
                    <w:r w:rsidR="00E2623C">
                      <w:rPr>
                        <w:rFonts w:cs="UnitOT-Light"/>
                        <w:noProof/>
                        <w:color w:val="FFFFFF"/>
                        <w:sz w:val="20"/>
                        <w:szCs w:val="20"/>
                      </w:rPr>
                      <w:t>2</w: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page" anchory="page"/>
            </v:rect>
          </w:pict>
        </mc:Fallback>
      </mc:AlternateContent>
    </w:r>
    <w:r w:rsidRPr="00D8376E">
      <w:rPr>
        <w:color w:val="0098CD"/>
      </w:rPr>
      <w:t>Actividades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67A" w:rsidRDefault="0034567A" w:rsidP="0034567A">
    <w:pPr>
      <w:pStyle w:val="PiedepginaAsignatura"/>
    </w:pPr>
    <w:r w:rsidRPr="00D8376E">
      <w:rPr>
        <w:noProof/>
        <w:color w:val="0098CD"/>
      </w:rPr>
      <mc:AlternateContent>
        <mc:Choice Requires="wps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0" t="3175" r="1270" b="254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-54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567A" w:rsidRPr="00525591" w:rsidRDefault="0034567A" w:rsidP="0034567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vert="vert270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kNvQIAAMIFAAAOAAAAZHJzL2Uyb0RvYy54bWysVNuOmzAQfa/Uf7D8znJZkhC0ZLULoaq0&#10;vUjbfoDBJlgFm9pOyKrqv3dslmyyfana8mCN7fGZMzOHubk99h06MKW5FBkOrwKMmKgl5WKX4a9f&#10;Si/BSBsiKOmkYBl+Yhrfbt6+uRmHlEWylR1lCgGI0Ok4ZLg1Zkh9X9ct64m+kgMTcNlI1RMDW7Xz&#10;qSIjoPedHwXB0h+looOSNdMaTovpEm8cftOw2nxqGs0M6jIM3IxblVsru/qbG5LuFBlaXj/TIH/B&#10;oidcQNATVEEMQXvFf4Pqea2klo25qmXvy6bhNXM5QDZh8Cqbx5YMzOUCxdHDqUz6/8HWHw+fFeIU&#10;eoeRID20KN8TqiSiDBl2NBKFtkjjoFPwfRzA2xzv5dE+sAnr4UHW3zQSMm+J2LE7peTYMkKBpHvp&#10;nz2dcLQFqcYPkkI0sjfSAR0b1SMloUPeIg7s546hRAiCQe+eTv0CWqiGw2gRJnEIVzXcXUfRInEN&#10;9UlqwSy7QWnzjskeWSPDCvTgUMnhQRtIC1xnF+suZMm7zmmiExcH4DidQGx4au8sC9fiH+tgvU22&#10;SezF0XLrxUFReHdlHnvLMlwtiusiz4vwp40bxmnLKWXChpnlFsZ/1s5n4U9COQlOy45TC2cpabWr&#10;8k6hAwG5l+6zzQPyZ27+JQ13Dbm8SimM4uA+WnvlMll5cRkvvPUqSLwgXN+vl0G8jovyMqUHLti/&#10;p4TGDC+vF1Pvz0i/ys3pY272hVvPDQyUjvcZTiYVuXZaRW4FdbYhvJvss1JY+i+lgIrNjXb6tZKd&#10;xGuO1RFQrKgrSZ9AyU6zIEKYgiAxu0Yr2I4wVDKsv++JYhh17wX8EHBsZkPNRjUbRNSthNlUYTSZ&#10;uZkm1X5QfNcC+PTLCXkHP03DnYBfiAB7u4FB4fJ4Hmp2Ep3vndfL6N38AgAA//8DAFBLAwQUAAYA&#10;CAAAACEAuEcX6eIAAAAPAQAADwAAAGRycy9kb3ducmV2LnhtbEyPT0+DQBDF7yZ+h82YeKPLP4Eg&#10;S2NMPBg9aDWetzAFUnaWsFtKv73jyR7nvV/evFdtVzOKBWc3WFIQbUIQSI1tB+oUfH+9BAUI5zW1&#10;erSECi7oYFvf3lS6bO2ZPnHZ+U5wCLlSK+i9n0opXdOj0W5jJyT2DnY22vM5d7Kd9ZnDzSjjMMyk&#10;0QPxh15P+Nxjc9ydjIKPbj0smKRveZya5vjjXt/zy6TU/d369AjC4+r/Yfirz9Wh5k57e6LWiVFB&#10;EBXpA7PsxEXGs5gJoiTJQexZy4o4A1lX8npH/QsAAP//AwBQSwECLQAUAAYACAAAACEAtoM4kv4A&#10;AADhAQAAEwAAAAAAAAAAAAAAAAAAAAAAW0NvbnRlbnRfVHlwZXNdLnhtbFBLAQItABQABgAIAAAA&#10;IQA4/SH/1gAAAJQBAAALAAAAAAAAAAAAAAAAAC8BAABfcmVscy8ucmVsc1BLAQItABQABgAIAAAA&#10;IQAIBEkNvQIAAMIFAAAOAAAAAAAAAAAAAAAAAC4CAABkcnMvZTJvRG9jLnhtbFBLAQItABQABgAI&#10;AAAAIQC4Rxfp4gAAAA8BAAAPAAAAAAAAAAAAAAAAABcFAABkcnMvZG93bnJldi54bWxQSwUGAAAA&#10;AAQABADzAAAAJgYAAAAA&#10;" filled="f" stroked="f" strokeweight=".5pt">
              <v:textbox style="layout-flow:vertical;mso-layout-flow-alt:bottom-to-top" inset="0,0,0,0">
                <w:txbxContent>
                  <w:p w:rsidR="0034567A" w:rsidRPr="00525591" w:rsidRDefault="0034567A" w:rsidP="0034567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D8376E">
      <w:rPr>
        <w:noProof/>
        <w:color w:val="0098CD"/>
      </w:rPr>
      <mc:AlternateContent>
        <mc:Choice Requires="wps">
          <w:drawing>
            <wp:anchor distT="0" distB="0" distL="114300" distR="252095" simplePos="0" relativeHeight="251659264" behindDoc="1" locked="0" layoutInCell="1" allowOverlap="0">
              <wp:simplePos x="0" y="0"/>
              <wp:positionH relativeFrom="page">
                <wp:posOffset>6534150</wp:posOffset>
              </wp:positionH>
              <wp:positionV relativeFrom="page">
                <wp:posOffset>9959975</wp:posOffset>
              </wp:positionV>
              <wp:extent cx="251460" cy="719455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1460" cy="71945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34567A" w:rsidRPr="00D93008" w:rsidRDefault="0034567A" w:rsidP="0034567A">
                          <w:pPr>
                            <w:jc w:val="center"/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</w:pP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2623C">
                            <w:rPr>
                              <w:rFonts w:cs="UnitOT-Light"/>
                              <w:noProof/>
                              <w:color w:val="FFFFFF"/>
                              <w:sz w:val="20"/>
                              <w:szCs w:val="20"/>
                            </w:rPr>
                            <w:t>1</w: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8" o:spid="_x0000_s1029" style="position:absolute;left:0;text-align:left;margin-left:514.5pt;margin-top:784.25pt;width:19.8pt;height:56.65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fagwIAAO0EAAAOAAAAZHJzL2Uyb0RvYy54bWysVNtu2zAMfR+wfxD0vtrJkl6MOkWQoMOA&#10;oCvWDn1mZPmCSaImKXG6v9m37MdGyU7bdXsa5geBIileDg99eXXQiu2l8x2akk9Ocs6kEVh1pin5&#10;l/vrd+ec+QCmAoVGlvxRen61ePvmsreFnGKLqpKOURDji96WvA3BFlnmRSs1+BO00pCxRqch0NU1&#10;WeWgp+haZdM8P816dJV1KKT3pF0PRr5I8etaivCprr0MTJWcagvpdOncxjNbXELROLBtJ8Yy4B+q&#10;0NAZSvoUag0B2M51f4TSnXDosQ4nAnWGdd0JmXqgbib5q27uWrAy9ULgePsEk/9/YcXN/taxrir5&#10;lCZlQNOMPhNqP3+YZqeQkZYg6q0vyPPO3rrYpLcbFF89GbLfLPHiR59D7XT0pRbZIeH9+IS3PAQm&#10;SDmdT2anNBVBprPJxWw+j8kyKI6PrfPhg0TNolByR4UllGG/8WFwPbqkulB11XWnVLq4ZrtSju0h&#10;jj6/OF+tx+j+pZsyrCfiTs/yWAgQBWsFgURtCRRvGs5ANcRtEVzKbTBmoORQxNxr8O2QI4UdCKW7&#10;QKxWnS75eR6/MbMy8ZlMvBw7eMYsSuGwPaRpvI8vomaL1SNNyOFAXW/FdUdpN+DDLTjiKpVN+xc+&#10;0VErpF5wlDhr0X3/mz76E4XIyllP3Kc+v+3ASc7UR0PkiouShMlsFotn7qjeJmE2P5uS1uz0Cgnc&#10;Ca24FUmMvkEdxdqhfqD9XMZ0ZAIjKGnJCd5BXIVhFWm/hVwukxPthYWwMXdWxNBHnO8PD+DsSIRA&#10;DLrB43pA8YoPg298aXC5C1h3iSzPcI7EpZ1KdBv3Py7ty3vyev5LLX4BAAD//wMAUEsDBBQABgAI&#10;AAAAIQAYYjSi4AAAAA8BAAAPAAAAZHJzL2Rvd25yZXYueG1sTI/BTsMwEETvSPyDtUjcqJ1KtZwQ&#10;p0KVeuDY0gs3JzZJ2tgO8TYNf8/2BLcZ7Wj2Tbld/MBmN6U+Bg3ZSgBzoYm2D62G08f+RQFLaII1&#10;QwxOw49LsK0eH0pT2HgLBzcfsWVUElJhNHSIY8F5ajrnTVrF0QW6fcXJGyQ7tdxO5kblfuBrIST3&#10;pg/0oTOj23WuuRyvXoPfZd5ne5XH7/fPcz1LPJxy1Pr5aXl7BYZuwb8w3PEJHSpiquM12MQG8mKd&#10;0xgktZFqA+yeEVJJYDUpqTIFvCr5/x3VLwAAAP//AwBQSwECLQAUAAYACAAAACEAtoM4kv4AAADh&#10;AQAAEwAAAAAAAAAAAAAAAAAAAAAAW0NvbnRlbnRfVHlwZXNdLnhtbFBLAQItABQABgAIAAAAIQA4&#10;/SH/1gAAAJQBAAALAAAAAAAAAAAAAAAAAC8BAABfcmVscy8ucmVsc1BLAQItABQABgAIAAAAIQAk&#10;mCfagwIAAO0EAAAOAAAAAAAAAAAAAAAAAC4CAABkcnMvZTJvRG9jLnhtbFBLAQItABQABgAIAAAA&#10;IQAYYjSi4AAAAA8BAAAPAAAAAAAAAAAAAAAAAN0EAABkcnMvZG93bnJldi54bWxQSwUGAAAAAAQA&#10;BADzAAAA6gUAAAAA&#10;" o:allowoverlap="f" fillcolor="#0098cd" stroked="f" strokeweight="1pt">
              <v:path arrowok="t"/>
              <v:textbox inset="0,4mm,0">
                <w:txbxContent>
                  <w:p w:rsidR="0034567A" w:rsidRPr="00D93008" w:rsidRDefault="0034567A" w:rsidP="0034567A">
                    <w:pPr>
                      <w:jc w:val="center"/>
                      <w:rPr>
                        <w:rFonts w:cs="UnitOT-Light"/>
                        <w:color w:val="FFFFFF"/>
                        <w:sz w:val="20"/>
                        <w:szCs w:val="20"/>
                      </w:rPr>
                    </w:pP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begin"/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instrText>PAGE   \* MERGEFORMAT</w:instrTex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separate"/>
                    </w:r>
                    <w:r w:rsidR="00E2623C">
                      <w:rPr>
                        <w:rFonts w:cs="UnitOT-Light"/>
                        <w:noProof/>
                        <w:color w:val="FFFFFF"/>
                        <w:sz w:val="20"/>
                        <w:szCs w:val="20"/>
                      </w:rPr>
                      <w:t>1</w: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page" anchory="page"/>
            </v:rect>
          </w:pict>
        </mc:Fallback>
      </mc:AlternateContent>
    </w:r>
    <w:r w:rsidRPr="00D8376E">
      <w:rPr>
        <w:color w:val="0098CD"/>
      </w:rPr>
      <w:t>Actividades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B0F" w:rsidRDefault="00493B0F" w:rsidP="00F83DFD">
      <w:r>
        <w:separator/>
      </w:r>
    </w:p>
  </w:footnote>
  <w:footnote w:type="continuationSeparator" w:id="0">
    <w:p w:rsidR="00493B0F" w:rsidRDefault="00493B0F" w:rsidP="00F83D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8E2103" w:rsidRPr="00472B27" w:rsidTr="00A61265">
      <w:trPr>
        <w:trHeight w:val="283"/>
        <w:tblHeader/>
        <w:jc w:val="center"/>
      </w:trPr>
      <w:tc>
        <w:tcPr>
          <w:tcW w:w="2552" w:type="dxa"/>
          <w:shd w:val="clear" w:color="auto" w:fill="E6F4F9"/>
          <w:vAlign w:val="center"/>
        </w:tcPr>
        <w:p w:rsidR="008E2103" w:rsidRPr="00D93008" w:rsidRDefault="008E2103" w:rsidP="008E2103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D93008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  <w:shd w:val="clear" w:color="auto" w:fill="E6F4F9"/>
          <w:vAlign w:val="center"/>
        </w:tcPr>
        <w:p w:rsidR="008E2103" w:rsidRPr="00D93008" w:rsidRDefault="008E2103" w:rsidP="008E2103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D93008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  <w:shd w:val="clear" w:color="auto" w:fill="E6F4F9"/>
          <w:vAlign w:val="center"/>
        </w:tcPr>
        <w:p w:rsidR="008E2103" w:rsidRPr="00D93008" w:rsidRDefault="008E2103" w:rsidP="008E2103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D93008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8E2103" w:rsidRPr="00472B27" w:rsidTr="00A61265">
      <w:trPr>
        <w:trHeight w:val="342"/>
        <w:jc w:val="center"/>
      </w:trPr>
      <w:tc>
        <w:tcPr>
          <w:tcW w:w="2552" w:type="dxa"/>
          <w:vMerge w:val="restart"/>
          <w:shd w:val="clear" w:color="auto" w:fill="FFFFFF"/>
          <w:vAlign w:val="center"/>
        </w:tcPr>
        <w:p w:rsidR="008E2103" w:rsidRPr="00D93008" w:rsidRDefault="008E2103" w:rsidP="008E2103">
          <w:pPr>
            <w:pStyle w:val="Textocajaactividades"/>
            <w:rPr>
              <w:bCs/>
            </w:rPr>
          </w:pPr>
          <w:r>
            <w:rPr>
              <w:bCs/>
            </w:rPr>
            <w:t>Deontología y Legislación Informático</w:t>
          </w:r>
        </w:p>
      </w:tc>
      <w:tc>
        <w:tcPr>
          <w:tcW w:w="3827" w:type="dxa"/>
          <w:shd w:val="clear" w:color="auto" w:fill="FFFFFF"/>
        </w:tcPr>
        <w:p w:rsidR="008E2103" w:rsidRPr="00D93008" w:rsidRDefault="008E2103" w:rsidP="008E2103">
          <w:pPr>
            <w:pStyle w:val="Encabezado"/>
            <w:rPr>
              <w:sz w:val="22"/>
              <w:szCs w:val="22"/>
            </w:rPr>
          </w:pPr>
          <w:r w:rsidRPr="00D93008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  <w:shd w:val="clear" w:color="auto" w:fill="FFFFFF"/>
        </w:tcPr>
        <w:p w:rsidR="008E2103" w:rsidRPr="00D93008" w:rsidRDefault="008E2103" w:rsidP="008E2103">
          <w:pPr>
            <w:pStyle w:val="Encabezado"/>
            <w:jc w:val="center"/>
          </w:pPr>
        </w:p>
      </w:tc>
    </w:tr>
    <w:tr w:rsidR="008E2103" w:rsidTr="00A61265">
      <w:trPr>
        <w:trHeight w:val="342"/>
        <w:jc w:val="center"/>
      </w:trPr>
      <w:tc>
        <w:tcPr>
          <w:tcW w:w="2552" w:type="dxa"/>
          <w:vMerge/>
          <w:shd w:val="clear" w:color="auto" w:fill="FFFFFF"/>
        </w:tcPr>
        <w:p w:rsidR="008E2103" w:rsidRDefault="008E2103" w:rsidP="008E2103">
          <w:pPr>
            <w:pStyle w:val="Encabezado"/>
          </w:pPr>
        </w:p>
      </w:tc>
      <w:tc>
        <w:tcPr>
          <w:tcW w:w="3827" w:type="dxa"/>
          <w:shd w:val="clear" w:color="auto" w:fill="FFFFFF"/>
        </w:tcPr>
        <w:p w:rsidR="008E2103" w:rsidRPr="00D93008" w:rsidRDefault="008E2103" w:rsidP="008E2103">
          <w:pPr>
            <w:pStyle w:val="Encabezado"/>
            <w:rPr>
              <w:sz w:val="22"/>
              <w:szCs w:val="22"/>
            </w:rPr>
          </w:pPr>
          <w:r w:rsidRPr="00D93008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  <w:shd w:val="clear" w:color="auto" w:fill="FFFFFF"/>
        </w:tcPr>
        <w:p w:rsidR="008E2103" w:rsidRDefault="008E2103" w:rsidP="008E2103">
          <w:pPr>
            <w:pStyle w:val="Encabezado"/>
          </w:pPr>
        </w:p>
      </w:tc>
    </w:tr>
  </w:tbl>
  <w:p w:rsidR="008E2103" w:rsidRDefault="008E21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63"/>
    <w:rsid w:val="00072C52"/>
    <w:rsid w:val="000848BA"/>
    <w:rsid w:val="0010215E"/>
    <w:rsid w:val="001D067C"/>
    <w:rsid w:val="001F1F6B"/>
    <w:rsid w:val="00227B62"/>
    <w:rsid w:val="00327C23"/>
    <w:rsid w:val="0034567A"/>
    <w:rsid w:val="003F6909"/>
    <w:rsid w:val="00493B0F"/>
    <w:rsid w:val="005E250F"/>
    <w:rsid w:val="00630FE2"/>
    <w:rsid w:val="00667907"/>
    <w:rsid w:val="007F0305"/>
    <w:rsid w:val="0085700F"/>
    <w:rsid w:val="008D764E"/>
    <w:rsid w:val="008E2103"/>
    <w:rsid w:val="00976A1E"/>
    <w:rsid w:val="00976A69"/>
    <w:rsid w:val="00A443AD"/>
    <w:rsid w:val="00B118D0"/>
    <w:rsid w:val="00B3362D"/>
    <w:rsid w:val="00B46510"/>
    <w:rsid w:val="00BA51CA"/>
    <w:rsid w:val="00CA2A9C"/>
    <w:rsid w:val="00D96667"/>
    <w:rsid w:val="00E2623C"/>
    <w:rsid w:val="00EA2863"/>
    <w:rsid w:val="00EB112B"/>
    <w:rsid w:val="00F051B4"/>
    <w:rsid w:val="00F83DFD"/>
    <w:rsid w:val="00F8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529CE346-9A89-4145-9235-5A387B48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83DF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83DF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83DF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85700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5700F"/>
    <w:rPr>
      <w:color w:val="808080"/>
      <w:shd w:val="clear" w:color="auto" w:fill="E6E6E6"/>
    </w:rPr>
  </w:style>
  <w:style w:type="table" w:customStyle="1" w:styleId="Tabladecuadrcula5oscura-nfasis51">
    <w:name w:val="Tabla de cuadrícula 5 oscura - Énfasis 51"/>
    <w:basedOn w:val="Tablanormal"/>
    <w:uiPriority w:val="50"/>
    <w:rsid w:val="00B46510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B3362D"/>
    <w:rPr>
      <w:rFonts w:ascii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qFormat/>
    <w:rsid w:val="008E21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2103"/>
  </w:style>
  <w:style w:type="paragraph" w:styleId="Piedepgina">
    <w:name w:val="footer"/>
    <w:basedOn w:val="Normal"/>
    <w:link w:val="PiedepginaCar"/>
    <w:uiPriority w:val="99"/>
    <w:unhideWhenUsed/>
    <w:rsid w:val="008E21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103"/>
  </w:style>
  <w:style w:type="paragraph" w:customStyle="1" w:styleId="Textocajaactividades">
    <w:name w:val="Texto_caja_actividades"/>
    <w:basedOn w:val="Normal"/>
    <w:qFormat/>
    <w:rsid w:val="008E2103"/>
    <w:pPr>
      <w:jc w:val="center"/>
    </w:pPr>
    <w:rPr>
      <w:rFonts w:ascii="Calibri" w:eastAsia="Times New Roman" w:hAnsi="Calibri" w:cs="UnitOT-Medi"/>
      <w:b/>
      <w:color w:val="333333"/>
      <w:sz w:val="22"/>
      <w:szCs w:val="22"/>
      <w:lang w:eastAsia="es-ES"/>
    </w:r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F84A1D"/>
    <w:pPr>
      <w:spacing w:line="360" w:lineRule="auto"/>
    </w:pPr>
    <w:rPr>
      <w:rFonts w:ascii="Calibri" w:eastAsia="Times New Roman" w:hAnsi="Calibri" w:cs="Times New Roman"/>
      <w:color w:val="0098CD"/>
      <w:sz w:val="40"/>
      <w:szCs w:val="40"/>
      <w:lang w:eastAsia="es-ES"/>
    </w:rPr>
  </w:style>
  <w:style w:type="paragraph" w:styleId="Prrafodelista">
    <w:name w:val="List Paragraph"/>
    <w:basedOn w:val="Normal"/>
    <w:uiPriority w:val="34"/>
    <w:qFormat/>
    <w:rsid w:val="00F84A1D"/>
    <w:pPr>
      <w:spacing w:line="360" w:lineRule="auto"/>
      <w:ind w:left="720"/>
      <w:contextualSpacing/>
      <w:jc w:val="both"/>
    </w:pPr>
    <w:rPr>
      <w:rFonts w:ascii="Calibri" w:eastAsia="Times New Roman" w:hAnsi="Calibri" w:cs="Times New Roman"/>
      <w:color w:val="333333"/>
      <w:lang w:eastAsia="es-ES"/>
    </w:rPr>
  </w:style>
  <w:style w:type="paragraph" w:customStyle="1" w:styleId="TtuloApartado3">
    <w:name w:val="Título Apartado 3"/>
    <w:basedOn w:val="Normal"/>
    <w:next w:val="Normal"/>
    <w:uiPriority w:val="9"/>
    <w:qFormat/>
    <w:rsid w:val="00F84A1D"/>
    <w:pPr>
      <w:spacing w:line="360" w:lineRule="auto"/>
      <w:jc w:val="both"/>
    </w:pPr>
    <w:rPr>
      <w:rFonts w:ascii="Calibri" w:eastAsia="Times New Roman" w:hAnsi="Calibri" w:cs="UnitOT-Medi"/>
      <w:b/>
      <w:color w:val="333333"/>
      <w:lang w:eastAsia="es-ES"/>
    </w:rPr>
  </w:style>
  <w:style w:type="paragraph" w:customStyle="1" w:styleId="PiedepginaAsignatura">
    <w:name w:val="Pie de página_Asignatura"/>
    <w:basedOn w:val="Normal"/>
    <w:uiPriority w:val="18"/>
    <w:qFormat/>
    <w:rsid w:val="0034567A"/>
    <w:pPr>
      <w:spacing w:line="276" w:lineRule="auto"/>
      <w:ind w:firstLine="3686"/>
      <w:jc w:val="right"/>
    </w:pPr>
    <w:rPr>
      <w:rFonts w:ascii="Calibri" w:eastAsia="Times New Roman" w:hAnsi="Calibri" w:cs="UnitOT-Light"/>
      <w:bCs/>
      <w:color w:val="777777"/>
      <w:sz w:val="20"/>
      <w:szCs w:val="20"/>
      <w:lang w:eastAsia="es-ES"/>
    </w:rPr>
  </w:style>
  <w:style w:type="paragraph" w:customStyle="1" w:styleId="PiedepginaUNIRc">
    <w:name w:val="Pie de página_UNIR(c)"/>
    <w:basedOn w:val="PiedepginaAsignatura"/>
    <w:uiPriority w:val="20"/>
    <w:qFormat/>
    <w:rsid w:val="0034567A"/>
    <w:pPr>
      <w:ind w:firstLine="0"/>
    </w:pPr>
    <w:rPr>
      <w:rFonts w:ascii="Calibri Light" w:hAnsi="Calibri Light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Naiara Salinas Barbosa</cp:lastModifiedBy>
  <cp:revision>14</cp:revision>
  <dcterms:created xsi:type="dcterms:W3CDTF">2020-05-23T09:03:00Z</dcterms:created>
  <dcterms:modified xsi:type="dcterms:W3CDTF">2020-07-14T10:49:00Z</dcterms:modified>
</cp:coreProperties>
</file>