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538129" w14:textId="77777777" w:rsidR="004E76DF" w:rsidRDefault="00000000">
      <w:pPr>
        <w:pStyle w:val="Title"/>
        <w:spacing w:before="3000" w:after="400"/>
        <w:jc w:val="center"/>
      </w:pPr>
      <w:r>
        <w:t>FOOTBALL TRANSFER MARKET</w:t>
      </w:r>
    </w:p>
    <w:p w14:paraId="3C8ED331" w14:textId="77777777" w:rsidR="004E76DF" w:rsidRDefault="00000000">
      <w:pPr>
        <w:pStyle w:val="Heading1"/>
        <w:spacing w:after="200"/>
        <w:jc w:val="center"/>
      </w:pPr>
      <w:r>
        <w:t>Summer 2022 Analysis</w:t>
      </w:r>
    </w:p>
    <w:p w14:paraId="4E48DBB6" w14:textId="77777777" w:rsidR="004E76DF" w:rsidRDefault="00000000">
      <w:pPr>
        <w:spacing w:after="6000"/>
        <w:jc w:val="center"/>
      </w:pPr>
      <w:r>
        <w:t>Data Insights &amp; Strategic Recommendations</w:t>
      </w:r>
    </w:p>
    <w:p w14:paraId="5C21B7F2" w14:textId="5D7FD229" w:rsidR="004E76DF" w:rsidRDefault="00000000">
      <w:pPr>
        <w:spacing w:after="200"/>
        <w:jc w:val="center"/>
      </w:pPr>
      <w:r>
        <w:t xml:space="preserve">Prepared by: </w:t>
      </w:r>
      <w:r w:rsidR="00415E43">
        <w:rPr>
          <w:b/>
          <w:bCs/>
        </w:rPr>
        <w:t>Mohamed Darwish</w:t>
      </w:r>
    </w:p>
    <w:p w14:paraId="149AAF29" w14:textId="77777777" w:rsidR="004E76DF" w:rsidRDefault="00000000">
      <w:pPr>
        <w:spacing w:after="400"/>
        <w:jc w:val="center"/>
      </w:pPr>
      <w:r>
        <w:t>Date: February 2026</w:t>
      </w:r>
    </w:p>
    <w:p w14:paraId="0D3E6F1F" w14:textId="77777777" w:rsidR="004E76DF" w:rsidRDefault="004E76DF">
      <w:pPr>
        <w:pageBreakBefore/>
      </w:pPr>
    </w:p>
    <w:p w14:paraId="348A315A" w14:textId="77777777" w:rsidR="004E76DF" w:rsidRDefault="00000000">
      <w:pPr>
        <w:pStyle w:val="Heading1"/>
        <w:spacing w:after="400"/>
      </w:pPr>
      <w:r>
        <w:t>EXECUTIVE SUMMARY</w:t>
      </w:r>
    </w:p>
    <w:p w14:paraId="34941C1E" w14:textId="77777777" w:rsidR="004E76DF" w:rsidRDefault="00000000">
      <w:pPr>
        <w:spacing w:before="200" w:after="200"/>
      </w:pPr>
      <w:r>
        <w:rPr>
          <w:b/>
          <w:bCs/>
          <w:sz w:val="24"/>
          <w:szCs w:val="24"/>
        </w:rPr>
        <w:t>Overview</w:t>
      </w:r>
    </w:p>
    <w:p w14:paraId="31077D3F" w14:textId="77777777" w:rsidR="004E76DF" w:rsidRDefault="00000000">
      <w:pPr>
        <w:spacing w:after="300"/>
      </w:pPr>
      <w:r>
        <w:t>This report presents a comprehensive analysis of the summer 2022 football transfer market, examining 19,139 player transfers across global leagues. Our analysis reveals key trends in player valuations, age demographics, and geographic transfer patterns that provide actionable insights for clubs, agents, and football stakeholders.</w:t>
      </w:r>
    </w:p>
    <w:p w14:paraId="075CA545" w14:textId="77777777" w:rsidR="004E76DF" w:rsidRDefault="00000000">
      <w:pPr>
        <w:spacing w:before="300" w:after="200"/>
      </w:pPr>
      <w:r>
        <w:rPr>
          <w:b/>
          <w:bCs/>
          <w:sz w:val="24"/>
          <w:szCs w:val="24"/>
        </w:rPr>
        <w:t>Key Findings at a Glance:</w:t>
      </w:r>
    </w:p>
    <w:p w14:paraId="083CF135" w14:textId="77777777" w:rsidR="004E76DF" w:rsidRDefault="00000000">
      <w:pPr>
        <w:pStyle w:val="ListParagraph"/>
        <w:numPr>
          <w:ilvl w:val="0"/>
          <w:numId w:val="1"/>
        </w:numPr>
        <w:spacing w:after="150"/>
      </w:pPr>
      <w:r>
        <w:t>• Total Transfer Volume: 19,139 player movements</w:t>
      </w:r>
    </w:p>
    <w:p w14:paraId="24FE2704" w14:textId="77777777" w:rsidR="004E76DF" w:rsidRDefault="00000000">
      <w:pPr>
        <w:pStyle w:val="ListParagraph"/>
        <w:numPr>
          <w:ilvl w:val="0"/>
          <w:numId w:val="1"/>
        </w:numPr>
        <w:spacing w:after="150"/>
      </w:pPr>
      <w:r>
        <w:t>• Market Size: Estimated €5.9 billion in total transfer fees</w:t>
      </w:r>
    </w:p>
    <w:p w14:paraId="452B9719" w14:textId="77777777" w:rsidR="004E76DF" w:rsidRDefault="00000000">
      <w:pPr>
        <w:pStyle w:val="ListParagraph"/>
        <w:numPr>
          <w:ilvl w:val="0"/>
          <w:numId w:val="1"/>
        </w:numPr>
        <w:spacing w:after="150"/>
      </w:pPr>
      <w:r>
        <w:t>• Free Transfers: Approximately 78% of all transfers (14,922 players)</w:t>
      </w:r>
    </w:p>
    <w:p w14:paraId="34508156" w14:textId="77777777" w:rsidR="004E76DF" w:rsidRDefault="00000000">
      <w:pPr>
        <w:pStyle w:val="ListParagraph"/>
        <w:numPr>
          <w:ilvl w:val="0"/>
          <w:numId w:val="1"/>
        </w:numPr>
        <w:spacing w:after="150"/>
      </w:pPr>
      <w:r>
        <w:t>• Average Player Age: 25.5 years (median: 25 years)</w:t>
      </w:r>
    </w:p>
    <w:p w14:paraId="0F7E7F43" w14:textId="77777777" w:rsidR="004E76DF" w:rsidRDefault="00000000">
      <w:pPr>
        <w:pStyle w:val="ListParagraph"/>
        <w:numPr>
          <w:ilvl w:val="0"/>
          <w:numId w:val="1"/>
        </w:numPr>
        <w:spacing w:after="400"/>
      </w:pPr>
      <w:r>
        <w:t>• Peak Transfer Period: Week 28-31 (late July to early August)</w:t>
      </w:r>
    </w:p>
    <w:p w14:paraId="02E4D79A" w14:textId="77777777" w:rsidR="004E76DF" w:rsidRDefault="004E76DF">
      <w:pPr>
        <w:pageBreakBefore/>
      </w:pPr>
    </w:p>
    <w:p w14:paraId="202FF382" w14:textId="77777777" w:rsidR="004E76DF" w:rsidRDefault="00000000">
      <w:pPr>
        <w:pStyle w:val="Heading1"/>
        <w:spacing w:after="400"/>
      </w:pPr>
      <w:r>
        <w:t>1. MARKET DYNAMICS &amp; FINANCIAL TRENDS</w:t>
      </w:r>
    </w:p>
    <w:p w14:paraId="6A9D7D6C" w14:textId="77777777" w:rsidR="004E76DF" w:rsidRDefault="00000000">
      <w:pPr>
        <w:pStyle w:val="Heading2"/>
        <w:spacing w:before="300" w:after="200"/>
      </w:pPr>
      <w:r>
        <w:t>1.1 Transfer Fee Distribution</w:t>
      </w:r>
    </w:p>
    <w:p w14:paraId="36E175BF" w14:textId="77777777" w:rsidR="004E76DF" w:rsidRDefault="00000000">
      <w:pPr>
        <w:spacing w:after="200"/>
      </w:pPr>
      <w:r>
        <w:t>The summer 2022 transfer market demonstrated a highly skewed distribution of transfer fees, with the majority of player movements occurring as free transfers or low-cost acquisitions:</w:t>
      </w:r>
    </w:p>
    <w:p w14:paraId="026EEE3E" w14:textId="77777777" w:rsidR="004E76DF" w:rsidRDefault="00000000">
      <w:pPr>
        <w:pStyle w:val="ListParagraph"/>
        <w:numPr>
          <w:ilvl w:val="0"/>
          <w:numId w:val="1"/>
        </w:numPr>
        <w:spacing w:after="150"/>
      </w:pPr>
      <w:r>
        <w:t>• Free Transfers (€0): 78.1% - Majority driven by contract expirations and youth movements</w:t>
      </w:r>
    </w:p>
    <w:p w14:paraId="74B6696E" w14:textId="77777777" w:rsidR="004E76DF" w:rsidRDefault="00000000">
      <w:pPr>
        <w:pStyle w:val="ListParagraph"/>
        <w:numPr>
          <w:ilvl w:val="0"/>
          <w:numId w:val="1"/>
        </w:numPr>
        <w:spacing w:after="150"/>
      </w:pPr>
      <w:r>
        <w:t>• Under €1M: 12.3% - Lower league and development player acquisitions</w:t>
      </w:r>
    </w:p>
    <w:p w14:paraId="14F7A7E9" w14:textId="77777777" w:rsidR="004E76DF" w:rsidRDefault="00000000">
      <w:pPr>
        <w:pStyle w:val="ListParagraph"/>
        <w:numPr>
          <w:ilvl w:val="0"/>
          <w:numId w:val="1"/>
        </w:numPr>
        <w:spacing w:after="150"/>
      </w:pPr>
      <w:r>
        <w:t>• €1M - €10M: 7.8% - Mid-tier professional transfers</w:t>
      </w:r>
    </w:p>
    <w:p w14:paraId="7BF1654A" w14:textId="77777777" w:rsidR="004E76DF" w:rsidRDefault="00000000">
      <w:pPr>
        <w:pStyle w:val="ListParagraph"/>
        <w:numPr>
          <w:ilvl w:val="0"/>
          <w:numId w:val="1"/>
        </w:numPr>
        <w:spacing w:after="150"/>
      </w:pPr>
      <w:r>
        <w:t>• €10M - €50M: 1.5% - High-value established player transfers</w:t>
      </w:r>
    </w:p>
    <w:p w14:paraId="76C7CB4E" w14:textId="77777777" w:rsidR="004E76DF" w:rsidRDefault="00000000">
      <w:pPr>
        <w:pStyle w:val="ListParagraph"/>
        <w:numPr>
          <w:ilvl w:val="0"/>
          <w:numId w:val="1"/>
        </w:numPr>
        <w:spacing w:after="400"/>
      </w:pPr>
      <w:r>
        <w:t>• Above €50M: 0.3% - Elite player acquisitions (estimated 57 transfers)</w:t>
      </w:r>
    </w:p>
    <w:p w14:paraId="69CF6040" w14:textId="77777777" w:rsidR="004E76DF" w:rsidRDefault="00000000">
      <w:pPr>
        <w:pStyle w:val="Heading2"/>
        <w:spacing w:before="300" w:after="200"/>
      </w:pPr>
      <w:r>
        <w:t>1.2 Key Financial Insights</w:t>
      </w:r>
    </w:p>
    <w:p w14:paraId="53AC6D43" w14:textId="77777777" w:rsidR="004E76DF" w:rsidRDefault="00000000">
      <w:pPr>
        <w:spacing w:after="200"/>
      </w:pPr>
      <w:r>
        <w:rPr>
          <w:b/>
          <w:bCs/>
        </w:rPr>
        <w:t xml:space="preserve">Market Concentration: </w:t>
      </w:r>
      <w:r>
        <w:t>Analysis indicates that approximately 90% of total transfer spending is concentrated in just 10% of transactions, highlighting the premium paid for elite talent versus the bulk movement of players at lower or no cost.</w:t>
      </w:r>
    </w:p>
    <w:p w14:paraId="18E88067" w14:textId="77777777" w:rsidR="004E76DF" w:rsidRDefault="00000000">
      <w:pPr>
        <w:spacing w:after="200"/>
      </w:pPr>
      <w:r>
        <w:rPr>
          <w:b/>
          <w:bCs/>
        </w:rPr>
        <w:t xml:space="preserve">Average vs. Median Discrepancy: </w:t>
      </w:r>
      <w:r>
        <w:t>The average transfer cost (€306,409) significantly exceeds the median (€0), confirming the skewed nature of the market where a small number of high-value transfers inflate the average.</w:t>
      </w:r>
    </w:p>
    <w:p w14:paraId="2A92B9D3" w14:textId="77777777" w:rsidR="004E76DF" w:rsidRDefault="00000000">
      <w:pPr>
        <w:spacing w:after="400"/>
      </w:pPr>
      <w:r>
        <w:rPr>
          <w:b/>
          <w:bCs/>
        </w:rPr>
        <w:t xml:space="preserve">Market Value vs. Transfer Cost: </w:t>
      </w:r>
      <w:r>
        <w:t>Players were generally acquired below their estimated market value, with an average discount of approximately 15-20%, suggesting strategic negotiations and buyer power in the post-pandemic market.</w:t>
      </w:r>
    </w:p>
    <w:p w14:paraId="59EF954A" w14:textId="77777777" w:rsidR="004E76DF" w:rsidRDefault="004E76DF">
      <w:pPr>
        <w:pageBreakBefore/>
      </w:pPr>
    </w:p>
    <w:p w14:paraId="573F1637" w14:textId="77777777" w:rsidR="004E76DF" w:rsidRDefault="00000000">
      <w:pPr>
        <w:pStyle w:val="Heading1"/>
        <w:spacing w:after="400"/>
      </w:pPr>
      <w:r>
        <w:t>2. PLAYER DEMOGRAPHICS &amp; POSITIONING</w:t>
      </w:r>
    </w:p>
    <w:p w14:paraId="2A44301F" w14:textId="77777777" w:rsidR="004E76DF" w:rsidRDefault="00000000">
      <w:pPr>
        <w:pStyle w:val="Heading2"/>
        <w:spacing w:before="300" w:after="200"/>
      </w:pPr>
      <w:r>
        <w:t>2.1 Age Analysis</w:t>
      </w:r>
    </w:p>
    <w:p w14:paraId="14F6DD92" w14:textId="77777777" w:rsidR="004E76DF" w:rsidRDefault="00000000">
      <w:pPr>
        <w:spacing w:after="200"/>
      </w:pPr>
      <w:r>
        <w:t>The transfer market shows a clear preference for players in their mid-twenties, representing the optimal balance between experience and career longevity:</w:t>
      </w:r>
    </w:p>
    <w:p w14:paraId="5D9EE861" w14:textId="77777777" w:rsidR="004E76DF" w:rsidRDefault="00000000">
      <w:pPr>
        <w:pStyle w:val="ListParagraph"/>
        <w:numPr>
          <w:ilvl w:val="0"/>
          <w:numId w:val="1"/>
        </w:numPr>
        <w:spacing w:after="150"/>
      </w:pPr>
      <w:r>
        <w:t>• Peak Transfer Age: 21-25 years (42% of all transfers)</w:t>
      </w:r>
    </w:p>
    <w:p w14:paraId="3445AFE0" w14:textId="77777777" w:rsidR="004E76DF" w:rsidRDefault="00000000">
      <w:pPr>
        <w:pStyle w:val="ListParagraph"/>
        <w:numPr>
          <w:ilvl w:val="0"/>
          <w:numId w:val="1"/>
        </w:numPr>
        <w:spacing w:after="150"/>
      </w:pPr>
      <w:r>
        <w:t>• Established Players: 26-30 years (35% of transfers)</w:t>
      </w:r>
    </w:p>
    <w:p w14:paraId="7078E7A8" w14:textId="77777777" w:rsidR="004E76DF" w:rsidRDefault="00000000">
      <w:pPr>
        <w:pStyle w:val="ListParagraph"/>
        <w:numPr>
          <w:ilvl w:val="0"/>
          <w:numId w:val="1"/>
        </w:numPr>
        <w:spacing w:after="150"/>
      </w:pPr>
      <w:r>
        <w:t>• Young Prospects: 15-20 years (15% of transfers)</w:t>
      </w:r>
    </w:p>
    <w:p w14:paraId="695C1C94" w14:textId="77777777" w:rsidR="004E76DF" w:rsidRDefault="00000000">
      <w:pPr>
        <w:pStyle w:val="ListParagraph"/>
        <w:numPr>
          <w:ilvl w:val="0"/>
          <w:numId w:val="1"/>
        </w:numPr>
        <w:spacing w:after="150"/>
      </w:pPr>
      <w:r>
        <w:t>• Experienced Veterans: 31-35 years (7% of transfers)</w:t>
      </w:r>
    </w:p>
    <w:p w14:paraId="0DC1400C" w14:textId="77777777" w:rsidR="004E76DF" w:rsidRDefault="00000000">
      <w:pPr>
        <w:pStyle w:val="ListParagraph"/>
        <w:numPr>
          <w:ilvl w:val="0"/>
          <w:numId w:val="1"/>
        </w:numPr>
        <w:spacing w:after="400"/>
      </w:pPr>
      <w:r>
        <w:t>• Late Career: 36+ years (1% of transfers)</w:t>
      </w:r>
    </w:p>
    <w:p w14:paraId="49C2BD83" w14:textId="77777777" w:rsidR="004E76DF" w:rsidRDefault="00000000">
      <w:pPr>
        <w:spacing w:after="400"/>
      </w:pPr>
      <w:r>
        <w:rPr>
          <w:b/>
          <w:bCs/>
        </w:rPr>
        <w:t xml:space="preserve">Strategic Insight: </w:t>
      </w:r>
      <w:r>
        <w:t>The 21-25 age bracket commands the highest average transfer fees (estimated €450K average), as clubs seek players who can provide immediate impact while retaining significant resale value.</w:t>
      </w:r>
    </w:p>
    <w:p w14:paraId="4EED2A6C" w14:textId="77777777" w:rsidR="004E76DF" w:rsidRDefault="00000000">
      <w:pPr>
        <w:pStyle w:val="Heading2"/>
        <w:spacing w:before="300" w:after="200"/>
      </w:pPr>
      <w:r>
        <w:t>2.2 Position Analysis</w:t>
      </w:r>
    </w:p>
    <w:p w14:paraId="7B815749" w14:textId="77777777" w:rsidR="004E76DF" w:rsidRDefault="00000000">
      <w:pPr>
        <w:spacing w:after="200"/>
      </w:pPr>
      <w:r>
        <w:t>Transfer activity by position reveals tactical priorities across global football:</w:t>
      </w:r>
    </w:p>
    <w:p w14:paraId="2BFE747F" w14:textId="77777777" w:rsidR="004E76DF" w:rsidRDefault="00000000">
      <w:pPr>
        <w:pStyle w:val="ListParagraph"/>
        <w:numPr>
          <w:ilvl w:val="0"/>
          <w:numId w:val="1"/>
        </w:numPr>
        <w:spacing w:after="150"/>
      </w:pPr>
      <w:r>
        <w:t>• Most Transferred Positions: Central Midfield, Centre-Back, Right Winger</w:t>
      </w:r>
    </w:p>
    <w:p w14:paraId="5BC7F20B" w14:textId="77777777" w:rsidR="004E76DF" w:rsidRDefault="00000000">
      <w:pPr>
        <w:pStyle w:val="ListParagraph"/>
        <w:numPr>
          <w:ilvl w:val="0"/>
          <w:numId w:val="1"/>
        </w:numPr>
        <w:spacing w:after="150"/>
      </w:pPr>
      <w:r>
        <w:t>• Highest Value Positions: Striker, Attacking Midfield, Centre-Back</w:t>
      </w:r>
    </w:p>
    <w:p w14:paraId="209D7BE5" w14:textId="77777777" w:rsidR="004E76DF" w:rsidRDefault="00000000">
      <w:pPr>
        <w:pStyle w:val="ListParagraph"/>
        <w:numPr>
          <w:ilvl w:val="0"/>
          <w:numId w:val="1"/>
        </w:numPr>
        <w:spacing w:after="400"/>
      </w:pPr>
      <w:r>
        <w:t>• Emerging Trend: Increased demand for versatile players who can operate in multiple positions</w:t>
      </w:r>
    </w:p>
    <w:p w14:paraId="54A6C93F" w14:textId="77777777" w:rsidR="004E76DF" w:rsidRDefault="004E76DF">
      <w:pPr>
        <w:pageBreakBefore/>
      </w:pPr>
    </w:p>
    <w:p w14:paraId="1D83538D" w14:textId="77777777" w:rsidR="004E76DF" w:rsidRDefault="00000000">
      <w:pPr>
        <w:pStyle w:val="Heading1"/>
        <w:spacing w:after="400"/>
      </w:pPr>
      <w:r>
        <w:t>3. GEOGRAPHIC TRENDS &amp; LEAGUE DYNAMICS</w:t>
      </w:r>
    </w:p>
    <w:p w14:paraId="5228FDA5" w14:textId="77777777" w:rsidR="004E76DF" w:rsidRDefault="00000000">
      <w:pPr>
        <w:pStyle w:val="Heading2"/>
        <w:spacing w:before="300" w:after="200"/>
      </w:pPr>
      <w:r>
        <w:t>3.1 Most Active Leagues</w:t>
      </w:r>
    </w:p>
    <w:p w14:paraId="09979057" w14:textId="77777777" w:rsidR="004E76DF" w:rsidRDefault="00000000">
      <w:pPr>
        <w:spacing w:after="200"/>
      </w:pPr>
      <w:r>
        <w:rPr>
          <w:b/>
          <w:bCs/>
        </w:rPr>
        <w:t>Incoming Transfers (Top Destinations):</w:t>
      </w:r>
    </w:p>
    <w:p w14:paraId="16891494" w14:textId="77777777" w:rsidR="004E76DF" w:rsidRDefault="00000000">
      <w:pPr>
        <w:pStyle w:val="ListParagraph"/>
        <w:numPr>
          <w:ilvl w:val="0"/>
          <w:numId w:val="1"/>
        </w:numPr>
        <w:spacing w:after="150"/>
      </w:pPr>
      <w:r>
        <w:t>• Major European leagues dominated transfer activity, with the English Championship, Serie A, and Bundesliga showing particularly high volumes</w:t>
      </w:r>
    </w:p>
    <w:p w14:paraId="23E7235F" w14:textId="77777777" w:rsidR="004E76DF" w:rsidRDefault="00000000">
      <w:pPr>
        <w:pStyle w:val="ListParagraph"/>
        <w:numPr>
          <w:ilvl w:val="0"/>
          <w:numId w:val="1"/>
        </w:numPr>
        <w:spacing w:after="400"/>
      </w:pPr>
      <w:r>
        <w:t>• Emerging markets in Eastern Europe and Asia demonstrated increased activity, suggesting growing investment in football infrastructure</w:t>
      </w:r>
    </w:p>
    <w:p w14:paraId="7544B06D" w14:textId="77777777" w:rsidR="004E76DF" w:rsidRDefault="00000000">
      <w:pPr>
        <w:spacing w:after="200"/>
      </w:pPr>
      <w:r>
        <w:rPr>
          <w:b/>
          <w:bCs/>
        </w:rPr>
        <w:t>Outgoing Transfers (Top Sources):</w:t>
      </w:r>
    </w:p>
    <w:p w14:paraId="67313949" w14:textId="77777777" w:rsidR="004E76DF" w:rsidRDefault="00000000">
      <w:pPr>
        <w:pStyle w:val="ListParagraph"/>
        <w:numPr>
          <w:ilvl w:val="0"/>
          <w:numId w:val="1"/>
        </w:numPr>
        <w:spacing w:after="150"/>
      </w:pPr>
      <w:r>
        <w:t>• Lower-tier European leagues (2nd and 3rd divisions) serve as primary talent exporters</w:t>
      </w:r>
    </w:p>
    <w:p w14:paraId="666F90BD" w14:textId="77777777" w:rsidR="004E76DF" w:rsidRDefault="00000000">
      <w:pPr>
        <w:pStyle w:val="ListParagraph"/>
        <w:numPr>
          <w:ilvl w:val="0"/>
          <w:numId w:val="1"/>
        </w:numPr>
        <w:spacing w:after="400"/>
      </w:pPr>
      <w:r>
        <w:t>• South American leagues continue to be major suppliers to European football</w:t>
      </w:r>
    </w:p>
    <w:p w14:paraId="6110A017" w14:textId="77777777" w:rsidR="004E76DF" w:rsidRDefault="00000000">
      <w:pPr>
        <w:pStyle w:val="Heading2"/>
        <w:spacing w:before="300" w:after="200"/>
      </w:pPr>
      <w:r>
        <w:t>3.2 Transfer Corridors</w:t>
      </w:r>
    </w:p>
    <w:p w14:paraId="55DA6EBE" w14:textId="77777777" w:rsidR="004E76DF" w:rsidRDefault="00000000">
      <w:pPr>
        <w:spacing w:after="200"/>
      </w:pPr>
      <w:r>
        <w:t>Analysis of geographic transfer flows reveals established patterns:</w:t>
      </w:r>
    </w:p>
    <w:p w14:paraId="37D74771" w14:textId="77777777" w:rsidR="004E76DF" w:rsidRDefault="00000000">
      <w:pPr>
        <w:pStyle w:val="ListParagraph"/>
        <w:numPr>
          <w:ilvl w:val="0"/>
          <w:numId w:val="1"/>
        </w:numPr>
        <w:spacing w:after="150"/>
      </w:pPr>
      <w:r>
        <w:t>• Intra-European Transfers: 65% of all international transfers</w:t>
      </w:r>
    </w:p>
    <w:p w14:paraId="58DC7A6A" w14:textId="77777777" w:rsidR="004E76DF" w:rsidRDefault="00000000">
      <w:pPr>
        <w:pStyle w:val="ListParagraph"/>
        <w:numPr>
          <w:ilvl w:val="0"/>
          <w:numId w:val="1"/>
        </w:numPr>
        <w:spacing w:after="150"/>
      </w:pPr>
      <w:r>
        <w:t>• South America to Europe: 12% of transfers</w:t>
      </w:r>
    </w:p>
    <w:p w14:paraId="1D510F79" w14:textId="77777777" w:rsidR="004E76DF" w:rsidRDefault="00000000">
      <w:pPr>
        <w:pStyle w:val="ListParagraph"/>
        <w:numPr>
          <w:ilvl w:val="0"/>
          <w:numId w:val="1"/>
        </w:numPr>
        <w:spacing w:after="150"/>
      </w:pPr>
      <w:r>
        <w:t>• Domestic Transfers: Approximately 45% of all movements</w:t>
      </w:r>
    </w:p>
    <w:p w14:paraId="49CB5C10" w14:textId="77777777" w:rsidR="004E76DF" w:rsidRDefault="00000000">
      <w:pPr>
        <w:pStyle w:val="ListParagraph"/>
        <w:numPr>
          <w:ilvl w:val="0"/>
          <w:numId w:val="1"/>
        </w:numPr>
        <w:spacing w:after="400"/>
      </w:pPr>
      <w:r>
        <w:t>• Emerging Routes: Increased movement from Eastern Europe to Western Europe</w:t>
      </w:r>
    </w:p>
    <w:p w14:paraId="1997BA1E" w14:textId="77777777" w:rsidR="004E76DF" w:rsidRDefault="004E76DF">
      <w:pPr>
        <w:pageBreakBefore/>
      </w:pPr>
    </w:p>
    <w:p w14:paraId="6CCBBE61" w14:textId="77777777" w:rsidR="004E76DF" w:rsidRDefault="00000000">
      <w:pPr>
        <w:pStyle w:val="Heading1"/>
        <w:spacing w:after="400"/>
      </w:pPr>
      <w:r>
        <w:t>4. TEMPORAL PATTERNS &amp; MARKET TIMING</w:t>
      </w:r>
    </w:p>
    <w:p w14:paraId="5F5372E4" w14:textId="77777777" w:rsidR="004E76DF" w:rsidRDefault="00000000">
      <w:pPr>
        <w:pStyle w:val="Heading2"/>
        <w:spacing w:before="300" w:after="200"/>
      </w:pPr>
      <w:r>
        <w:t>4.1 Transfer Window Activity</w:t>
      </w:r>
    </w:p>
    <w:p w14:paraId="1F6B8526" w14:textId="77777777" w:rsidR="004E76DF" w:rsidRDefault="00000000">
      <w:pPr>
        <w:spacing w:after="200"/>
      </w:pPr>
      <w:r>
        <w:t>Transfer activity demonstrates clear temporal clustering, with strategic implications for clubs:</w:t>
      </w:r>
    </w:p>
    <w:p w14:paraId="7ADFC0FE" w14:textId="77777777" w:rsidR="004E76DF" w:rsidRDefault="00000000">
      <w:pPr>
        <w:pStyle w:val="ListParagraph"/>
        <w:numPr>
          <w:ilvl w:val="0"/>
          <w:numId w:val="1"/>
        </w:numPr>
        <w:spacing w:after="150"/>
      </w:pPr>
      <w:r>
        <w:t>• Early Window (Weeks 26-27): Lower activity, focused on early opportunistic signings</w:t>
      </w:r>
    </w:p>
    <w:p w14:paraId="74FBC755" w14:textId="77777777" w:rsidR="004E76DF" w:rsidRDefault="00000000">
      <w:pPr>
        <w:pStyle w:val="ListParagraph"/>
        <w:numPr>
          <w:ilvl w:val="0"/>
          <w:numId w:val="1"/>
        </w:numPr>
        <w:spacing w:after="150"/>
      </w:pPr>
      <w:r>
        <w:t>• Mid Window (Weeks 28-31): Peak activity period, approximately 55% of total transfers</w:t>
      </w:r>
    </w:p>
    <w:p w14:paraId="7A1AF9D7" w14:textId="77777777" w:rsidR="004E76DF" w:rsidRDefault="00000000">
      <w:pPr>
        <w:pStyle w:val="ListParagraph"/>
        <w:numPr>
          <w:ilvl w:val="0"/>
          <w:numId w:val="1"/>
        </w:numPr>
        <w:spacing w:after="400"/>
      </w:pPr>
      <w:r>
        <w:t>• Late Window (Weeks 32-35): Secondary peak driven by deadline day urgency</w:t>
      </w:r>
    </w:p>
    <w:p w14:paraId="77EFB7F2" w14:textId="77777777" w:rsidR="004E76DF" w:rsidRDefault="00000000">
      <w:pPr>
        <w:spacing w:after="400"/>
      </w:pPr>
      <w:r>
        <w:rPr>
          <w:b/>
          <w:bCs/>
        </w:rPr>
        <w:t xml:space="preserve">Strategic Implication: </w:t>
      </w:r>
      <w:r>
        <w:t>Clubs completing business early in the window (Weeks 26-28) often secure better value, while late-window acquisitions tend to command premium fees due to seller leverage and buyer urgency.</w:t>
      </w:r>
    </w:p>
    <w:p w14:paraId="4270AF15" w14:textId="77777777" w:rsidR="004E76DF" w:rsidRDefault="004E76DF">
      <w:pPr>
        <w:pageBreakBefore/>
      </w:pPr>
    </w:p>
    <w:p w14:paraId="77F98F51" w14:textId="77777777" w:rsidR="004E76DF" w:rsidRDefault="00000000">
      <w:pPr>
        <w:pStyle w:val="Heading1"/>
        <w:spacing w:after="400"/>
      </w:pPr>
      <w:r>
        <w:t>5. STRATEGIC RECOMMENDATIONS</w:t>
      </w:r>
    </w:p>
    <w:p w14:paraId="3BFC1CB3" w14:textId="77777777" w:rsidR="004E76DF" w:rsidRDefault="00000000">
      <w:pPr>
        <w:pStyle w:val="Heading2"/>
        <w:spacing w:before="300" w:after="200"/>
      </w:pPr>
      <w:r>
        <w:t>5.1 For Buying Clubs</w:t>
      </w:r>
    </w:p>
    <w:p w14:paraId="51E5C5AF" w14:textId="77777777" w:rsidR="004E76DF" w:rsidRDefault="00000000">
      <w:pPr>
        <w:spacing w:after="100"/>
      </w:pPr>
      <w:r>
        <w:rPr>
          <w:b/>
          <w:bCs/>
        </w:rPr>
        <w:t>1. Optimize Transfer Timing</w:t>
      </w:r>
    </w:p>
    <w:p w14:paraId="76DDAF6D" w14:textId="77777777" w:rsidR="004E76DF" w:rsidRDefault="00000000">
      <w:pPr>
        <w:spacing w:after="300"/>
        <w:ind w:left="720"/>
      </w:pPr>
      <w:r>
        <w:t>Complete majority of recruitment in Weeks 27-29 to avoid deadline day premiums and ensure proper squad integration before season start.</w:t>
      </w:r>
    </w:p>
    <w:p w14:paraId="319FD52C" w14:textId="77777777" w:rsidR="004E76DF" w:rsidRDefault="00000000">
      <w:pPr>
        <w:spacing w:after="100"/>
      </w:pPr>
      <w:r>
        <w:rPr>
          <w:b/>
          <w:bCs/>
        </w:rPr>
        <w:t>2. Target the 21-25 Age Bracket</w:t>
      </w:r>
    </w:p>
    <w:p w14:paraId="5BC1B41A" w14:textId="77777777" w:rsidR="004E76DF" w:rsidRDefault="00000000">
      <w:pPr>
        <w:spacing w:after="300"/>
        <w:ind w:left="720"/>
      </w:pPr>
      <w:r>
        <w:t>Focus recruitment on players aged 21-25 who offer optimal balance of immediate contribution and future resale value. Consider investing in premium talent within this demographic.</w:t>
      </w:r>
    </w:p>
    <w:p w14:paraId="31272F59" w14:textId="77777777" w:rsidR="004E76DF" w:rsidRDefault="00000000">
      <w:pPr>
        <w:spacing w:after="100"/>
      </w:pPr>
      <w:r>
        <w:rPr>
          <w:b/>
          <w:bCs/>
        </w:rPr>
        <w:t>3. Exploit Free Transfer Market</w:t>
      </w:r>
    </w:p>
    <w:p w14:paraId="4750445F" w14:textId="77777777" w:rsidR="004E76DF" w:rsidRDefault="00000000">
      <w:pPr>
        <w:spacing w:after="300"/>
        <w:ind w:left="720"/>
      </w:pPr>
      <w:r>
        <w:t>With 78% of transfers occurring without fees, develop robust scouting networks to identify quality free agents 6-12 months before contract expiry.</w:t>
      </w:r>
    </w:p>
    <w:p w14:paraId="6D5BBE96" w14:textId="77777777" w:rsidR="004E76DF" w:rsidRDefault="00000000">
      <w:pPr>
        <w:spacing w:after="100"/>
      </w:pPr>
      <w:r>
        <w:rPr>
          <w:b/>
          <w:bCs/>
        </w:rPr>
        <w:t>4. Strategic Geographic Sourcing</w:t>
      </w:r>
    </w:p>
    <w:p w14:paraId="73AB64AB" w14:textId="77777777" w:rsidR="004E76DF" w:rsidRDefault="00000000">
      <w:pPr>
        <w:spacing w:after="400"/>
        <w:ind w:left="720"/>
      </w:pPr>
      <w:r>
        <w:t>Establish partnerships with clubs in lower-tier European leagues and South American markets where player costs remain below Western European premiums.</w:t>
      </w:r>
    </w:p>
    <w:p w14:paraId="1141EEC8" w14:textId="77777777" w:rsidR="004E76DF" w:rsidRDefault="00000000">
      <w:pPr>
        <w:pStyle w:val="Heading2"/>
        <w:spacing w:before="300" w:after="200"/>
      </w:pPr>
      <w:r>
        <w:t>5.2 For Selling Clubs</w:t>
      </w:r>
    </w:p>
    <w:p w14:paraId="29722F79" w14:textId="77777777" w:rsidR="004E76DF" w:rsidRDefault="00000000">
      <w:pPr>
        <w:spacing w:after="100"/>
      </w:pPr>
      <w:r>
        <w:rPr>
          <w:b/>
          <w:bCs/>
        </w:rPr>
        <w:t>1. Maximize Late-Window Leverage</w:t>
      </w:r>
    </w:p>
    <w:p w14:paraId="1C93ED02" w14:textId="77777777" w:rsidR="004E76DF" w:rsidRDefault="00000000">
      <w:pPr>
        <w:spacing w:after="300"/>
        <w:ind w:left="720"/>
      </w:pPr>
      <w:r>
        <w:t>Hold premium assets until Weeks 32-34 when buyer urgency increases bargaining power, particularly for in-demand positions.</w:t>
      </w:r>
    </w:p>
    <w:p w14:paraId="71F8141B" w14:textId="77777777" w:rsidR="004E76DF" w:rsidRDefault="00000000">
      <w:pPr>
        <w:spacing w:after="100"/>
      </w:pPr>
      <w:r>
        <w:rPr>
          <w:b/>
          <w:bCs/>
        </w:rPr>
        <w:t>2. Develop Resale-Focused Acquisition Strategy</w:t>
      </w:r>
    </w:p>
    <w:p w14:paraId="55283A5B" w14:textId="77777777" w:rsidR="004E76DF" w:rsidRDefault="00000000">
      <w:pPr>
        <w:spacing w:after="300"/>
        <w:ind w:left="720"/>
      </w:pPr>
      <w:r>
        <w:t xml:space="preserve">Target players aged 19-22 who can be developed and sold at peak market value (24-26 years) within </w:t>
      </w:r>
      <w:proofErr w:type="gramStart"/>
      <w:r>
        <w:t>3-4 year</w:t>
      </w:r>
      <w:proofErr w:type="gramEnd"/>
      <w:r>
        <w:t xml:space="preserve"> cycles.</w:t>
      </w:r>
    </w:p>
    <w:p w14:paraId="03539A4A" w14:textId="77777777" w:rsidR="004E76DF" w:rsidRDefault="00000000">
      <w:pPr>
        <w:spacing w:after="100"/>
      </w:pPr>
      <w:r>
        <w:rPr>
          <w:b/>
          <w:bCs/>
        </w:rPr>
        <w:t>3. Position-Specific Value Maximization</w:t>
      </w:r>
    </w:p>
    <w:p w14:paraId="3952CB92" w14:textId="77777777" w:rsidR="004E76DF" w:rsidRDefault="00000000">
      <w:pPr>
        <w:spacing w:after="400"/>
        <w:ind w:left="720"/>
      </w:pPr>
      <w:r>
        <w:t>Focus development on high-value positions (Strikers, Attacking Midfielders, Centre-Backs) where market premiums are consistently highest.</w:t>
      </w:r>
    </w:p>
    <w:p w14:paraId="38586CD8" w14:textId="77777777" w:rsidR="004E76DF" w:rsidRDefault="00000000">
      <w:pPr>
        <w:pStyle w:val="Heading2"/>
        <w:spacing w:before="300" w:after="200"/>
      </w:pPr>
      <w:r>
        <w:t>5.3 For Agents &amp; Intermediaries</w:t>
      </w:r>
    </w:p>
    <w:p w14:paraId="33546BEB" w14:textId="77777777" w:rsidR="004E76DF" w:rsidRDefault="00000000">
      <w:pPr>
        <w:spacing w:after="100"/>
      </w:pPr>
      <w:r>
        <w:rPr>
          <w:b/>
          <w:bCs/>
        </w:rPr>
        <w:t>1. Build Corridor Expertise</w:t>
      </w:r>
    </w:p>
    <w:p w14:paraId="48BCDADB" w14:textId="77777777" w:rsidR="004E76DF" w:rsidRDefault="00000000">
      <w:pPr>
        <w:spacing w:after="300"/>
        <w:ind w:left="720"/>
      </w:pPr>
      <w:r>
        <w:t>Specialize in established transfer corridors (e.g., South America to Europe, Eastern to Western Europe) where transaction volumes and values are highest.</w:t>
      </w:r>
    </w:p>
    <w:p w14:paraId="1024DE26" w14:textId="77777777" w:rsidR="004E76DF" w:rsidRDefault="00000000">
      <w:pPr>
        <w:spacing w:after="100"/>
      </w:pPr>
      <w:r>
        <w:rPr>
          <w:b/>
          <w:bCs/>
        </w:rPr>
        <w:t>2. Free Transfer Opportunities</w:t>
      </w:r>
    </w:p>
    <w:p w14:paraId="716B226E" w14:textId="77777777" w:rsidR="004E76DF" w:rsidRDefault="00000000">
      <w:pPr>
        <w:spacing w:after="400"/>
        <w:ind w:left="720"/>
      </w:pPr>
      <w:r>
        <w:t>The massive free transfer market (78% of movements) presents substantial commission opportunities. Develop pre-contract negotiation expertise and strong club networks.</w:t>
      </w:r>
    </w:p>
    <w:p w14:paraId="3614D2DE" w14:textId="77777777" w:rsidR="004E76DF" w:rsidRDefault="004E76DF">
      <w:pPr>
        <w:pageBreakBefore/>
      </w:pPr>
    </w:p>
    <w:p w14:paraId="57EA60B2" w14:textId="77777777" w:rsidR="004E76DF" w:rsidRDefault="00000000">
      <w:pPr>
        <w:pStyle w:val="Heading1"/>
        <w:spacing w:after="400"/>
      </w:pPr>
      <w:r>
        <w:t>6. DATA QUALITY &amp; METHODOLOGY</w:t>
      </w:r>
    </w:p>
    <w:p w14:paraId="558C6288" w14:textId="77777777" w:rsidR="004E76DF" w:rsidRDefault="00000000">
      <w:pPr>
        <w:pStyle w:val="Heading2"/>
        <w:spacing w:before="300" w:after="200"/>
      </w:pPr>
      <w:r>
        <w:t>6.1 Data Cleaning Process</w:t>
      </w:r>
    </w:p>
    <w:p w14:paraId="05ACDB65" w14:textId="77777777" w:rsidR="004E76DF" w:rsidRDefault="00000000">
      <w:pPr>
        <w:spacing w:after="200"/>
      </w:pPr>
      <w:r>
        <w:t>The source dataset underwent comprehensive cleaning to ensure analytical reliability:</w:t>
      </w:r>
    </w:p>
    <w:p w14:paraId="536958F4" w14:textId="77777777" w:rsidR="004E76DF" w:rsidRDefault="00000000">
      <w:pPr>
        <w:pStyle w:val="ListParagraph"/>
        <w:numPr>
          <w:ilvl w:val="0"/>
          <w:numId w:val="1"/>
        </w:numPr>
        <w:spacing w:after="150"/>
      </w:pPr>
      <w:r>
        <w:t>• Missing Age Data (0.38%): Imputed using position-based median values</w:t>
      </w:r>
    </w:p>
    <w:p w14:paraId="0B866960" w14:textId="77777777" w:rsidR="004E76DF" w:rsidRDefault="00000000">
      <w:pPr>
        <w:pStyle w:val="ListParagraph"/>
        <w:numPr>
          <w:ilvl w:val="0"/>
          <w:numId w:val="1"/>
        </w:numPr>
        <w:spacing w:after="150"/>
      </w:pPr>
      <w:r>
        <w:t>• Missing League/Country Information (0.78-0.88%): Resolved through club list mapping and geographic inference</w:t>
      </w:r>
    </w:p>
    <w:p w14:paraId="3E854E75" w14:textId="77777777" w:rsidR="004E76DF" w:rsidRDefault="00000000">
      <w:pPr>
        <w:pStyle w:val="ListParagraph"/>
        <w:numPr>
          <w:ilvl w:val="0"/>
          <w:numId w:val="1"/>
        </w:numPr>
        <w:spacing w:after="150"/>
      </w:pPr>
      <w:r>
        <w:t>• Geographic Coordinates: Missing values filled using country and league-level medians</w:t>
      </w:r>
    </w:p>
    <w:p w14:paraId="1B1FBC64" w14:textId="77777777" w:rsidR="004E76DF" w:rsidRDefault="00000000">
      <w:pPr>
        <w:pStyle w:val="ListParagraph"/>
        <w:numPr>
          <w:ilvl w:val="0"/>
          <w:numId w:val="1"/>
        </w:numPr>
        <w:spacing w:after="400"/>
      </w:pPr>
      <w:r>
        <w:t>• Duplicate Records: Complete duplicates removed; logical duplicates flagged for review</w:t>
      </w:r>
    </w:p>
    <w:p w14:paraId="2B8B12A9" w14:textId="77777777" w:rsidR="004E76DF" w:rsidRDefault="00000000">
      <w:pPr>
        <w:pStyle w:val="Heading2"/>
        <w:spacing w:before="300" w:after="200"/>
      </w:pPr>
      <w:r>
        <w:t>6.2 Analytical Limitations</w:t>
      </w:r>
    </w:p>
    <w:p w14:paraId="11579811" w14:textId="77777777" w:rsidR="004E76DF" w:rsidRDefault="00000000">
      <w:pPr>
        <w:spacing w:after="200"/>
      </w:pPr>
      <w:r>
        <w:t>Users should consider the following limitations when interpreting findings:</w:t>
      </w:r>
    </w:p>
    <w:p w14:paraId="68718044" w14:textId="77777777" w:rsidR="004E76DF" w:rsidRDefault="00000000">
      <w:pPr>
        <w:pStyle w:val="ListParagraph"/>
        <w:numPr>
          <w:ilvl w:val="0"/>
          <w:numId w:val="1"/>
        </w:numPr>
        <w:spacing w:after="150"/>
      </w:pPr>
      <w:r>
        <w:t>• Transfer fees may be incomplete for non-disclosed deals</w:t>
      </w:r>
    </w:p>
    <w:p w14:paraId="6552A477" w14:textId="77777777" w:rsidR="004E76DF" w:rsidRDefault="00000000">
      <w:pPr>
        <w:pStyle w:val="ListParagraph"/>
        <w:numPr>
          <w:ilvl w:val="0"/>
          <w:numId w:val="1"/>
        </w:numPr>
        <w:spacing w:after="150"/>
      </w:pPr>
      <w:r>
        <w:t>• Market values represent estimates and may not reflect actual negotiated amounts</w:t>
      </w:r>
    </w:p>
    <w:p w14:paraId="2E7C5B6C" w14:textId="77777777" w:rsidR="004E76DF" w:rsidRDefault="00000000">
      <w:pPr>
        <w:pStyle w:val="ListParagraph"/>
        <w:numPr>
          <w:ilvl w:val="0"/>
          <w:numId w:val="1"/>
        </w:numPr>
        <w:spacing w:after="150"/>
      </w:pPr>
      <w:r>
        <w:t>• Data covers summer 2022 window only; winter window transfers not included</w:t>
      </w:r>
    </w:p>
    <w:p w14:paraId="73CC112D" w14:textId="77777777" w:rsidR="004E76DF" w:rsidRDefault="00000000">
      <w:pPr>
        <w:pStyle w:val="ListParagraph"/>
        <w:numPr>
          <w:ilvl w:val="0"/>
          <w:numId w:val="1"/>
        </w:numPr>
        <w:spacing w:after="400"/>
      </w:pPr>
      <w:r>
        <w:t>• Some lower-tier leagues may be underrepresented in the dataset</w:t>
      </w:r>
    </w:p>
    <w:p w14:paraId="76BBEE78" w14:textId="77777777" w:rsidR="004E76DF" w:rsidRDefault="004E76DF">
      <w:pPr>
        <w:pageBreakBefore/>
      </w:pPr>
    </w:p>
    <w:p w14:paraId="22B86D01" w14:textId="77777777" w:rsidR="004E76DF" w:rsidRDefault="00000000">
      <w:pPr>
        <w:pStyle w:val="Heading1"/>
        <w:spacing w:after="400"/>
      </w:pPr>
      <w:r>
        <w:t>7. CONCLUSION</w:t>
      </w:r>
    </w:p>
    <w:p w14:paraId="183A7923" w14:textId="77777777" w:rsidR="004E76DF" w:rsidRDefault="00000000">
      <w:pPr>
        <w:spacing w:after="200"/>
      </w:pPr>
      <w:r>
        <w:t>The summer 2022 transfer market demonstrates a highly stratified ecosystem where:</w:t>
      </w:r>
    </w:p>
    <w:p w14:paraId="1645E8EB" w14:textId="77777777" w:rsidR="004E76DF" w:rsidRDefault="00000000">
      <w:pPr>
        <w:spacing w:after="200"/>
      </w:pPr>
      <w:r>
        <w:rPr>
          <w:b/>
          <w:bCs/>
        </w:rPr>
        <w:t xml:space="preserve">• </w:t>
      </w:r>
      <w:r>
        <w:t>Value Concentration: Elite talent commands exponentially higher fees, while the majority of player movements occur at minimal or zero cost</w:t>
      </w:r>
    </w:p>
    <w:p w14:paraId="13053180" w14:textId="77777777" w:rsidR="004E76DF" w:rsidRDefault="00000000">
      <w:pPr>
        <w:spacing w:after="200"/>
      </w:pPr>
      <w:r>
        <w:rPr>
          <w:b/>
          <w:bCs/>
        </w:rPr>
        <w:t xml:space="preserve">• </w:t>
      </w:r>
      <w:r>
        <w:t>Age Optimization: The market shows clear preference for players aged 21-26, balancing immediate contribution with long-term value retention</w:t>
      </w:r>
    </w:p>
    <w:p w14:paraId="4948C2D5" w14:textId="77777777" w:rsidR="004E76DF" w:rsidRDefault="00000000">
      <w:pPr>
        <w:spacing w:after="200"/>
      </w:pPr>
      <w:r>
        <w:rPr>
          <w:b/>
          <w:bCs/>
        </w:rPr>
        <w:t xml:space="preserve">• </w:t>
      </w:r>
      <w:r>
        <w:t>Geographic Patterns: Established transfer corridors continue to dominate, though emerging markets show increasing sophistication</w:t>
      </w:r>
    </w:p>
    <w:p w14:paraId="07673C39" w14:textId="77777777" w:rsidR="004E76DF" w:rsidRDefault="00000000">
      <w:pPr>
        <w:spacing w:after="400"/>
      </w:pPr>
      <w:r>
        <w:rPr>
          <w:b/>
          <w:bCs/>
        </w:rPr>
        <w:t xml:space="preserve">• </w:t>
      </w:r>
      <w:r>
        <w:t>Timing Dynamics: Strategic clubs gain competitive advantage through early window activity, avoiding deadline day premiums</w:t>
      </w:r>
    </w:p>
    <w:p w14:paraId="1E7E1E31" w14:textId="77777777" w:rsidR="004E76DF" w:rsidRDefault="00000000">
      <w:pPr>
        <w:spacing w:after="400"/>
      </w:pPr>
      <w:r>
        <w:t>Organizations that leverage these insights—through optimized timing, strategic age targeting, geographic market intelligence, and sophisticated free transfer operations—will be best positioned to maximize both sporting and financial returns in an increasingly competitive global market.</w:t>
      </w:r>
    </w:p>
    <w:p w14:paraId="6758FC37" w14:textId="77777777" w:rsidR="004E76DF" w:rsidRDefault="00000000">
      <w:pPr>
        <w:spacing w:after="400"/>
      </w:pPr>
      <w:r>
        <w:rPr>
          <w:i/>
          <w:iCs/>
        </w:rPr>
        <w:t xml:space="preserve">For detailed technical analysis, statistical breakdowns, and data visualizations, please refer to the accompanying </w:t>
      </w:r>
      <w:proofErr w:type="spellStart"/>
      <w:r>
        <w:rPr>
          <w:i/>
          <w:iCs/>
        </w:rPr>
        <w:t>Jupyter</w:t>
      </w:r>
      <w:proofErr w:type="spellEnd"/>
      <w:r>
        <w:rPr>
          <w:i/>
          <w:iCs/>
        </w:rPr>
        <w:t xml:space="preserve"> Notebook: </w:t>
      </w:r>
      <w:proofErr w:type="spellStart"/>
      <w:r>
        <w:rPr>
          <w:b/>
          <w:bCs/>
          <w:i/>
          <w:iCs/>
        </w:rPr>
        <w:t>football_transfer_</w:t>
      </w:r>
      <w:proofErr w:type="gramStart"/>
      <w:r>
        <w:rPr>
          <w:b/>
          <w:bCs/>
          <w:i/>
          <w:iCs/>
        </w:rPr>
        <w:t>analysis.ipynb</w:t>
      </w:r>
      <w:proofErr w:type="spellEnd"/>
      <w:proofErr w:type="gramEnd"/>
    </w:p>
    <w:p w14:paraId="5BD0AF95" w14:textId="77777777" w:rsidR="004E76DF" w:rsidRDefault="004E76DF">
      <w:pPr>
        <w:pageBreakBefore/>
      </w:pPr>
    </w:p>
    <w:p w14:paraId="6FECCCA7" w14:textId="77777777" w:rsidR="004E76DF" w:rsidRDefault="00000000">
      <w:pPr>
        <w:pStyle w:val="Heading1"/>
        <w:spacing w:after="400"/>
      </w:pPr>
      <w:r>
        <w:t>APPENDIX: TECHNICAL SPECIFICATIONS</w:t>
      </w:r>
    </w:p>
    <w:p w14:paraId="6A742797" w14:textId="77777777" w:rsidR="004E76DF" w:rsidRDefault="00000000">
      <w:pPr>
        <w:pStyle w:val="Heading2"/>
        <w:spacing w:before="300" w:after="200"/>
      </w:pPr>
      <w:r>
        <w:t>Dataset Details:</w:t>
      </w:r>
    </w:p>
    <w:p w14:paraId="051FAEB1" w14:textId="77777777" w:rsidR="004E76DF" w:rsidRDefault="00000000">
      <w:pPr>
        <w:pStyle w:val="ListParagraph"/>
        <w:numPr>
          <w:ilvl w:val="0"/>
          <w:numId w:val="1"/>
        </w:numPr>
        <w:spacing w:after="150"/>
      </w:pPr>
      <w:r>
        <w:t>• Source: Kaggle - Football Transfer Market Summer 2022</w:t>
      </w:r>
    </w:p>
    <w:p w14:paraId="2B7D5FD2" w14:textId="77777777" w:rsidR="004E76DF" w:rsidRDefault="00000000">
      <w:pPr>
        <w:pStyle w:val="ListParagraph"/>
        <w:numPr>
          <w:ilvl w:val="0"/>
          <w:numId w:val="1"/>
        </w:numPr>
        <w:spacing w:after="150"/>
      </w:pPr>
      <w:r>
        <w:t>• Total Records: 19,139 player transfers</w:t>
      </w:r>
    </w:p>
    <w:p w14:paraId="03D1B284" w14:textId="77777777" w:rsidR="004E76DF" w:rsidRDefault="00000000">
      <w:pPr>
        <w:pStyle w:val="ListParagraph"/>
        <w:numPr>
          <w:ilvl w:val="0"/>
          <w:numId w:val="1"/>
        </w:numPr>
        <w:spacing w:after="150"/>
      </w:pPr>
      <w:r>
        <w:t>• Variables: 21 attributes per transfer</w:t>
      </w:r>
    </w:p>
    <w:p w14:paraId="1EBA2069" w14:textId="77777777" w:rsidR="004E76DF" w:rsidRDefault="00000000">
      <w:pPr>
        <w:pStyle w:val="ListParagraph"/>
        <w:numPr>
          <w:ilvl w:val="0"/>
          <w:numId w:val="1"/>
        </w:numPr>
        <w:spacing w:after="150"/>
      </w:pPr>
      <w:r>
        <w:t>• Time Period: Summer 2022 transfer window (Weeks 26-35)</w:t>
      </w:r>
    </w:p>
    <w:p w14:paraId="657A274C" w14:textId="77777777" w:rsidR="004E76DF" w:rsidRDefault="00000000">
      <w:pPr>
        <w:pStyle w:val="ListParagraph"/>
        <w:numPr>
          <w:ilvl w:val="0"/>
          <w:numId w:val="1"/>
        </w:numPr>
        <w:spacing w:after="400"/>
      </w:pPr>
      <w:r>
        <w:t>• Geographic Coverage: Global (150+ countries represented)</w:t>
      </w:r>
    </w:p>
    <w:p w14:paraId="1A426F92" w14:textId="77777777" w:rsidR="004E76DF" w:rsidRDefault="00000000">
      <w:pPr>
        <w:pStyle w:val="Heading2"/>
        <w:spacing w:before="300" w:after="200"/>
      </w:pPr>
      <w:r>
        <w:t>Analysis Tools:</w:t>
      </w:r>
    </w:p>
    <w:p w14:paraId="01BEE92B" w14:textId="77777777" w:rsidR="004E76DF" w:rsidRDefault="00000000">
      <w:pPr>
        <w:pStyle w:val="ListParagraph"/>
        <w:numPr>
          <w:ilvl w:val="0"/>
          <w:numId w:val="1"/>
        </w:numPr>
        <w:spacing w:after="150"/>
      </w:pPr>
      <w:r>
        <w:t>• Programming: Python 3.x</w:t>
      </w:r>
    </w:p>
    <w:p w14:paraId="1403C1C8" w14:textId="77777777" w:rsidR="004E76DF" w:rsidRDefault="00000000">
      <w:pPr>
        <w:pStyle w:val="ListParagraph"/>
        <w:numPr>
          <w:ilvl w:val="0"/>
          <w:numId w:val="1"/>
        </w:numPr>
        <w:spacing w:after="150"/>
      </w:pPr>
      <w:r>
        <w:t>• Libraries: Pandas, NumPy, Matplotlib, Seaborn</w:t>
      </w:r>
    </w:p>
    <w:p w14:paraId="6F2DE11C" w14:textId="77777777" w:rsidR="004E76DF" w:rsidRDefault="00000000">
      <w:pPr>
        <w:pStyle w:val="ListParagraph"/>
        <w:numPr>
          <w:ilvl w:val="0"/>
          <w:numId w:val="1"/>
        </w:numPr>
        <w:spacing w:after="150"/>
      </w:pPr>
      <w:r>
        <w:t xml:space="preserve">• Platform: </w:t>
      </w:r>
      <w:proofErr w:type="spellStart"/>
      <w:r>
        <w:t>Jupyter</w:t>
      </w:r>
      <w:proofErr w:type="spellEnd"/>
      <w:r>
        <w:t xml:space="preserve"> Notebook</w:t>
      </w:r>
    </w:p>
    <w:p w14:paraId="4E21DCA4" w14:textId="77777777" w:rsidR="004E76DF" w:rsidRDefault="00000000">
      <w:pPr>
        <w:pStyle w:val="ListParagraph"/>
        <w:numPr>
          <w:ilvl w:val="0"/>
          <w:numId w:val="1"/>
        </w:numPr>
        <w:spacing w:after="400"/>
      </w:pPr>
      <w:r>
        <w:t>• Visualizations: 15+ charts and graphs</w:t>
      </w:r>
    </w:p>
    <w:p w14:paraId="041A67F5" w14:textId="77777777" w:rsidR="004E76DF" w:rsidRDefault="004E76DF">
      <w:pPr>
        <w:spacing w:before="1000"/>
      </w:pPr>
    </w:p>
    <w:p w14:paraId="0412D675" w14:textId="77777777" w:rsidR="004E76DF" w:rsidRDefault="00000000">
      <w:pPr>
        <w:spacing w:before="400" w:after="200"/>
        <w:jc w:val="center"/>
      </w:pPr>
      <w:r>
        <w:rPr>
          <w:b/>
          <w:bCs/>
        </w:rPr>
        <w:t>---</w:t>
      </w:r>
    </w:p>
    <w:p w14:paraId="61B9FFAC" w14:textId="723BC75B" w:rsidR="004E76DF" w:rsidRDefault="00000000">
      <w:pPr>
        <w:jc w:val="center"/>
      </w:pPr>
      <w:r>
        <w:t xml:space="preserve">For questions or additional analysis, please contact the </w:t>
      </w:r>
      <w:r w:rsidR="00415E43">
        <w:t>Me</w:t>
      </w:r>
    </w:p>
    <w:p w14:paraId="37925A07" w14:textId="77777777" w:rsidR="004E76DF" w:rsidRDefault="00000000">
      <w:pPr>
        <w:spacing w:before="200"/>
        <w:jc w:val="center"/>
      </w:pPr>
      <w:r>
        <w:t>© 2026 Football Analytics | Confidential</w:t>
      </w:r>
    </w:p>
    <w:sectPr w:rsidR="004E76D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1C1412"/>
    <w:multiLevelType w:val="hybridMultilevel"/>
    <w:tmpl w:val="32100C1C"/>
    <w:lvl w:ilvl="0" w:tplc="F530C42C">
      <w:start w:val="1"/>
      <w:numFmt w:val="bullet"/>
      <w:lvlText w:val="●"/>
      <w:lvlJc w:val="left"/>
      <w:pPr>
        <w:ind w:left="720" w:hanging="360"/>
      </w:pPr>
    </w:lvl>
    <w:lvl w:ilvl="1" w:tplc="72D61B88">
      <w:start w:val="1"/>
      <w:numFmt w:val="bullet"/>
      <w:lvlText w:val="○"/>
      <w:lvlJc w:val="left"/>
      <w:pPr>
        <w:ind w:left="1440" w:hanging="360"/>
      </w:pPr>
    </w:lvl>
    <w:lvl w:ilvl="2" w:tplc="99FA8078">
      <w:start w:val="1"/>
      <w:numFmt w:val="bullet"/>
      <w:lvlText w:val="■"/>
      <w:lvlJc w:val="left"/>
      <w:pPr>
        <w:ind w:left="2160" w:hanging="360"/>
      </w:pPr>
    </w:lvl>
    <w:lvl w:ilvl="3" w:tplc="05FAB940">
      <w:start w:val="1"/>
      <w:numFmt w:val="bullet"/>
      <w:lvlText w:val="●"/>
      <w:lvlJc w:val="left"/>
      <w:pPr>
        <w:ind w:left="2880" w:hanging="360"/>
      </w:pPr>
    </w:lvl>
    <w:lvl w:ilvl="4" w:tplc="3B2E9D12">
      <w:start w:val="1"/>
      <w:numFmt w:val="bullet"/>
      <w:lvlText w:val="○"/>
      <w:lvlJc w:val="left"/>
      <w:pPr>
        <w:ind w:left="3600" w:hanging="360"/>
      </w:pPr>
    </w:lvl>
    <w:lvl w:ilvl="5" w:tplc="21F04CA6">
      <w:start w:val="1"/>
      <w:numFmt w:val="bullet"/>
      <w:lvlText w:val="■"/>
      <w:lvlJc w:val="left"/>
      <w:pPr>
        <w:ind w:left="4320" w:hanging="360"/>
      </w:pPr>
    </w:lvl>
    <w:lvl w:ilvl="6" w:tplc="F4841128">
      <w:start w:val="1"/>
      <w:numFmt w:val="bullet"/>
      <w:lvlText w:val="●"/>
      <w:lvlJc w:val="left"/>
      <w:pPr>
        <w:ind w:left="5040" w:hanging="360"/>
      </w:pPr>
    </w:lvl>
    <w:lvl w:ilvl="7" w:tplc="90E65772">
      <w:start w:val="1"/>
      <w:numFmt w:val="bullet"/>
      <w:lvlText w:val="●"/>
      <w:lvlJc w:val="left"/>
      <w:pPr>
        <w:ind w:left="5760" w:hanging="360"/>
      </w:pPr>
    </w:lvl>
    <w:lvl w:ilvl="8" w:tplc="2586DEC8">
      <w:start w:val="1"/>
      <w:numFmt w:val="bullet"/>
      <w:lvlText w:val="●"/>
      <w:lvlJc w:val="left"/>
      <w:pPr>
        <w:ind w:left="6480" w:hanging="360"/>
      </w:pPr>
    </w:lvl>
  </w:abstractNum>
  <w:num w:numId="1" w16cid:durableId="213825182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76DF"/>
    <w:rsid w:val="00373BE8"/>
    <w:rsid w:val="00415E43"/>
    <w:rsid w:val="004E76D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5D51A8"/>
  <w15:docId w15:val="{75334A2B-EA67-4BC6-9D47-3154D73215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1335</Words>
  <Characters>7611</Characters>
  <Application>Microsoft Office Word</Application>
  <DocSecurity>0</DocSecurity>
  <Lines>63</Lines>
  <Paragraphs>17</Paragraphs>
  <ScaleCrop>false</ScaleCrop>
  <Company/>
  <LinksUpToDate>false</LinksUpToDate>
  <CharactersWithSpaces>8929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Mohamed Darwish</cp:lastModifiedBy>
  <cp:revision>2</cp:revision>
  <dcterms:created xsi:type="dcterms:W3CDTF">2026-02-05T22:04:00Z</dcterms:created>
  <dcterms:modified xsi:type="dcterms:W3CDTF">2026-02-05T22:09:00Z</dcterms:modified>
</cp:coreProperties>
</file>