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before="200" w:after="60"/>
        <w:jc w:val="center"/>
      </w:pPr>
      <w:r>
        <w:rPr>
          <w:rFonts w:ascii="Calibri" w:cs="Calibri" w:eastAsia="Calibri" w:hAnsi="Calibri"/>
          <w:b/>
          <w:bCs/>
          <w:color w:val="C9A84C"/>
          <w:sz w:val="120"/>
          <w:szCs w:val="120"/>
        </w:rPr>
        <w:t xml:space="preserve">DVX</w:t>
      </w:r>
    </w:p>
    <w:p>
      <w:pPr>
        <w:spacing w:before="0" w:after="80"/>
        <w:jc w:val="center"/>
      </w:pPr>
      <w:r>
        <w:rPr>
          <w:rFonts w:ascii="Calibri" w:cs="Calibri" w:eastAsia="Calibri" w:hAnsi="Calibri"/>
          <w:b/>
          <w:bCs/>
          <w:color w:val="0D1B2A"/>
          <w:spacing w:val="200"/>
          <w:sz w:val="36"/>
          <w:szCs w:val="36"/>
        </w:rPr>
        <w:t xml:space="preserve">DATAVAULTX TOKEN</w:t>
      </w:r>
    </w:p>
    <w:p>
      <w:pPr>
        <w:pBdr>
          <w:bottom w:val="single" w:color="C9A84C" w:sz="8" w:space="1"/>
        </w:pBdr>
        <w:spacing w:before="0" w:after="160"/>
        <w:jc w:val="center"/>
      </w:pPr>
      <w:r>
        <w:rPr>
          <w:rFonts w:ascii="Calibri" w:cs="Calibri" w:eastAsia="Calibri" w:hAnsi="Calibri"/>
          <w:b w:val="false"/>
          <w:bCs w:val="false"/>
          <w:i/>
          <w:iCs/>
          <w:color w:val="1A3A5C"/>
          <w:sz w:val="28"/>
          <w:szCs w:val="28"/>
        </w:rPr>
        <w:t xml:space="preserve">The Rule of Power</w:t>
      </w:r>
    </w:p>
    <w:p>
      <w:pPr>
        <w:spacing w:before="400"/>
      </w:pPr>
    </w:p>
    <w:p>
      <w:pPr>
        <w:spacing w:before="80" w:after="80"/>
        <w:jc w:val="center"/>
      </w:pPr>
      <w:r>
        <w:rPr>
          <w:rFonts w:ascii="Calibri" w:cs="Calibri" w:eastAsia="Calibri" w:hAnsi="Calibri"/>
          <w:b/>
          <w:bCs/>
          <w:color w:val="0D1B2A"/>
          <w:spacing w:val="150"/>
          <w:sz w:val="26"/>
          <w:szCs w:val="26"/>
        </w:rPr>
        <w:t xml:space="preserve">OFFICIAL WHITE PAPER</w:t>
      </w:r>
    </w:p>
    <w:p>
      <w:pPr>
        <w:spacing w:before="80" w:after="80"/>
        <w:jc w:val="center"/>
      </w:pPr>
      <w:r>
        <w:rPr>
          <w:rFonts w:ascii="Calibri" w:cs="Calibri" w:eastAsia="Calibri" w:hAnsi="Calibri"/>
          <w:color w:val="4A4A4A"/>
          <w:sz w:val="22"/>
          <w:szCs w:val="22"/>
        </w:rPr>
        <w:t xml:space="preserve">Version 1.0  |  2025</w:t>
      </w:r>
    </w:p>
    <w:p>
      <w:pPr>
        <w:spacing w:before="80" w:after="80"/>
        <w:jc w:val="center"/>
      </w:pPr>
      <w:r>
        <w:rPr>
          <w:rFonts w:ascii="Calibri" w:cs="Calibri" w:eastAsia="Calibri" w:hAnsi="Calibri"/>
          <w:b/>
          <w:bCs/>
          <w:color w:val="1A3A5C"/>
          <w:sz w:val="22"/>
          <w:szCs w:val="22"/>
        </w:rPr>
        <w:t xml:space="preserve">www.dvx.org</w:t>
      </w:r>
    </w:p>
    <w:p>
      <w:pPr>
        <w:spacing w:before="600"/>
      </w:pPr>
    </w:p>
    <w:p>
      <w:pPr>
        <w:spacing w:before="80" w:after="40"/>
        <w:jc w:val="center"/>
      </w:pPr>
      <w:r>
        <w:rPr>
          <w:rFonts w:ascii="Calibri" w:cs="Calibri" w:eastAsia="Calibri" w:hAnsi="Calibri"/>
          <w:color w:val="4A4A4A"/>
          <w:sz w:val="21"/>
          <w:szCs w:val="21"/>
        </w:rPr>
        <w:t xml:space="preserve">Founder &amp; Lead Architect</w:t>
      </w:r>
    </w:p>
    <w:p>
      <w:pPr>
        <w:spacing w:before="0" w:after="40"/>
        <w:jc w:val="center"/>
      </w:pPr>
      <w:r>
        <w:rPr>
          <w:rFonts w:ascii="Calibri" w:cs="Calibri" w:eastAsia="Calibri" w:hAnsi="Calibri"/>
          <w:b/>
          <w:bCs/>
          <w:color w:val="0D1B2A"/>
          <w:sz w:val="26"/>
          <w:szCs w:val="26"/>
        </w:rPr>
        <w:t xml:space="preserve">Darwin Alex Rao</w:t>
      </w:r>
    </w:p>
    <w:p>
      <w:pPr>
        <w:spacing w:before="0" w:after="40"/>
        <w:jc w:val="center"/>
      </w:pPr>
      <w:r>
        <w:rPr>
          <w:rFonts w:ascii="Calibri" w:cs="Calibri" w:eastAsia="Calibri" w:hAnsi="Calibri"/>
          <w:color w:val="1A3A5C"/>
          <w:sz w:val="21"/>
          <w:szCs w:val="21"/>
        </w:rPr>
        <w:t xml:space="preserve">darwinalexrao@gmail.com</w:t>
      </w:r>
    </w:p>
    <w:p>
      <w:pPr>
        <w:spacing w:before="200"/>
        <w:jc w:val="center"/>
      </w:pPr>
      <w:r>
        <w:rPr>
          <w:rFonts w:ascii="Calibri" w:cs="Calibri" w:eastAsia="Calibri" w:hAnsi="Calibri"/>
          <w:i/>
          <w:iCs/>
          <w:color w:val="4A4A4A"/>
          <w:sz w:val="20"/>
          <w:szCs w:val="20"/>
        </w:rPr>
        <w:t xml:space="preserve">BSC Mainnet  |  BEP-20 / ERC-20 Compatible</w:t>
      </w:r>
    </w:p>
    <w:p>
      <w:r>
        <w:br w:type="page"/>
      </w:r>
    </w:p>
    <w:p>
      <w:pPr>
        <w:pStyle w:val="Heading1"/>
        <w:spacing w:before="480" w:after="160"/>
      </w:pPr>
      <w:r>
        <w:rPr>
          <w:rFonts w:ascii="Calibri" w:cs="Calibri" w:eastAsia="Calibri" w:hAnsi="Calibri"/>
          <w:b/>
          <w:bCs/>
          <w:color w:val="0D1B2A"/>
          <w:sz w:val="30"/>
          <w:szCs w:val="30"/>
        </w:rPr>
        <w:t xml:space="preserve">. ABSTRACT</w:t>
      </w:r>
    </w:p>
    <w:p>
      <w:pPr>
        <w:pBdr>
          <w:bottom w:val="single" w:color="C9A84C" w:sz="6" w:space="1"/>
        </w:pBdr>
        <w:spacing w:before="200" w:after="200"/>
      </w:pPr>
    </w:p>
    <w:p>
      <w:pPr>
        <w:pBdr>
          <w:left w:val="thick" w:color="1A3A5C" w:sz="12" w:space="8"/>
        </w:pBdr>
        <w:shd w:fill="EAF2FF" w:val="clear"/>
        <w:spacing w:before="160" w:after="160" w:line="340"/>
        <w:ind w:left="400" w:right="400"/>
      </w:pPr>
      <w:r>
        <w:rPr>
          <w:rFonts w:ascii="Calibri" w:cs="Calibri" w:eastAsia="Calibri" w:hAnsi="Calibri"/>
          <w:i/>
          <w:iCs/>
          <w:color w:val="1A3A5C"/>
          <w:sz w:val="21"/>
          <w:szCs w:val="21"/>
        </w:rPr>
        <w:t xml:space="preserve">DVX (DataVaultX) is a next-generation BEP-20 utility and governance token deployed on the BNB Smart Chain. It introduces a revolutionary model that bridges real-world trade and export data with on-chain tokenomics, making DVX the first token whose fee structure and monetary policy are dynamically governed by live Global Export-Import Index data fetched via Chainlink oracles.</w:t>
      </w:r>
    </w:p>
    <w:p>
      <w:pPr>
        <w:spacing w:before="200"/>
      </w:pPr>
    </w:p>
    <w:p>
      <w:pPr>
        <w:spacing w:before="100" w:after="160" w:line="360"/>
        <w:jc w:val="both"/>
      </w:pPr>
      <w:r>
        <w:rPr>
          <w:rFonts w:ascii="Calibri" w:cs="Calibri" w:eastAsia="Calibri" w:hAnsi="Calibri"/>
          <w:b w:val="false"/>
          <w:bCs w:val="false"/>
          <w:i w:val="false"/>
          <w:iCs w:val="false"/>
          <w:color w:val="4A4A4A"/>
          <w:sz w:val="22"/>
          <w:szCs w:val="22"/>
        </w:rPr>
        <w:t xml:space="preserve">In a landscape saturated with speculative crypto assets, DVX stands apart through its data-driven architecture. The DVX ecosystem combines a 100-million token supply with transparent vesting, multi-tiered security, a staking reward system, and a PancakeSwap-integrated liquidity engine — all governed by real-world economic indicators rather than arbitrary team decisions.</w:t>
      </w:r>
    </w:p>
    <w:p>
      <w:pPr>
        <w:spacing w:before="100" w:after="160" w:line="360"/>
        <w:jc w:val="both"/>
      </w:pPr>
      <w:r>
        <w:rPr>
          <w:rFonts w:ascii="Calibri" w:cs="Calibri" w:eastAsia="Calibri" w:hAnsi="Calibri"/>
          <w:b w:val="false"/>
          <w:bCs w:val="false"/>
          <w:i w:val="false"/>
          <w:iCs w:val="false"/>
          <w:color w:val="4A4A4A"/>
          <w:sz w:val="22"/>
          <w:szCs w:val="22"/>
        </w:rPr>
        <w:t xml:space="preserve">This white paper presents the complete technical blueprint, economic model, governance structure, security framework, and roadmap for the DVX token ecosystem. It is written for investors, developers, blockchain researchers, and institutional participants who seek to understand the full scope of what DVX represents: a token that derives its utility not from speculation, but from the measurable pulse of global trade.</w:t>
      </w:r>
    </w:p>
    <w:p>
      <w:pPr>
        <w:spacing w:before="200"/>
      </w:pPr>
    </w:p>
    <w:p>
      <w:pPr>
        <w:spacing w:before="80" w:after="80"/>
      </w:pPr>
      <w:r>
        <w:rPr>
          <w:rFonts w:ascii="Calibri" w:cs="Calibri" w:eastAsia="Calibri" w:hAnsi="Calibri"/>
          <w:b/>
          <w:bCs/>
          <w:color w:val="0D1B2A"/>
          <w:sz w:val="23"/>
          <w:szCs w:val="23"/>
        </w:rPr>
        <w:t xml:space="preserve">Key Highlights:</w:t>
      </w:r>
    </w:p>
    <w:p>
      <w:pPr>
        <w:spacing w:before="80" w:after="80" w:line="340"/>
        <w:ind w:left="720" w:hanging="360"/>
      </w:pPr>
      <w:r>
        <w:rPr>
          <w:rFonts w:ascii="Calibri" w:cs="Calibri" w:eastAsia="Calibri" w:hAnsi="Calibri"/>
          <w:b/>
          <w:bCs/>
          <w:color w:val="C9A84C"/>
          <w:sz w:val="22"/>
          <w:szCs w:val="22"/>
        </w:rPr>
        <w:t xml:space="preserve">▸  Innovation: </w:t>
      </w:r>
      <w:r>
        <w:rPr>
          <w:rFonts w:ascii="Calibri" w:cs="Calibri" w:eastAsia="Calibri" w:hAnsi="Calibri"/>
          <w:color w:val="4A4A4A"/>
          <w:sz w:val="22"/>
          <w:szCs w:val="22"/>
        </w:rPr>
        <w:t xml:space="preserve">First oracle-driven dynamic fee token on BSC Mainnet</w:t>
      </w:r>
    </w:p>
    <w:p>
      <w:pPr>
        <w:spacing w:before="80" w:after="80" w:line="340"/>
        <w:ind w:left="720" w:hanging="360"/>
      </w:pPr>
      <w:r>
        <w:rPr>
          <w:rFonts w:ascii="Calibri" w:cs="Calibri" w:eastAsia="Calibri" w:hAnsi="Calibri"/>
          <w:b/>
          <w:bCs/>
          <w:color w:val="C9A84C"/>
          <w:sz w:val="22"/>
          <w:szCs w:val="22"/>
        </w:rPr>
        <w:t xml:space="preserve">▸  Supply: </w:t>
      </w:r>
      <w:r>
        <w:rPr>
          <w:rFonts w:ascii="Calibri" w:cs="Calibri" w:eastAsia="Calibri" w:hAnsi="Calibri"/>
          <w:color w:val="4A4A4A"/>
          <w:sz w:val="22"/>
          <w:szCs w:val="22"/>
        </w:rPr>
        <w:t xml:space="preserve">100,000,000 DVX total supply — permanently locked after minting</w:t>
      </w:r>
    </w:p>
    <w:p>
      <w:pPr>
        <w:spacing w:before="80" w:after="80" w:line="340"/>
        <w:ind w:left="720" w:hanging="360"/>
      </w:pPr>
      <w:r>
        <w:rPr>
          <w:rFonts w:ascii="Calibri" w:cs="Calibri" w:eastAsia="Calibri" w:hAnsi="Calibri"/>
          <w:b/>
          <w:bCs/>
          <w:color w:val="C9A84C"/>
          <w:sz w:val="22"/>
          <w:szCs w:val="22"/>
        </w:rPr>
        <w:t xml:space="preserve">▸  Data Engine: </w:t>
      </w:r>
      <w:r>
        <w:rPr>
          <w:rFonts w:ascii="Calibri" w:cs="Calibri" w:eastAsia="Calibri" w:hAnsi="Calibri"/>
          <w:color w:val="4A4A4A"/>
          <w:sz w:val="22"/>
          <w:szCs w:val="22"/>
        </w:rPr>
        <w:t xml:space="preserve">Real-world Global Export-Import Index drives tokenomics</w:t>
      </w:r>
    </w:p>
    <w:p>
      <w:pPr>
        <w:spacing w:before="80" w:after="80" w:line="340"/>
        <w:ind w:left="720" w:hanging="360"/>
      </w:pPr>
      <w:r>
        <w:rPr>
          <w:rFonts w:ascii="Calibri" w:cs="Calibri" w:eastAsia="Calibri" w:hAnsi="Calibri"/>
          <w:b/>
          <w:bCs/>
          <w:color w:val="C9A84C"/>
          <w:sz w:val="22"/>
          <w:szCs w:val="22"/>
        </w:rPr>
        <w:t xml:space="preserve">▸  Staking: </w:t>
      </w:r>
      <w:r>
        <w:rPr>
          <w:rFonts w:ascii="Calibri" w:cs="Calibri" w:eastAsia="Calibri" w:hAnsi="Calibri"/>
          <w:color w:val="4A4A4A"/>
          <w:sz w:val="22"/>
          <w:szCs w:val="22"/>
        </w:rPr>
        <w:t xml:space="preserve">12% staking APY with 20% bonus for 30-day locks</w:t>
      </w:r>
    </w:p>
    <w:p>
      <w:pPr>
        <w:spacing w:before="80" w:after="80" w:line="340"/>
        <w:ind w:left="720" w:hanging="360"/>
      </w:pPr>
      <w:r>
        <w:rPr>
          <w:rFonts w:ascii="Calibri" w:cs="Calibri" w:eastAsia="Calibri" w:hAnsi="Calibri"/>
          <w:b/>
          <w:bCs/>
          <w:color w:val="C9A84C"/>
          <w:sz w:val="22"/>
          <w:szCs w:val="22"/>
        </w:rPr>
        <w:t xml:space="preserve">▸  Transparency: </w:t>
      </w:r>
      <w:r>
        <w:rPr>
          <w:rFonts w:ascii="Calibri" w:cs="Calibri" w:eastAsia="Calibri" w:hAnsi="Calibri"/>
          <w:color w:val="4A4A4A"/>
          <w:sz w:val="22"/>
          <w:szCs w:val="22"/>
        </w:rPr>
        <w:t xml:space="preserve">3-year linear vesting for team tokens with 30-day cliff</w:t>
      </w:r>
    </w:p>
    <w:p>
      <w:pPr>
        <w:spacing w:before="80" w:after="80" w:line="340"/>
        <w:ind w:left="720" w:hanging="360"/>
      </w:pPr>
      <w:r>
        <w:rPr>
          <w:rFonts w:ascii="Calibri" w:cs="Calibri" w:eastAsia="Calibri" w:hAnsi="Calibri"/>
          <w:b/>
          <w:bCs/>
          <w:color w:val="C9A84C"/>
          <w:sz w:val="22"/>
          <w:szCs w:val="22"/>
        </w:rPr>
        <w:t xml:space="preserve">▸  Security: </w:t>
      </w:r>
      <w:r>
        <w:rPr>
          <w:rFonts w:ascii="Calibri" w:cs="Calibri" w:eastAsia="Calibri" w:hAnsi="Calibri"/>
          <w:color w:val="4A4A4A"/>
          <w:sz w:val="22"/>
          <w:szCs w:val="22"/>
        </w:rPr>
        <w:t xml:space="preserve">48-hour timelock on limit removal, 24-hour on fee changes</w:t>
      </w:r>
    </w:p>
    <w:p>
      <w:pPr>
        <w:spacing w:before="80" w:after="80" w:line="340"/>
        <w:ind w:left="720" w:hanging="360"/>
      </w:pPr>
      <w:r>
        <w:rPr>
          <w:rFonts w:ascii="Calibri" w:cs="Calibri" w:eastAsia="Calibri" w:hAnsi="Calibri"/>
          <w:b/>
          <w:bCs/>
          <w:color w:val="C9A84C"/>
          <w:sz w:val="22"/>
          <w:szCs w:val="22"/>
        </w:rPr>
        <w:t xml:space="preserve">▸  Governance: </w:t>
      </w:r>
      <w:r>
        <w:rPr>
          <w:rFonts w:ascii="Calibri" w:cs="Calibri" w:eastAsia="Calibri" w:hAnsi="Calibri"/>
          <w:color w:val="4A4A4A"/>
          <w:sz w:val="22"/>
          <w:szCs w:val="22"/>
        </w:rPr>
        <w:t xml:space="preserve">Dual-control: Owner + Guardian for critical operations</w:t>
      </w:r>
    </w:p>
    <w:p>
      <w:r>
        <w:br w:type="page"/>
      </w:r>
    </w:p>
    <w:p>
      <w:pPr>
        <w:pStyle w:val="Heading1"/>
        <w:spacing w:before="480" w:after="160"/>
      </w:pPr>
      <w:r>
        <w:rPr>
          <w:rFonts w:ascii="Calibri" w:cs="Calibri" w:eastAsia="Calibri" w:hAnsi="Calibri"/>
          <w:b/>
          <w:bCs/>
          <w:color w:val="0D1B2A"/>
          <w:sz w:val="30"/>
          <w:szCs w:val="30"/>
        </w:rPr>
        <w:t xml:space="preserve">. TABLE OF CONTENTS</w:t>
      </w:r>
    </w:p>
    <w:p>
      <w:pPr>
        <w:pBdr>
          <w:bottom w:val="single" w:color="C9A84C" w:sz="6" w:space="1"/>
        </w:pBdr>
        <w:spacing w:before="200" w:after="200"/>
      </w:pPr>
    </w:p>
    <w:p>
      <w:pPr>
        <w:tabs>
          <w:tab w:val="right" w:pos="9026"/>
        </w:tabs>
        <w:spacing w:before="80" w:after="80"/>
      </w:pPr>
      <w:r>
        <w:rPr>
          <w:rFonts w:ascii="Calibri" w:cs="Calibri" w:eastAsia="Calibri" w:hAnsi="Calibri"/>
          <w:color w:val="4A4A4A"/>
          <w:sz w:val="22"/>
          <w:szCs w:val="22"/>
        </w:rPr>
        <w:t xml:space="preserve">1.  Abstract</w:t>
      </w:r>
      <w:r>
        <w:rPr>
          <w:rFonts w:ascii="Calibri" w:cs="Calibri" w:eastAsia="Calibri" w:hAnsi="Calibri"/>
          <w:color w:val="C9A84C"/>
          <w:sz w:val="22"/>
          <w:szCs w:val="22"/>
        </w:rPr>
        <w:t xml:space="preserve">	3</w:t>
      </w:r>
    </w:p>
    <w:p>
      <w:pPr>
        <w:tabs>
          <w:tab w:val="right" w:pos="9026"/>
        </w:tabs>
        <w:spacing w:before="80" w:after="80"/>
      </w:pPr>
      <w:r>
        <w:rPr>
          <w:rFonts w:ascii="Calibri" w:cs="Calibri" w:eastAsia="Calibri" w:hAnsi="Calibri"/>
          <w:color w:val="4A4A4A"/>
          <w:sz w:val="22"/>
          <w:szCs w:val="22"/>
        </w:rPr>
        <w:t xml:space="preserve">2.  Introduction — The Problem We Solve</w:t>
      </w:r>
      <w:r>
        <w:rPr>
          <w:rFonts w:ascii="Calibri" w:cs="Calibri" w:eastAsia="Calibri" w:hAnsi="Calibri"/>
          <w:color w:val="C9A84C"/>
          <w:sz w:val="22"/>
          <w:szCs w:val="22"/>
        </w:rPr>
        <w:t xml:space="preserve">	4</w:t>
      </w:r>
    </w:p>
    <w:p>
      <w:pPr>
        <w:tabs>
          <w:tab w:val="right" w:pos="9026"/>
        </w:tabs>
        <w:spacing w:before="80" w:after="80"/>
      </w:pPr>
      <w:r>
        <w:rPr>
          <w:rFonts w:ascii="Calibri" w:cs="Calibri" w:eastAsia="Calibri" w:hAnsi="Calibri"/>
          <w:color w:val="4A4A4A"/>
          <w:sz w:val="22"/>
          <w:szCs w:val="22"/>
        </w:rPr>
        <w:t xml:space="preserve">3.  DVX Vision &amp; Mission</w:t>
      </w:r>
      <w:r>
        <w:rPr>
          <w:rFonts w:ascii="Calibri" w:cs="Calibri" w:eastAsia="Calibri" w:hAnsi="Calibri"/>
          <w:color w:val="C9A84C"/>
          <w:sz w:val="22"/>
          <w:szCs w:val="22"/>
        </w:rPr>
        <w:t xml:space="preserve">	5</w:t>
      </w:r>
    </w:p>
    <w:p>
      <w:pPr>
        <w:tabs>
          <w:tab w:val="right" w:pos="9026"/>
        </w:tabs>
        <w:spacing w:before="80" w:after="80"/>
      </w:pPr>
      <w:r>
        <w:rPr>
          <w:rFonts w:ascii="Calibri" w:cs="Calibri" w:eastAsia="Calibri" w:hAnsi="Calibri"/>
          <w:color w:val="4A4A4A"/>
          <w:sz w:val="22"/>
          <w:szCs w:val="22"/>
        </w:rPr>
        <w:t xml:space="preserve">4.  Token Architecture &amp; Smart Contract</w:t>
      </w:r>
      <w:r>
        <w:rPr>
          <w:rFonts w:ascii="Calibri" w:cs="Calibri" w:eastAsia="Calibri" w:hAnsi="Calibri"/>
          <w:color w:val="C9A84C"/>
          <w:sz w:val="22"/>
          <w:szCs w:val="22"/>
        </w:rPr>
        <w:t xml:space="preserve">	6</w:t>
      </w:r>
    </w:p>
    <w:p>
      <w:pPr>
        <w:tabs>
          <w:tab w:val="right" w:pos="9026"/>
        </w:tabs>
        <w:spacing w:before="80" w:after="80"/>
      </w:pPr>
      <w:r>
        <w:rPr>
          <w:rFonts w:ascii="Calibri" w:cs="Calibri" w:eastAsia="Calibri" w:hAnsi="Calibri"/>
          <w:color w:val="4A4A4A"/>
          <w:sz w:val="22"/>
          <w:szCs w:val="22"/>
        </w:rPr>
        <w:t xml:space="preserve">5.  Token Distribution &amp; Vesting</w:t>
      </w:r>
      <w:r>
        <w:rPr>
          <w:rFonts w:ascii="Calibri" w:cs="Calibri" w:eastAsia="Calibri" w:hAnsi="Calibri"/>
          <w:color w:val="C9A84C"/>
          <w:sz w:val="22"/>
          <w:szCs w:val="22"/>
        </w:rPr>
        <w:t xml:space="preserve">	7</w:t>
      </w:r>
    </w:p>
    <w:p>
      <w:pPr>
        <w:tabs>
          <w:tab w:val="right" w:pos="9026"/>
        </w:tabs>
        <w:spacing w:before="80" w:after="80"/>
      </w:pPr>
      <w:r>
        <w:rPr>
          <w:rFonts w:ascii="Calibri" w:cs="Calibri" w:eastAsia="Calibri" w:hAnsi="Calibri"/>
          <w:color w:val="4A4A4A"/>
          <w:sz w:val="22"/>
          <w:szCs w:val="22"/>
        </w:rPr>
        <w:t xml:space="preserve">6.  DVX Oracle System — Chainlink Integration</w:t>
      </w:r>
      <w:r>
        <w:rPr>
          <w:rFonts w:ascii="Calibri" w:cs="Calibri" w:eastAsia="Calibri" w:hAnsi="Calibri"/>
          <w:color w:val="C9A84C"/>
          <w:sz w:val="22"/>
          <w:szCs w:val="22"/>
        </w:rPr>
        <w:t xml:space="preserve">	8</w:t>
      </w:r>
    </w:p>
    <w:p>
      <w:pPr>
        <w:tabs>
          <w:tab w:val="right" w:pos="9026"/>
        </w:tabs>
        <w:spacing w:before="80" w:after="80"/>
      </w:pPr>
      <w:r>
        <w:rPr>
          <w:rFonts w:ascii="Calibri" w:cs="Calibri" w:eastAsia="Calibri" w:hAnsi="Calibri"/>
          <w:color w:val="4A4A4A"/>
          <w:sz w:val="22"/>
          <w:szCs w:val="22"/>
        </w:rPr>
        <w:t xml:space="preserve">7.  Fee Structure &amp; Market Dynamics</w:t>
      </w:r>
      <w:r>
        <w:rPr>
          <w:rFonts w:ascii="Calibri" w:cs="Calibri" w:eastAsia="Calibri" w:hAnsi="Calibri"/>
          <w:color w:val="C9A84C"/>
          <w:sz w:val="22"/>
          <w:szCs w:val="22"/>
        </w:rPr>
        <w:t xml:space="preserve">	9</w:t>
      </w:r>
    </w:p>
    <w:p>
      <w:pPr>
        <w:tabs>
          <w:tab w:val="right" w:pos="9026"/>
        </w:tabs>
        <w:spacing w:before="80" w:after="80"/>
      </w:pPr>
      <w:r>
        <w:rPr>
          <w:rFonts w:ascii="Calibri" w:cs="Calibri" w:eastAsia="Calibri" w:hAnsi="Calibri"/>
          <w:color w:val="4A4A4A"/>
          <w:sz w:val="22"/>
          <w:szCs w:val="22"/>
        </w:rPr>
        <w:t xml:space="preserve">8.  Staking System</w:t>
      </w:r>
      <w:r>
        <w:rPr>
          <w:rFonts w:ascii="Calibri" w:cs="Calibri" w:eastAsia="Calibri" w:hAnsi="Calibri"/>
          <w:color w:val="C9A84C"/>
          <w:sz w:val="22"/>
          <w:szCs w:val="22"/>
        </w:rPr>
        <w:t xml:space="preserve">	10</w:t>
      </w:r>
    </w:p>
    <w:p>
      <w:pPr>
        <w:tabs>
          <w:tab w:val="right" w:pos="9026"/>
        </w:tabs>
        <w:spacing w:before="80" w:after="80"/>
      </w:pPr>
      <w:r>
        <w:rPr>
          <w:rFonts w:ascii="Calibri" w:cs="Calibri" w:eastAsia="Calibri" w:hAnsi="Calibri"/>
          <w:color w:val="4A4A4A"/>
          <w:sz w:val="22"/>
          <w:szCs w:val="22"/>
        </w:rPr>
        <w:t xml:space="preserve">9.  Liquidity Engine &amp; PancakeSwap Integration</w:t>
      </w:r>
      <w:r>
        <w:rPr>
          <w:rFonts w:ascii="Calibri" w:cs="Calibri" w:eastAsia="Calibri" w:hAnsi="Calibri"/>
          <w:color w:val="C9A84C"/>
          <w:sz w:val="22"/>
          <w:szCs w:val="22"/>
        </w:rPr>
        <w:t xml:space="preserve">	11</w:t>
      </w:r>
    </w:p>
    <w:p>
      <w:pPr>
        <w:tabs>
          <w:tab w:val="right" w:pos="9026"/>
        </w:tabs>
        <w:spacing w:before="80" w:after="80"/>
      </w:pPr>
      <w:r>
        <w:rPr>
          <w:rFonts w:ascii="Calibri" w:cs="Calibri" w:eastAsia="Calibri" w:hAnsi="Calibri"/>
          <w:color w:val="4A4A4A"/>
          <w:sz w:val="22"/>
          <w:szCs w:val="22"/>
        </w:rPr>
        <w:t xml:space="preserve">10.  Security Framework</w:t>
      </w:r>
      <w:r>
        <w:rPr>
          <w:rFonts w:ascii="Calibri" w:cs="Calibri" w:eastAsia="Calibri" w:hAnsi="Calibri"/>
          <w:color w:val="C9A84C"/>
          <w:sz w:val="22"/>
          <w:szCs w:val="22"/>
        </w:rPr>
        <w:t xml:space="preserve">	12</w:t>
      </w:r>
    </w:p>
    <w:p>
      <w:pPr>
        <w:tabs>
          <w:tab w:val="right" w:pos="9026"/>
        </w:tabs>
        <w:spacing w:before="80" w:after="80"/>
      </w:pPr>
      <w:r>
        <w:rPr>
          <w:rFonts w:ascii="Calibri" w:cs="Calibri" w:eastAsia="Calibri" w:hAnsi="Calibri"/>
          <w:color w:val="4A4A4A"/>
          <w:sz w:val="22"/>
          <w:szCs w:val="22"/>
        </w:rPr>
        <w:t xml:space="preserve">11.  Governance &amp; Timelock</w:t>
      </w:r>
      <w:r>
        <w:rPr>
          <w:rFonts w:ascii="Calibri" w:cs="Calibri" w:eastAsia="Calibri" w:hAnsi="Calibri"/>
          <w:color w:val="C9A84C"/>
          <w:sz w:val="22"/>
          <w:szCs w:val="22"/>
        </w:rPr>
        <w:t xml:space="preserve">	13</w:t>
      </w:r>
    </w:p>
    <w:p>
      <w:pPr>
        <w:tabs>
          <w:tab w:val="right" w:pos="9026"/>
        </w:tabs>
        <w:spacing w:before="80" w:after="80"/>
      </w:pPr>
      <w:r>
        <w:rPr>
          <w:rFonts w:ascii="Calibri" w:cs="Calibri" w:eastAsia="Calibri" w:hAnsi="Calibri"/>
          <w:color w:val="4A4A4A"/>
          <w:sz w:val="22"/>
          <w:szCs w:val="22"/>
        </w:rPr>
        <w:t xml:space="preserve">12.  Roadmap</w:t>
      </w:r>
      <w:r>
        <w:rPr>
          <w:rFonts w:ascii="Calibri" w:cs="Calibri" w:eastAsia="Calibri" w:hAnsi="Calibri"/>
          <w:color w:val="C9A84C"/>
          <w:sz w:val="22"/>
          <w:szCs w:val="22"/>
        </w:rPr>
        <w:t xml:space="preserve">	14</w:t>
      </w:r>
    </w:p>
    <w:p>
      <w:pPr>
        <w:tabs>
          <w:tab w:val="right" w:pos="9026"/>
        </w:tabs>
        <w:spacing w:before="80" w:after="80"/>
      </w:pPr>
      <w:r>
        <w:rPr>
          <w:rFonts w:ascii="Calibri" w:cs="Calibri" w:eastAsia="Calibri" w:hAnsi="Calibri"/>
          <w:color w:val="4A4A4A"/>
          <w:sz w:val="22"/>
          <w:szCs w:val="22"/>
        </w:rPr>
        <w:t xml:space="preserve">13.  Legal Disclaimer &amp; Terms of Use</w:t>
      </w:r>
      <w:r>
        <w:rPr>
          <w:rFonts w:ascii="Calibri" w:cs="Calibri" w:eastAsia="Calibri" w:hAnsi="Calibri"/>
          <w:color w:val="C9A84C"/>
          <w:sz w:val="22"/>
          <w:szCs w:val="22"/>
        </w:rPr>
        <w:t xml:space="preserve">	15</w:t>
      </w:r>
    </w:p>
    <w:p>
      <w:pPr>
        <w:tabs>
          <w:tab w:val="right" w:pos="9026"/>
        </w:tabs>
        <w:spacing w:before="80" w:after="80"/>
      </w:pPr>
      <w:r>
        <w:rPr>
          <w:rFonts w:ascii="Calibri" w:cs="Calibri" w:eastAsia="Calibri" w:hAnsi="Calibri"/>
          <w:color w:val="4A4A4A"/>
          <w:sz w:val="22"/>
          <w:szCs w:val="22"/>
        </w:rPr>
        <w:t xml:space="preserve">14.  Team &amp; Contact</w:t>
      </w:r>
      <w:r>
        <w:rPr>
          <w:rFonts w:ascii="Calibri" w:cs="Calibri" w:eastAsia="Calibri" w:hAnsi="Calibri"/>
          <w:color w:val="C9A84C"/>
          <w:sz w:val="22"/>
          <w:szCs w:val="22"/>
        </w:rPr>
        <w:t xml:space="preserve">	20</w:t>
      </w:r>
    </w:p>
    <w:p>
      <w:r>
        <w:br w:type="page"/>
      </w:r>
    </w:p>
    <w:p>
      <w:pPr>
        <w:pStyle w:val="Heading1"/>
        <w:spacing w:before="480" w:after="160"/>
      </w:pPr>
      <w:r>
        <w:rPr>
          <w:rFonts w:ascii="Calibri" w:cs="Calibri" w:eastAsia="Calibri" w:hAnsi="Calibri"/>
          <w:b/>
          <w:bCs/>
          <w:color w:val="0D1B2A"/>
          <w:sz w:val="30"/>
          <w:szCs w:val="30"/>
        </w:rPr>
        <w:t xml:space="preserve">1. INTRODUCTION — THE PROBLEM WE SOLVE</w:t>
      </w:r>
    </w:p>
    <w:p>
      <w:pPr>
        <w:pBdr>
          <w:bottom w:val="single" w:color="C9A84C" w:sz="6" w:space="1"/>
        </w:pBdr>
        <w:spacing w:before="200" w:after="200"/>
      </w:pPr>
    </w:p>
    <w:p>
      <w:pPr>
        <w:pStyle w:val="Heading2"/>
        <w:spacing w:before="280" w:after="100"/>
      </w:pPr>
      <w:r>
        <w:rPr>
          <w:rFonts w:ascii="Calibri" w:cs="Calibri" w:eastAsia="Calibri" w:hAnsi="Calibri"/>
          <w:b/>
          <w:bCs/>
          <w:color w:val="1A3A5C"/>
          <w:sz w:val="24"/>
          <w:szCs w:val="24"/>
        </w:rPr>
        <w:t xml:space="preserve">1.1 The Broken Tokenomics Paradigm</w:t>
      </w:r>
    </w:p>
    <w:p>
      <w:pPr>
        <w:spacing w:before="100" w:after="160" w:line="360"/>
        <w:jc w:val="both"/>
      </w:pPr>
      <w:r>
        <w:rPr>
          <w:rFonts w:ascii="Calibri" w:cs="Calibri" w:eastAsia="Calibri" w:hAnsi="Calibri"/>
          <w:b w:val="false"/>
          <w:bCs w:val="false"/>
          <w:i w:val="false"/>
          <w:iCs w:val="false"/>
          <w:color w:val="4A4A4A"/>
          <w:sz w:val="22"/>
          <w:szCs w:val="22"/>
        </w:rPr>
        <w:t xml:space="preserve">Since the creation of Bitcoin in 2009, the cryptocurrency industry has grown into a multi-trillion dollar global phenomenon. Yet despite this explosive growth, the vast majority of tokens in existence today suffer from a common and fundamental flaw: their economic policies are governed by arbitrary decisions made by centralized teams rather than by verifiable, real-world data.</w:t>
      </w:r>
    </w:p>
    <w:p>
      <w:pPr>
        <w:spacing w:before="100" w:after="160" w:line="360"/>
        <w:jc w:val="both"/>
      </w:pPr>
      <w:r>
        <w:rPr>
          <w:rFonts w:ascii="Calibri" w:cs="Calibri" w:eastAsia="Calibri" w:hAnsi="Calibri"/>
          <w:b w:val="false"/>
          <w:bCs w:val="false"/>
          <w:i w:val="false"/>
          <w:iCs w:val="false"/>
          <w:color w:val="4A4A4A"/>
          <w:sz w:val="22"/>
          <w:szCs w:val="22"/>
        </w:rPr>
        <w:t xml:space="preserve">Inflation rates are set by whim. Fee structures are changed without notice. Team wallets are dumped on retail investors. Staking APYs are promised and then quietly reduced. The result is a landscape where investor trust is perpetually eroded and value is continuously extracted from communities rather than created for them.</w:t>
      </w:r>
    </w:p>
    <w:p>
      <w:pPr>
        <w:pStyle w:val="Heading2"/>
        <w:spacing w:before="280" w:after="100"/>
      </w:pPr>
      <w:r>
        <w:rPr>
          <w:rFonts w:ascii="Calibri" w:cs="Calibri" w:eastAsia="Calibri" w:hAnsi="Calibri"/>
          <w:b/>
          <w:bCs/>
          <w:color w:val="1A3A5C"/>
          <w:sz w:val="24"/>
          <w:szCs w:val="24"/>
        </w:rPr>
        <w:t xml:space="preserve">1.2 The Missing Link: Real-World Data</w:t>
      </w:r>
    </w:p>
    <w:p>
      <w:pPr>
        <w:spacing w:before="100" w:after="160" w:line="360"/>
        <w:jc w:val="both"/>
      </w:pPr>
      <w:r>
        <w:rPr>
          <w:rFonts w:ascii="Calibri" w:cs="Calibri" w:eastAsia="Calibri" w:hAnsi="Calibri"/>
          <w:b w:val="false"/>
          <w:bCs w:val="false"/>
          <w:i w:val="false"/>
          <w:iCs w:val="false"/>
          <w:color w:val="4A4A4A"/>
          <w:sz w:val="22"/>
          <w:szCs w:val="22"/>
        </w:rPr>
        <w:t xml:space="preserve">The world's economic health can be measured in concrete terms: the volume of goods traded between nations, the growth of export markets, the expansion or contraction of global commerce. These are the indicators that central banks and institutional investors use to make trillion-dollar decisions. Yet no major cryptocurrency project has ever tied its monetary policy directly to these globally verifiable economic indicators.</w:t>
      </w:r>
    </w:p>
    <w:p>
      <w:pPr>
        <w:spacing w:before="100" w:after="160" w:line="360"/>
        <w:jc w:val="both"/>
      </w:pPr>
      <w:r>
        <w:rPr>
          <w:rFonts w:ascii="Calibri" w:cs="Calibri" w:eastAsia="Calibri" w:hAnsi="Calibri"/>
          <w:b w:val="false"/>
          <w:bCs w:val="false"/>
          <w:i w:val="false"/>
          <w:iCs w:val="false"/>
          <w:color w:val="4A4A4A"/>
          <w:sz w:val="22"/>
          <w:szCs w:val="22"/>
        </w:rPr>
        <w:t xml:space="preserve">DVX was created to fill this gap. By connecting the DVX token's fee structure and market classification system directly to the Global Export-Import Index — a composite measure of worldwide trade activity — DVX becomes the first token whose behavior is determined not by human opinion, but by the objective reality of global commerce.</w:t>
      </w:r>
    </w:p>
    <w:p>
      <w:pPr>
        <w:pStyle w:val="Heading2"/>
        <w:spacing w:before="280" w:after="100"/>
      </w:pPr>
      <w:r>
        <w:rPr>
          <w:rFonts w:ascii="Calibri" w:cs="Calibri" w:eastAsia="Calibri" w:hAnsi="Calibri"/>
          <w:b/>
          <w:bCs/>
          <w:color w:val="1A3A5C"/>
          <w:sz w:val="24"/>
          <w:szCs w:val="24"/>
        </w:rPr>
        <w:t xml:space="preserve">1.3 Why BNB Smart Chain?</w:t>
      </w:r>
    </w:p>
    <w:p>
      <w:pPr>
        <w:spacing w:before="100" w:after="160" w:line="360"/>
        <w:jc w:val="both"/>
      </w:pPr>
      <w:r>
        <w:rPr>
          <w:rFonts w:ascii="Calibri" w:cs="Calibri" w:eastAsia="Calibri" w:hAnsi="Calibri"/>
          <w:b w:val="false"/>
          <w:bCs w:val="false"/>
          <w:i w:val="false"/>
          <w:iCs w:val="false"/>
          <w:color w:val="4A4A4A"/>
          <w:sz w:val="22"/>
          <w:szCs w:val="22"/>
        </w:rPr>
        <w:t xml:space="preserve">DVX is deployed on the BNB Smart Chain (BSC) for three core reasons: speed, cost, and ecosystem reach. BSC offers sub-3-second block times, transaction fees averaging less than $0.10, and direct compatibility with the largest decentralized exchange in the world — PancakeSwap. With over 1.5 billion transactions processed and hundreds of millions of active wallets, BSC provides DVX with the infrastructure required for genuine mass adoption.</w:t>
      </w:r>
    </w:p>
    <w:p>
      <w:pPr>
        <w:spacing w:before="100" w:after="160" w:line="360"/>
        <w:jc w:val="both"/>
      </w:pPr>
      <w:r>
        <w:rPr>
          <w:rFonts w:ascii="Calibri" w:cs="Calibri" w:eastAsia="Calibri" w:hAnsi="Calibri"/>
          <w:b w:val="false"/>
          <w:bCs w:val="false"/>
          <w:i w:val="false"/>
          <w:iCs w:val="false"/>
          <w:color w:val="4A4A4A"/>
          <w:sz w:val="22"/>
          <w:szCs w:val="22"/>
        </w:rPr>
        <w:t xml:space="preserve">Furthermore, BSC's full Chainlink oracle support enables DVX's revolutionary data-driven tokenomics engine to operate reliably and without centralized intervention.</w:t>
      </w:r>
    </w:p>
    <w:p>
      <w:r>
        <w:br w:type="page"/>
      </w:r>
    </w:p>
    <w:p>
      <w:pPr>
        <w:pStyle w:val="Heading1"/>
        <w:spacing w:before="480" w:after="160"/>
      </w:pPr>
      <w:r>
        <w:rPr>
          <w:rFonts w:ascii="Calibri" w:cs="Calibri" w:eastAsia="Calibri" w:hAnsi="Calibri"/>
          <w:b/>
          <w:bCs/>
          <w:color w:val="0D1B2A"/>
          <w:sz w:val="30"/>
          <w:szCs w:val="30"/>
        </w:rPr>
        <w:t xml:space="preserve">2. DVX VISION &amp; MISSION</w:t>
      </w:r>
    </w:p>
    <w:p>
      <w:pPr>
        <w:pBdr>
          <w:bottom w:val="single" w:color="C9A84C" w:sz="6" w:space="1"/>
        </w:pBdr>
        <w:spacing w:before="200" w:after="200"/>
      </w:pPr>
    </w:p>
    <w:p>
      <w:pPr>
        <w:pStyle w:val="Heading2"/>
        <w:spacing w:before="280" w:after="100"/>
      </w:pPr>
      <w:r>
        <w:rPr>
          <w:rFonts w:ascii="Calibri" w:cs="Calibri" w:eastAsia="Calibri" w:hAnsi="Calibri"/>
          <w:b/>
          <w:bCs/>
          <w:color w:val="1A3A5C"/>
          <w:sz w:val="24"/>
          <w:szCs w:val="24"/>
        </w:rPr>
        <w:t xml:space="preserve">2.1 Vision Statement</w:t>
      </w:r>
    </w:p>
    <w:p>
      <w:pPr>
        <w:pBdr>
          <w:left w:val="thick" w:color="1A3A5C" w:sz="12" w:space="8"/>
        </w:pBdr>
        <w:shd w:fill="EAF2FF" w:val="clear"/>
        <w:spacing w:before="160" w:after="160" w:line="340"/>
        <w:ind w:left="400" w:right="400"/>
      </w:pPr>
      <w:r>
        <w:rPr>
          <w:rFonts w:ascii="Calibri" w:cs="Calibri" w:eastAsia="Calibri" w:hAnsi="Calibri"/>
          <w:i/>
          <w:iCs/>
          <w:color w:val="1A3A5C"/>
          <w:sz w:val="21"/>
          <w:szCs w:val="21"/>
        </w:rPr>
        <w:t xml:space="preserve">"To create a self-regulating, data-sovereign token ecosystem where monetary policy is determined by the objective reality of global trade — not by human discretion — giving every participant equal, transparent, and verifiable information about why the system behaves as it does."</w:t>
      </w:r>
    </w:p>
    <w:p>
      <w:pPr>
        <w:spacing w:before="160"/>
      </w:pPr>
    </w:p>
    <w:p>
      <w:pPr>
        <w:pStyle w:val="Heading2"/>
        <w:spacing w:before="280" w:after="100"/>
      </w:pPr>
      <w:r>
        <w:rPr>
          <w:rFonts w:ascii="Calibri" w:cs="Calibri" w:eastAsia="Calibri" w:hAnsi="Calibri"/>
          <w:b/>
          <w:bCs/>
          <w:color w:val="1A3A5C"/>
          <w:sz w:val="24"/>
          <w:szCs w:val="24"/>
        </w:rPr>
        <w:t xml:space="preserve">2.2 Mission</w:t>
      </w:r>
    </w:p>
    <w:p>
      <w:pPr>
        <w:spacing w:before="100" w:after="160" w:line="360"/>
        <w:jc w:val="both"/>
      </w:pPr>
      <w:r>
        <w:rPr>
          <w:rFonts w:ascii="Calibri" w:cs="Calibri" w:eastAsia="Calibri" w:hAnsi="Calibri"/>
          <w:b w:val="false"/>
          <w:bCs w:val="false"/>
          <w:i w:val="false"/>
          <w:iCs w:val="false"/>
          <w:color w:val="4A4A4A"/>
          <w:sz w:val="22"/>
          <w:szCs w:val="22"/>
        </w:rPr>
        <w:t xml:space="preserve">The DVX mission is to deliver a production-ready, mainnet-deployed BEP-20 token that demonstrably solves the trust problem in decentralized finance by replacing arbitrary governance decisions with cryptographically verified real-world data. Specifically, DVX aims to:</w:t>
      </w:r>
    </w:p>
    <w:p>
      <w:pPr>
        <w:spacing w:before="80" w:after="80" w:line="340"/>
        <w:ind w:left="720" w:hanging="360"/>
      </w:pPr>
      <w:r>
        <w:rPr>
          <w:rFonts w:ascii="Calibri" w:cs="Calibri" w:eastAsia="Calibri" w:hAnsi="Calibri"/>
          <w:b/>
          <w:bCs/>
          <w:color w:val="C9A84C"/>
          <w:sz w:val="22"/>
          <w:szCs w:val="22"/>
        </w:rPr>
        <w:t xml:space="preserve">▸  Transparency: </w:t>
      </w:r>
      <w:r>
        <w:rPr>
          <w:rFonts w:ascii="Calibri" w:cs="Calibri" w:eastAsia="Calibri" w:hAnsi="Calibri"/>
          <w:color w:val="4A4A4A"/>
          <w:sz w:val="22"/>
          <w:szCs w:val="22"/>
        </w:rPr>
        <w:t xml:space="preserve">Provide investors with a token whose fee adjustments are triggered by provably neutral, third-party data sources (World Bank, UN Comtrade)</w:t>
      </w:r>
    </w:p>
    <w:p>
      <w:pPr>
        <w:spacing w:before="80" w:after="80" w:line="340"/>
        <w:ind w:left="720" w:hanging="360"/>
      </w:pPr>
      <w:r>
        <w:rPr>
          <w:rFonts w:ascii="Calibri" w:cs="Calibri" w:eastAsia="Calibri" w:hAnsi="Calibri"/>
          <w:b/>
          <w:bCs/>
          <w:color w:val="C9A84C"/>
          <w:sz w:val="22"/>
          <w:szCs w:val="22"/>
        </w:rPr>
        <w:t xml:space="preserve">▸  Sustainability: </w:t>
      </w:r>
      <w:r>
        <w:rPr>
          <w:rFonts w:ascii="Calibri" w:cs="Calibri" w:eastAsia="Calibri" w:hAnsi="Calibri"/>
          <w:color w:val="4A4A4A"/>
          <w:sz w:val="22"/>
          <w:szCs w:val="22"/>
        </w:rPr>
        <w:t xml:space="preserve">Create a sustainable staking economy that rewards long-term holders without inflating supply beyond the fixed 100M cap</w:t>
      </w:r>
    </w:p>
    <w:p>
      <w:pPr>
        <w:spacing w:before="80" w:after="80" w:line="340"/>
        <w:ind w:left="720" w:hanging="360"/>
      </w:pPr>
      <w:r>
        <w:rPr>
          <w:rFonts w:ascii="Calibri" w:cs="Calibri" w:eastAsia="Calibri" w:hAnsi="Calibri"/>
          <w:b/>
          <w:bCs/>
          <w:color w:val="C9A84C"/>
          <w:sz w:val="22"/>
          <w:szCs w:val="22"/>
        </w:rPr>
        <w:t xml:space="preserve">▸  Stability: </w:t>
      </w:r>
      <w:r>
        <w:rPr>
          <w:rFonts w:ascii="Calibri" w:cs="Calibri" w:eastAsia="Calibri" w:hAnsi="Calibri"/>
          <w:color w:val="4A4A4A"/>
          <w:sz w:val="22"/>
          <w:szCs w:val="22"/>
        </w:rPr>
        <w:t xml:space="preserve">Build a liquidity-first ecosystem where auto-swap mechanics, LP token burning, and pool reserve protection prevent price crashes</w:t>
      </w:r>
    </w:p>
    <w:p>
      <w:pPr>
        <w:spacing w:before="80" w:after="80" w:line="340"/>
        <w:ind w:left="720" w:hanging="360"/>
      </w:pPr>
      <w:r>
        <w:rPr>
          <w:rFonts w:ascii="Calibri" w:cs="Calibri" w:eastAsia="Calibri" w:hAnsi="Calibri"/>
          <w:b/>
          <w:bCs/>
          <w:color w:val="C9A84C"/>
          <w:sz w:val="22"/>
          <w:szCs w:val="22"/>
        </w:rPr>
        <w:t xml:space="preserve">▸  Security: </w:t>
      </w:r>
      <w:r>
        <w:rPr>
          <w:rFonts w:ascii="Calibri" w:cs="Calibri" w:eastAsia="Calibri" w:hAnsi="Calibri"/>
          <w:color w:val="4A4A4A"/>
          <w:sz w:val="22"/>
          <w:szCs w:val="22"/>
        </w:rPr>
        <w:t xml:space="preserve">Deliver institutional-grade security through timelocks, guardian dual-control, reentrancy protection, and 2-step ownership transfers</w:t>
      </w:r>
    </w:p>
    <w:p>
      <w:pPr>
        <w:spacing w:before="80" w:after="80" w:line="340"/>
        <w:ind w:left="720" w:hanging="360"/>
      </w:pPr>
      <w:r>
        <w:rPr>
          <w:rFonts w:ascii="Calibri" w:cs="Calibri" w:eastAsia="Calibri" w:hAnsi="Calibri"/>
          <w:b/>
          <w:bCs/>
          <w:color w:val="C9A84C"/>
          <w:sz w:val="22"/>
          <w:szCs w:val="22"/>
        </w:rPr>
        <w:t xml:space="preserve">▸  Governance: </w:t>
      </w:r>
      <w:r>
        <w:rPr>
          <w:rFonts w:ascii="Calibri" w:cs="Calibri" w:eastAsia="Calibri" w:hAnsi="Calibri"/>
          <w:color w:val="4A4A4A"/>
          <w:sz w:val="22"/>
          <w:szCs w:val="22"/>
        </w:rPr>
        <w:t xml:space="preserve">Empower the DVX community with a clear roadmap toward decentralized governance (DAO) as the ecosystem matures</w:t>
      </w:r>
    </w:p>
    <w:p>
      <w:pPr>
        <w:pStyle w:val="Heading2"/>
        <w:spacing w:before="280" w:after="100"/>
      </w:pPr>
      <w:r>
        <w:rPr>
          <w:rFonts w:ascii="Calibri" w:cs="Calibri" w:eastAsia="Calibri" w:hAnsi="Calibri"/>
          <w:b/>
          <w:bCs/>
          <w:color w:val="1A3A5C"/>
          <w:sz w:val="24"/>
          <w:szCs w:val="24"/>
        </w:rPr>
        <w:t xml:space="preserve">2.3 The Name: DataVaultX</w:t>
      </w:r>
    </w:p>
    <w:p>
      <w:pPr>
        <w:spacing w:before="100" w:after="160" w:line="360"/>
        <w:jc w:val="both"/>
      </w:pPr>
      <w:r>
        <w:rPr>
          <w:rFonts w:ascii="Calibri" w:cs="Calibri" w:eastAsia="Calibri" w:hAnsi="Calibri"/>
          <w:b w:val="false"/>
          <w:bCs w:val="false"/>
          <w:i w:val="false"/>
          <w:iCs w:val="false"/>
          <w:color w:val="4A4A4A"/>
          <w:sz w:val="22"/>
          <w:szCs w:val="22"/>
        </w:rPr>
        <w:t xml:space="preserve">DVX stands for DataVaultX — a name that encapsulates the core proposition of the project. 'Data' reflects the oracle-driven, data-centric approach to tokenomics. 'Vault' represents the security, permanence, and trustworthiness of the smart contract architecture. 'X' denotes the exponential potential of a system where real-world data and blockchain technology are unified for the first time.</w:t>
      </w:r>
    </w:p>
    <w:p>
      <w:pPr>
        <w:pStyle w:val="Heading2"/>
        <w:spacing w:before="280" w:after="100"/>
      </w:pPr>
      <w:r>
        <w:rPr>
          <w:rFonts w:ascii="Calibri" w:cs="Calibri" w:eastAsia="Calibri" w:hAnsi="Calibri"/>
          <w:b/>
          <w:bCs/>
          <w:color w:val="1A3A5C"/>
          <w:sz w:val="24"/>
          <w:szCs w:val="24"/>
        </w:rPr>
        <w:t xml:space="preserve">2.4 The Tagline: The Rule of Power</w:t>
      </w:r>
    </w:p>
    <w:p>
      <w:pPr>
        <w:spacing w:before="100" w:after="160" w:line="360"/>
        <w:jc w:val="both"/>
      </w:pPr>
      <w:r>
        <w:rPr>
          <w:rFonts w:ascii="Calibri" w:cs="Calibri" w:eastAsia="Calibri" w:hAnsi="Calibri"/>
          <w:b w:val="false"/>
          <w:bCs w:val="false"/>
          <w:i w:val="false"/>
          <w:iCs w:val="false"/>
          <w:color w:val="4A4A4A"/>
          <w:sz w:val="22"/>
          <w:szCs w:val="22"/>
        </w:rPr>
        <w:t xml:space="preserve">DVX operates under one foundational principle: data is the ultimate authority. In a world where financial power has historically belonged to those with access to superior information, DVX democratizes this access. Every wallet, large or small, sees the same oracle data, the same fee rates, and the same market conditions simultaneously. This is The Rule of Power — data governs all.</w:t>
      </w:r>
    </w:p>
    <w:p>
      <w:r>
        <w:br w:type="page"/>
      </w:r>
    </w:p>
    <w:p>
      <w:pPr>
        <w:pStyle w:val="Heading1"/>
        <w:spacing w:before="480" w:after="160"/>
      </w:pPr>
      <w:r>
        <w:rPr>
          <w:rFonts w:ascii="Calibri" w:cs="Calibri" w:eastAsia="Calibri" w:hAnsi="Calibri"/>
          <w:b/>
          <w:bCs/>
          <w:color w:val="0D1B2A"/>
          <w:sz w:val="30"/>
          <w:szCs w:val="30"/>
        </w:rPr>
        <w:t xml:space="preserve">3. TOKEN ARCHITECTURE &amp; SMART CONTRACT</w:t>
      </w:r>
    </w:p>
    <w:p>
      <w:pPr>
        <w:pBdr>
          <w:bottom w:val="single" w:color="C9A84C" w:sz="6" w:space="1"/>
        </w:pBdr>
        <w:spacing w:before="200" w:after="200"/>
      </w:pPr>
    </w:p>
    <w:p>
      <w:pPr>
        <w:pStyle w:val="Heading2"/>
        <w:spacing w:before="280" w:after="100"/>
      </w:pPr>
      <w:r>
        <w:rPr>
          <w:rFonts w:ascii="Calibri" w:cs="Calibri" w:eastAsia="Calibri" w:hAnsi="Calibri"/>
          <w:b/>
          <w:bCs/>
          <w:color w:val="1A3A5C"/>
          <w:sz w:val="24"/>
          <w:szCs w:val="24"/>
        </w:rPr>
        <w:t xml:space="preserve">3.1 Technical Specifications</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4000"/>
        <w:gridCol w:w="5360"/>
      </w:tblGrid>
      <w:tr>
        <w:tc>
          <w:tcPr>
            <w:tcW w:type="dxa" w:w="4000"/>
            <w:shd w:fill="0D1B2A" w:val="clear"/>
            <w:tcMar>
              <w:top w:type="dxa" w:w="100"/>
              <w:left w:type="dxa" w:w="200"/>
              <w:bottom w:type="dxa" w:w="100"/>
              <w:right w:type="dxa" w:w="200"/>
            </w:tcMar>
          </w:tcPr>
          <w:p>
            <w:r>
              <w:rPr>
                <w:rFonts w:ascii="Calibri" w:cs="Calibri" w:eastAsia="Calibri" w:hAnsi="Calibri"/>
                <w:b/>
                <w:bCs/>
                <w:color w:val="FFFFFF"/>
                <w:sz w:val="21"/>
                <w:szCs w:val="21"/>
              </w:rPr>
              <w:t xml:space="preserve">Parameter</w:t>
            </w:r>
          </w:p>
        </w:tc>
        <w:tc>
          <w:tcPr>
            <w:tcW w:type="dxa" w:w="5360"/>
            <w:shd w:fill="1A3A5C" w:val="clear"/>
            <w:tcMar>
              <w:top w:type="dxa" w:w="100"/>
              <w:left w:type="dxa" w:w="200"/>
              <w:bottom w:type="dxa" w:w="100"/>
              <w:right w:type="dxa" w:w="200"/>
            </w:tcMar>
          </w:tcPr>
          <w:p>
            <w:r>
              <w:rPr>
                <w:rFonts w:ascii="Calibri" w:cs="Calibri" w:eastAsia="Calibri" w:hAnsi="Calibri"/>
                <w:b/>
                <w:bCs/>
                <w:color w:val="FFFFFF"/>
                <w:sz w:val="21"/>
                <w:szCs w:val="21"/>
              </w:rPr>
              <w:t xml:space="preserve">Value</w:t>
            </w:r>
          </w:p>
        </w:tc>
      </w:tr>
      <w:tr>
        <w:tc>
          <w:tcPr>
            <w:tcW w:type="dxa" w:w="4000"/>
            <w:shd w:fill="FFFFFF"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Token Name</w:t>
            </w:r>
          </w:p>
        </w:tc>
        <w:tc>
          <w:tcPr>
            <w:tcW w:type="dxa" w:w="5360"/>
            <w:shd w:fill="FFFFFF"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DVX Token</w:t>
            </w:r>
          </w:p>
        </w:tc>
      </w:tr>
      <w:tr>
        <w:tc>
          <w:tcPr>
            <w:tcW w:type="dxa" w:w="4000"/>
            <w:shd w:fill="F0F0F0"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Token Symbol</w:t>
            </w:r>
          </w:p>
        </w:tc>
        <w:tc>
          <w:tcPr>
            <w:tcW w:type="dxa" w:w="5360"/>
            <w:shd w:fill="F0F0F0"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DVX</w:t>
            </w:r>
          </w:p>
        </w:tc>
      </w:tr>
      <w:tr>
        <w:tc>
          <w:tcPr>
            <w:tcW w:type="dxa" w:w="4000"/>
            <w:shd w:fill="FFFFFF"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Blockchain</w:t>
            </w:r>
          </w:p>
        </w:tc>
        <w:tc>
          <w:tcPr>
            <w:tcW w:type="dxa" w:w="5360"/>
            <w:shd w:fill="FFFFFF"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BNB Smart Chain (BSC) — Chain ID: 56</w:t>
            </w:r>
          </w:p>
        </w:tc>
      </w:tr>
      <w:tr>
        <w:tc>
          <w:tcPr>
            <w:tcW w:type="dxa" w:w="4000"/>
            <w:shd w:fill="F0F0F0"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Token Standard</w:t>
            </w:r>
          </w:p>
        </w:tc>
        <w:tc>
          <w:tcPr>
            <w:tcW w:type="dxa" w:w="5360"/>
            <w:shd w:fill="F0F0F0"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BEP-20 / ERC-20 Compatible</w:t>
            </w:r>
          </w:p>
        </w:tc>
      </w:tr>
      <w:tr>
        <w:tc>
          <w:tcPr>
            <w:tcW w:type="dxa" w:w="4000"/>
            <w:shd w:fill="FFFFFF"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Total Supply</w:t>
            </w:r>
          </w:p>
        </w:tc>
        <w:tc>
          <w:tcPr>
            <w:tcW w:type="dxa" w:w="5360"/>
            <w:shd w:fill="FFFFFF"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100,000,000 DVX (100 Million — Permanently Fixed)</w:t>
            </w:r>
          </w:p>
        </w:tc>
      </w:tr>
      <w:tr>
        <w:tc>
          <w:tcPr>
            <w:tcW w:type="dxa" w:w="4000"/>
            <w:shd w:fill="F0F0F0"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Decimals</w:t>
            </w:r>
          </w:p>
        </w:tc>
        <w:tc>
          <w:tcPr>
            <w:tcW w:type="dxa" w:w="5360"/>
            <w:shd w:fill="F0F0F0"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18</w:t>
            </w:r>
          </w:p>
        </w:tc>
      </w:tr>
      <w:tr>
        <w:tc>
          <w:tcPr>
            <w:tcW w:type="dxa" w:w="4000"/>
            <w:shd w:fill="FFFFFF"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Minting Policy</w:t>
            </w:r>
          </w:p>
        </w:tc>
        <w:tc>
          <w:tcPr>
            <w:tcW w:type="dxa" w:w="5360"/>
            <w:shd w:fill="FFFFFF"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Permanently locked after initial deployment (mintingFinished = true)</w:t>
            </w:r>
          </w:p>
        </w:tc>
      </w:tr>
      <w:tr>
        <w:tc>
          <w:tcPr>
            <w:tcW w:type="dxa" w:w="4000"/>
            <w:shd w:fill="F0F0F0"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Solidity Version</w:t>
            </w:r>
          </w:p>
        </w:tc>
        <w:tc>
          <w:tcPr>
            <w:tcW w:type="dxa" w:w="5360"/>
            <w:shd w:fill="F0F0F0"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^0.8.20</w:t>
            </w:r>
          </w:p>
        </w:tc>
      </w:tr>
      <w:tr>
        <w:tc>
          <w:tcPr>
            <w:tcW w:type="dxa" w:w="4000"/>
            <w:shd w:fill="FFFFFF"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OpenZeppelin Version</w:t>
            </w:r>
          </w:p>
        </w:tc>
        <w:tc>
          <w:tcPr>
            <w:tcW w:type="dxa" w:w="5360"/>
            <w:shd w:fill="FFFFFF"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^5.0.0</w:t>
            </w:r>
          </w:p>
        </w:tc>
      </w:tr>
      <w:tr>
        <w:tc>
          <w:tcPr>
            <w:tcW w:type="dxa" w:w="4000"/>
            <w:shd w:fill="F0F0F0"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DEX Integration</w:t>
            </w:r>
          </w:p>
        </w:tc>
        <w:tc>
          <w:tcPr>
            <w:tcW w:type="dxa" w:w="5360"/>
            <w:shd w:fill="F0F0F0"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PancakeSwap V2 (BSC Mainnet)</w:t>
            </w:r>
          </w:p>
        </w:tc>
      </w:tr>
      <w:tr>
        <w:tc>
          <w:tcPr>
            <w:tcW w:type="dxa" w:w="4000"/>
            <w:shd w:fill="FFFFFF"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Oracle System</w:t>
            </w:r>
          </w:p>
        </w:tc>
        <w:tc>
          <w:tcPr>
            <w:tcW w:type="dxa" w:w="5360"/>
            <w:shd w:fill="FFFFFF"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Chainlink Any-API (DVX Oracle v4.0)</w:t>
            </w:r>
          </w:p>
        </w:tc>
      </w:tr>
      <w:tr>
        <w:tc>
          <w:tcPr>
            <w:tcW w:type="dxa" w:w="4000"/>
            <w:shd w:fill="F0F0F0"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Website</w:t>
            </w:r>
          </w:p>
        </w:tc>
        <w:tc>
          <w:tcPr>
            <w:tcW w:type="dxa" w:w="5360"/>
            <w:shd w:fill="F0F0F0"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www.dvx.org</w:t>
            </w:r>
          </w:p>
        </w:tc>
      </w:tr>
    </w:tbl>
    <w:p>
      <w:pPr>
        <w:spacing w:before="240"/>
      </w:pPr>
    </w:p>
    <w:p>
      <w:pPr>
        <w:pStyle w:val="Heading2"/>
        <w:spacing w:before="280" w:after="100"/>
      </w:pPr>
      <w:r>
        <w:rPr>
          <w:rFonts w:ascii="Calibri" w:cs="Calibri" w:eastAsia="Calibri" w:hAnsi="Calibri"/>
          <w:b/>
          <w:bCs/>
          <w:color w:val="1A3A5C"/>
          <w:sz w:val="24"/>
          <w:szCs w:val="24"/>
        </w:rPr>
        <w:t xml:space="preserve">3.2 Smart Contract Architecture</w:t>
      </w:r>
    </w:p>
    <w:p>
      <w:pPr>
        <w:spacing w:before="100" w:after="160" w:line="360"/>
        <w:jc w:val="both"/>
      </w:pPr>
      <w:r>
        <w:rPr>
          <w:rFonts w:ascii="Calibri" w:cs="Calibri" w:eastAsia="Calibri" w:hAnsi="Calibri"/>
          <w:b w:val="false"/>
          <w:bCs w:val="false"/>
          <w:i w:val="false"/>
          <w:iCs w:val="false"/>
          <w:color w:val="4A4A4A"/>
          <w:sz w:val="22"/>
          <w:szCs w:val="22"/>
        </w:rPr>
        <w:t xml:space="preserve">The DVX Token contract (v12.0) is built on OpenZeppelin v5.x — the industry standard for secure, audited smart contract components. The contract inherits from five OpenZeppelin modules, each providing a critical layer of functionality:</w:t>
      </w:r>
    </w:p>
    <w:p>
      <w:pPr>
        <w:spacing w:before="80" w:after="80" w:line="340"/>
        <w:ind w:left="720" w:hanging="360"/>
      </w:pPr>
      <w:r>
        <w:rPr>
          <w:rFonts w:ascii="Calibri" w:cs="Calibri" w:eastAsia="Calibri" w:hAnsi="Calibri"/>
          <w:b/>
          <w:bCs/>
          <w:color w:val="C9A84C"/>
          <w:sz w:val="22"/>
          <w:szCs w:val="22"/>
        </w:rPr>
        <w:t xml:space="preserve">▸  ERC20: </w:t>
      </w:r>
      <w:r>
        <w:rPr>
          <w:rFonts w:ascii="Calibri" w:cs="Calibri" w:eastAsia="Calibri" w:hAnsi="Calibri"/>
          <w:color w:val="4A4A4A"/>
          <w:sz w:val="22"/>
          <w:szCs w:val="22"/>
        </w:rPr>
        <w:t xml:space="preserve">Provides standard transfer, approval, balance tracking, and allowance mechanics compliant with the ERC-20 specification</w:t>
      </w:r>
    </w:p>
    <w:p>
      <w:pPr>
        <w:spacing w:before="80" w:after="80" w:line="340"/>
        <w:ind w:left="720" w:hanging="360"/>
      </w:pPr>
      <w:r>
        <w:rPr>
          <w:rFonts w:ascii="Calibri" w:cs="Calibri" w:eastAsia="Calibri" w:hAnsi="Calibri"/>
          <w:b/>
          <w:bCs/>
          <w:color w:val="C9A84C"/>
          <w:sz w:val="22"/>
          <w:szCs w:val="22"/>
        </w:rPr>
        <w:t xml:space="preserve">▸  ERC20Burnable: </w:t>
      </w:r>
      <w:r>
        <w:rPr>
          <w:rFonts w:ascii="Calibri" w:cs="Calibri" w:eastAsia="Calibri" w:hAnsi="Calibri"/>
          <w:color w:val="4A4A4A"/>
          <w:sz w:val="22"/>
          <w:szCs w:val="22"/>
        </w:rPr>
        <w:t xml:space="preserve">Enables token holders to permanently reduce supply by burning their tokens</w:t>
      </w:r>
    </w:p>
    <w:p>
      <w:pPr>
        <w:spacing w:before="80" w:after="80" w:line="340"/>
        <w:ind w:left="720" w:hanging="360"/>
      </w:pPr>
      <w:r>
        <w:rPr>
          <w:rFonts w:ascii="Calibri" w:cs="Calibri" w:eastAsia="Calibri" w:hAnsi="Calibri"/>
          <w:b/>
          <w:bCs/>
          <w:color w:val="C9A84C"/>
          <w:sz w:val="22"/>
          <w:szCs w:val="22"/>
        </w:rPr>
        <w:t xml:space="preserve">▸  ERC20Pausable: </w:t>
      </w:r>
      <w:r>
        <w:rPr>
          <w:rFonts w:ascii="Calibri" w:cs="Calibri" w:eastAsia="Calibri" w:hAnsi="Calibri"/>
          <w:color w:val="4A4A4A"/>
          <w:sz w:val="22"/>
          <w:szCs w:val="22"/>
        </w:rPr>
        <w:t xml:space="preserve">Allows emergency suspension of all token transfers via a pausable mechanism</w:t>
      </w:r>
    </w:p>
    <w:p>
      <w:pPr>
        <w:spacing w:before="80" w:after="80" w:line="340"/>
        <w:ind w:left="720" w:hanging="360"/>
      </w:pPr>
      <w:r>
        <w:rPr>
          <w:rFonts w:ascii="Calibri" w:cs="Calibri" w:eastAsia="Calibri" w:hAnsi="Calibri"/>
          <w:b/>
          <w:bCs/>
          <w:color w:val="C9A84C"/>
          <w:sz w:val="22"/>
          <w:szCs w:val="22"/>
        </w:rPr>
        <w:t xml:space="preserve">▸  Ownable: </w:t>
      </w:r>
      <w:r>
        <w:rPr>
          <w:rFonts w:ascii="Calibri" w:cs="Calibri" w:eastAsia="Calibri" w:hAnsi="Calibri"/>
          <w:color w:val="4A4A4A"/>
          <w:sz w:val="22"/>
          <w:szCs w:val="22"/>
        </w:rPr>
        <w:t xml:space="preserve">Provides single-owner administrative control with 2-step transfer protection</w:t>
      </w:r>
    </w:p>
    <w:p>
      <w:pPr>
        <w:spacing w:before="80" w:after="80" w:line="340"/>
        <w:ind w:left="720" w:hanging="360"/>
      </w:pPr>
      <w:r>
        <w:rPr>
          <w:rFonts w:ascii="Calibri" w:cs="Calibri" w:eastAsia="Calibri" w:hAnsi="Calibri"/>
          <w:b/>
          <w:bCs/>
          <w:color w:val="C9A84C"/>
          <w:sz w:val="22"/>
          <w:szCs w:val="22"/>
        </w:rPr>
        <w:t xml:space="preserve">▸  ReentrancyGuard: </w:t>
      </w:r>
      <w:r>
        <w:rPr>
          <w:rFonts w:ascii="Calibri" w:cs="Calibri" w:eastAsia="Calibri" w:hAnsi="Calibri"/>
          <w:color w:val="4A4A4A"/>
          <w:sz w:val="22"/>
          <w:szCs w:val="22"/>
        </w:rPr>
        <w:t xml:space="preserve">Prevents reentrancy attacks on all external state-changing functions</w:t>
      </w:r>
    </w:p>
    <w:p>
      <w:pPr>
        <w:pStyle w:val="Heading2"/>
        <w:spacing w:before="280" w:after="100"/>
      </w:pPr>
      <w:r>
        <w:rPr>
          <w:rFonts w:ascii="Calibri" w:cs="Calibri" w:eastAsia="Calibri" w:hAnsi="Calibri"/>
          <w:b/>
          <w:bCs/>
          <w:color w:val="1A3A5C"/>
          <w:sz w:val="24"/>
          <w:szCs w:val="24"/>
        </w:rPr>
        <w:t xml:space="preserve">3.3 The _update() Override — Core Transfer Engine</w:t>
      </w:r>
    </w:p>
    <w:p>
      <w:pPr>
        <w:spacing w:before="100" w:after="160" w:line="360"/>
        <w:jc w:val="both"/>
      </w:pPr>
      <w:r>
        <w:rPr>
          <w:rFonts w:ascii="Calibri" w:cs="Calibri" w:eastAsia="Calibri" w:hAnsi="Calibri"/>
          <w:b w:val="false"/>
          <w:bCs w:val="false"/>
          <w:i w:val="false"/>
          <w:iCs w:val="false"/>
          <w:color w:val="4A4A4A"/>
          <w:sz w:val="22"/>
          <w:szCs w:val="22"/>
        </w:rPr>
        <w:t xml:space="preserve">DVX uses a single, unified _update() override as its transfer control point — the correct OpenZeppelin v5 architecture. Every token movement (transfers, swaps, staking deposits, reward claims) passes through this single function. This ensures that no transfer path can bypass security checks. The _update() function enforces, in sequential order:</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Blacklist verification for both sender and recipient</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Trading gate — prevents transfers before owner enables trading</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3-year linear vesting enforcement for team token transfers</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Owner dump protection: 5% sell cap + 24-hour cooldown</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90% balance rule: no wallet can transfer more than 90% of its balance per transaction</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Anti-whale limits: max transaction size and max wallet holding</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Launch phase flat-tax (2%) during first 30 minutes of trading</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Automatic fee-to-BNB swap trigger when accumulated fees reach threshold</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Dynamic fee calculation based on oracle market classification</w:t>
      </w:r>
    </w:p>
    <w:p>
      <w:r>
        <w:br w:type="page"/>
      </w:r>
    </w:p>
    <w:p>
      <w:pPr>
        <w:pStyle w:val="Heading1"/>
        <w:spacing w:before="480" w:after="160"/>
      </w:pPr>
      <w:r>
        <w:rPr>
          <w:rFonts w:ascii="Calibri" w:cs="Calibri" w:eastAsia="Calibri" w:hAnsi="Calibri"/>
          <w:b/>
          <w:bCs/>
          <w:color w:val="0D1B2A"/>
          <w:sz w:val="30"/>
          <w:szCs w:val="30"/>
        </w:rPr>
        <w:t xml:space="preserve">4. TOKEN DISTRIBUTION &amp; VESTING</w:t>
      </w:r>
    </w:p>
    <w:p>
      <w:pPr>
        <w:pBdr>
          <w:bottom w:val="single" w:color="C9A84C" w:sz="6" w:space="1"/>
        </w:pBdr>
        <w:spacing w:before="200" w:after="200"/>
      </w:pPr>
    </w:p>
    <w:p>
      <w:pPr>
        <w:pStyle w:val="Heading2"/>
        <w:spacing w:before="280" w:after="100"/>
      </w:pPr>
      <w:r>
        <w:rPr>
          <w:rFonts w:ascii="Calibri" w:cs="Calibri" w:eastAsia="Calibri" w:hAnsi="Calibri"/>
          <w:b/>
          <w:bCs/>
          <w:color w:val="1A3A5C"/>
          <w:sz w:val="24"/>
          <w:szCs w:val="24"/>
        </w:rPr>
        <w:t xml:space="preserve">4.1 Supply Allocation</w:t>
      </w:r>
    </w:p>
    <w:p>
      <w:pPr>
        <w:spacing w:before="100" w:after="160" w:line="360"/>
        <w:jc w:val="both"/>
      </w:pPr>
      <w:r>
        <w:rPr>
          <w:rFonts w:ascii="Calibri" w:cs="Calibri" w:eastAsia="Calibri" w:hAnsi="Calibri"/>
          <w:b w:val="false"/>
          <w:bCs w:val="false"/>
          <w:i w:val="false"/>
          <w:iCs w:val="false"/>
          <w:color w:val="4A4A4A"/>
          <w:sz w:val="22"/>
          <w:szCs w:val="22"/>
        </w:rPr>
        <w:t xml:space="preserve">The 100,000,000 DVX total supply is distributed at deployment into four categories, all minted simultaneously in the constructor. After minting, the mintingFinished flag is permanently set to true — making new token creation cryptographically impossible regardless of any future action.</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4000"/>
        <w:gridCol w:w="5360"/>
      </w:tblGrid>
      <w:tr>
        <w:tc>
          <w:tcPr>
            <w:tcW w:type="dxa" w:w="4000"/>
            <w:shd w:fill="0D1B2A" w:val="clear"/>
            <w:tcMar>
              <w:top w:type="dxa" w:w="100"/>
              <w:left w:type="dxa" w:w="200"/>
              <w:bottom w:type="dxa" w:w="100"/>
              <w:right w:type="dxa" w:w="200"/>
            </w:tcMar>
          </w:tcPr>
          <w:p>
            <w:r>
              <w:rPr>
                <w:rFonts w:ascii="Calibri" w:cs="Calibri" w:eastAsia="Calibri" w:hAnsi="Calibri"/>
                <w:b/>
                <w:bCs/>
                <w:color w:val="FFFFFF"/>
                <w:sz w:val="21"/>
                <w:szCs w:val="21"/>
              </w:rPr>
              <w:t xml:space="preserve">Allocation</w:t>
            </w:r>
          </w:p>
        </w:tc>
        <w:tc>
          <w:tcPr>
            <w:tcW w:type="dxa" w:w="5360"/>
            <w:shd w:fill="1A3A5C" w:val="clear"/>
            <w:tcMar>
              <w:top w:type="dxa" w:w="100"/>
              <w:left w:type="dxa" w:w="200"/>
              <w:bottom w:type="dxa" w:w="100"/>
              <w:right w:type="dxa" w:w="200"/>
            </w:tcMar>
          </w:tcPr>
          <w:p>
            <w:r>
              <w:rPr>
                <w:rFonts w:ascii="Calibri" w:cs="Calibri" w:eastAsia="Calibri" w:hAnsi="Calibri"/>
                <w:b/>
                <w:bCs/>
                <w:color w:val="FFFFFF"/>
                <w:sz w:val="21"/>
                <w:szCs w:val="21"/>
              </w:rPr>
              <w:t xml:space="preserve">Tokens</w:t>
            </w:r>
          </w:p>
        </w:tc>
      </w:tr>
      <w:tr>
        <w:tc>
          <w:tcPr>
            <w:tcW w:type="dxa" w:w="4000"/>
            <w:shd w:fill="FFFFFF"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Team / Owner</w:t>
            </w:r>
          </w:p>
        </w:tc>
        <w:tc>
          <w:tcPr>
            <w:tcW w:type="dxa" w:w="5360"/>
            <w:shd w:fill="FFFFFF"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10,000,000 DVX</w:t>
            </w:r>
          </w:p>
        </w:tc>
      </w:tr>
      <w:tr>
        <w:tc>
          <w:tcPr>
            <w:tcW w:type="dxa" w:w="4000"/>
            <w:shd w:fill="F0F0F0"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Community</w:t>
            </w:r>
          </w:p>
        </w:tc>
        <w:tc>
          <w:tcPr>
            <w:tcW w:type="dxa" w:w="5360"/>
            <w:shd w:fill="F0F0F0"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75,000,000 DVX</w:t>
            </w:r>
          </w:p>
        </w:tc>
      </w:tr>
      <w:tr>
        <w:tc>
          <w:tcPr>
            <w:tcW w:type="dxa" w:w="4000"/>
            <w:shd w:fill="FFFFFF"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Staking Pool</w:t>
            </w:r>
          </w:p>
        </w:tc>
        <w:tc>
          <w:tcPr>
            <w:tcW w:type="dxa" w:w="5360"/>
            <w:shd w:fill="FFFFFF"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10,000,000 DVX</w:t>
            </w:r>
          </w:p>
        </w:tc>
      </w:tr>
      <w:tr>
        <w:tc>
          <w:tcPr>
            <w:tcW w:type="dxa" w:w="4000"/>
            <w:shd w:fill="F0F0F0"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Reserve / Treasury</w:t>
            </w:r>
          </w:p>
        </w:tc>
        <w:tc>
          <w:tcPr>
            <w:tcW w:type="dxa" w:w="5360"/>
            <w:shd w:fill="F0F0F0"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5,000,000 DVX</w:t>
            </w:r>
          </w:p>
        </w:tc>
      </w:tr>
    </w:tbl>
    <w:p>
      <w:pPr>
        <w:spacing w:before="200"/>
      </w:pPr>
    </w:p>
    <w:p>
      <w:pPr>
        <w:pStyle w:val="Heading2"/>
        <w:spacing w:before="280" w:after="100"/>
      </w:pPr>
      <w:r>
        <w:rPr>
          <w:rFonts w:ascii="Calibri" w:cs="Calibri" w:eastAsia="Calibri" w:hAnsi="Calibri"/>
          <w:b/>
          <w:bCs/>
          <w:color w:val="1A3A5C"/>
          <w:sz w:val="24"/>
          <w:szCs w:val="24"/>
        </w:rPr>
        <w:t xml:space="preserve">4.2 Team Token Vesting — 3-Year Linear Schedule</w:t>
      </w:r>
    </w:p>
    <w:p>
      <w:pPr>
        <w:spacing w:before="100" w:after="160" w:line="360"/>
        <w:jc w:val="both"/>
      </w:pPr>
      <w:r>
        <w:rPr>
          <w:rFonts w:ascii="Calibri" w:cs="Calibri" w:eastAsia="Calibri" w:hAnsi="Calibri"/>
          <w:b w:val="false"/>
          <w:bCs w:val="false"/>
          <w:i w:val="false"/>
          <w:iCs w:val="false"/>
          <w:color w:val="4A4A4A"/>
          <w:sz w:val="22"/>
          <w:szCs w:val="22"/>
        </w:rPr>
        <w:t xml:space="preserve">The 10,000,000 DVX team allocation is subject to strict on-chain vesting enforced at the smart contract level. This vesting is not merely a promise — it is enforced by the _update() function on every outgoing transfer from the owner's wallet. The vesting schedule is as follows:</w:t>
      </w:r>
    </w:p>
    <w:p>
      <w:pPr>
        <w:spacing w:before="80" w:after="80" w:line="340"/>
        <w:ind w:left="720" w:hanging="360"/>
      </w:pPr>
      <w:r>
        <w:rPr>
          <w:rFonts w:ascii="Calibri" w:cs="Calibri" w:eastAsia="Calibri" w:hAnsi="Calibri"/>
          <w:b/>
          <w:bCs/>
          <w:color w:val="C9A84C"/>
          <w:sz w:val="22"/>
          <w:szCs w:val="22"/>
        </w:rPr>
        <w:t xml:space="preserve">▸  Day 0–30 (Cliff): </w:t>
      </w:r>
      <w:r>
        <w:rPr>
          <w:rFonts w:ascii="Calibri" w:cs="Calibri" w:eastAsia="Calibri" w:hAnsi="Calibri"/>
          <w:color w:val="4A4A4A"/>
          <w:sz w:val="22"/>
          <w:szCs w:val="22"/>
        </w:rPr>
        <w:t xml:space="preserve">No team tokens can be transferred from the owner wallet for the first 30 days after deployment</w:t>
      </w:r>
    </w:p>
    <w:p>
      <w:pPr>
        <w:spacing w:before="80" w:after="80" w:line="340"/>
        <w:ind w:left="720" w:hanging="360"/>
      </w:pPr>
      <w:r>
        <w:rPr>
          <w:rFonts w:ascii="Calibri" w:cs="Calibri" w:eastAsia="Calibri" w:hAnsi="Calibri"/>
          <w:b/>
          <w:bCs/>
          <w:color w:val="C9A84C"/>
          <w:sz w:val="22"/>
          <w:szCs w:val="22"/>
        </w:rPr>
        <w:t xml:space="preserve">▸  Day 31–1095 (Linear): </w:t>
      </w:r>
      <w:r>
        <w:rPr>
          <w:rFonts w:ascii="Calibri" w:cs="Calibri" w:eastAsia="Calibri" w:hAnsi="Calibri"/>
          <w:color w:val="4A4A4A"/>
          <w:sz w:val="22"/>
          <w:szCs w:val="22"/>
        </w:rPr>
        <w:t xml:space="preserve">Beginning at Day 31, team tokens unlock linearly: approximately 9,132 DVX per day</w:t>
      </w:r>
    </w:p>
    <w:p>
      <w:pPr>
        <w:spacing w:before="80" w:after="80" w:line="340"/>
        <w:ind w:left="720" w:hanging="360"/>
      </w:pPr>
      <w:r>
        <w:rPr>
          <w:rFonts w:ascii="Calibri" w:cs="Calibri" w:eastAsia="Calibri" w:hAnsi="Calibri"/>
          <w:b/>
          <w:bCs/>
          <w:color w:val="C9A84C"/>
          <w:sz w:val="22"/>
          <w:szCs w:val="22"/>
        </w:rPr>
        <w:t xml:space="preserve">▸  Day 1095 (Full Vest): </w:t>
      </w:r>
      <w:r>
        <w:rPr>
          <w:rFonts w:ascii="Calibri" w:cs="Calibri" w:eastAsia="Calibri" w:hAnsi="Calibri"/>
          <w:color w:val="4A4A4A"/>
          <w:sz w:val="22"/>
          <w:szCs w:val="22"/>
        </w:rPr>
        <w:t xml:space="preserve">By the end of 3 years (1,095 days), 100% of team tokens are fully vested and transferable</w:t>
      </w:r>
    </w:p>
    <w:p>
      <w:pPr>
        <w:spacing w:before="100" w:after="160" w:line="360"/>
        <w:jc w:val="both"/>
      </w:pPr>
      <w:r>
        <w:rPr>
          <w:rFonts w:ascii="Calibri" w:cs="Calibri" w:eastAsia="Calibri" w:hAnsi="Calibri"/>
          <w:b w:val="false"/>
          <w:bCs w:val="false"/>
          <w:i w:val="false"/>
          <w:iCs w:val="false"/>
          <w:color w:val="4A4A4A"/>
          <w:sz w:val="22"/>
          <w:szCs w:val="22"/>
        </w:rPr>
        <w:t xml:space="preserve">This schedule is calculated by the vestedAmount() function using the formula: Vested = TEAM_TOKENS × elapsed_seconds / 94,608,000 (3 years in seconds). The contract tracks vestingClaimed to prevent double-claiming. Any attempt to transfer more than the currently vested amount will revert with a DVX_VestingExceeded error, regardless of owner privileges.</w:t>
      </w:r>
    </w:p>
    <w:p>
      <w:pPr>
        <w:pStyle w:val="Heading2"/>
        <w:spacing w:before="280" w:after="100"/>
      </w:pPr>
      <w:r>
        <w:rPr>
          <w:rFonts w:ascii="Calibri" w:cs="Calibri" w:eastAsia="Calibri" w:hAnsi="Calibri"/>
          <w:b/>
          <w:bCs/>
          <w:color w:val="1A3A5C"/>
          <w:sz w:val="24"/>
          <w:szCs w:val="24"/>
        </w:rPr>
        <w:t xml:space="preserve">4.3 Staking Pool Integrity</w:t>
      </w:r>
    </w:p>
    <w:p>
      <w:pPr>
        <w:spacing w:before="100" w:after="160" w:line="360"/>
        <w:jc w:val="both"/>
      </w:pPr>
      <w:r>
        <w:rPr>
          <w:rFonts w:ascii="Calibri" w:cs="Calibri" w:eastAsia="Calibri" w:hAnsi="Calibri"/>
          <w:b w:val="false"/>
          <w:bCs w:val="false"/>
          <w:i w:val="false"/>
          <w:iCs w:val="false"/>
          <w:color w:val="4A4A4A"/>
          <w:sz w:val="22"/>
          <w:szCs w:val="22"/>
        </w:rPr>
        <w:t xml:space="preserve">The 10,000,000 DVX staking pool is held inside the smart contract (address(this)). The contract maintains a totalStaked counter that tracks all user deposits. Staking rewards can only be paid from the available balance (poolBalance − totalStaked), ensuring that staked principal is never touched. This staking pool guard is enforced in every reward payment and unstaking operation.</w:t>
      </w:r>
    </w:p>
    <w:p>
      <w:r>
        <w:br w:type="page"/>
      </w:r>
    </w:p>
    <w:p>
      <w:pPr>
        <w:pStyle w:val="Heading1"/>
        <w:spacing w:before="480" w:after="160"/>
      </w:pPr>
      <w:r>
        <w:rPr>
          <w:rFonts w:ascii="Calibri" w:cs="Calibri" w:eastAsia="Calibri" w:hAnsi="Calibri"/>
          <w:b/>
          <w:bCs/>
          <w:color w:val="0D1B2A"/>
          <w:sz w:val="30"/>
          <w:szCs w:val="30"/>
        </w:rPr>
        <w:t xml:space="preserve">5. DVX ORACLE SYSTEM — CHAINLINK INTEGRATION</w:t>
      </w:r>
    </w:p>
    <w:p>
      <w:pPr>
        <w:pBdr>
          <w:bottom w:val="single" w:color="C9A84C" w:sz="6" w:space="1"/>
        </w:pBdr>
        <w:spacing w:before="200" w:after="200"/>
      </w:pPr>
    </w:p>
    <w:p>
      <w:pPr>
        <w:pStyle w:val="Heading2"/>
        <w:spacing w:before="280" w:after="100"/>
      </w:pPr>
      <w:r>
        <w:rPr>
          <w:rFonts w:ascii="Calibri" w:cs="Calibri" w:eastAsia="Calibri" w:hAnsi="Calibri"/>
          <w:b/>
          <w:bCs/>
          <w:color w:val="1A3A5C"/>
          <w:sz w:val="24"/>
          <w:szCs w:val="24"/>
        </w:rPr>
        <w:t xml:space="preserve">5.1 Overview</w:t>
      </w:r>
    </w:p>
    <w:p>
      <w:pPr>
        <w:spacing w:before="100" w:after="160" w:line="360"/>
        <w:jc w:val="both"/>
      </w:pPr>
      <w:r>
        <w:rPr>
          <w:rFonts w:ascii="Calibri" w:cs="Calibri" w:eastAsia="Calibri" w:hAnsi="Calibri"/>
          <w:b w:val="false"/>
          <w:bCs w:val="false"/>
          <w:i w:val="false"/>
          <w:iCs w:val="false"/>
          <w:color w:val="4A4A4A"/>
          <w:sz w:val="22"/>
          <w:szCs w:val="22"/>
        </w:rPr>
        <w:t xml:space="preserve">The DVX Oracle (v4.0) is a dedicated smart contract that fetches real-world Global Export-Import Index data using Chainlink's Any-API service. This oracle is the most technically sophisticated component of the DVX ecosystem and represents a breakthrough in real-world data integration for DeFi tokenomics.</w:t>
      </w:r>
    </w:p>
    <w:p>
      <w:pPr>
        <w:pBdr>
          <w:left w:val="thick" w:color="1A3A5C" w:sz="12" w:space="8"/>
        </w:pBdr>
        <w:shd w:fill="EAF2FF" w:val="clear"/>
        <w:spacing w:before="160" w:after="160" w:line="340"/>
        <w:ind w:left="400" w:right="400"/>
      </w:pPr>
      <w:r>
        <w:rPr>
          <w:rFonts w:ascii="Calibri" w:cs="Calibri" w:eastAsia="Calibri" w:hAnsi="Calibri"/>
          <w:i/>
          <w:iCs/>
          <w:color w:val="1A3A5C"/>
          <w:sz w:val="21"/>
          <w:szCs w:val="21"/>
        </w:rPr>
        <w:t xml:space="preserve">The Global Export-Import Index measures the total volume and value of goods traded internationally, aggregated from World Bank and UN Comtrade databases. A rising index indicates global economic expansion (Bull market); a falling index indicates contraction (Bear market). DVX uses this signal to automatically adjust its fee structure.</w:t>
      </w:r>
    </w:p>
    <w:p>
      <w:pPr>
        <w:pStyle w:val="Heading2"/>
        <w:spacing w:before="280" w:after="100"/>
      </w:pPr>
      <w:r>
        <w:rPr>
          <w:rFonts w:ascii="Calibri" w:cs="Calibri" w:eastAsia="Calibri" w:hAnsi="Calibri"/>
          <w:b/>
          <w:bCs/>
          <w:color w:val="1A3A5C"/>
          <w:sz w:val="24"/>
          <w:szCs w:val="24"/>
        </w:rPr>
        <w:t xml:space="preserve">5.2 Three-Source Data Reliability Architecture</w:t>
      </w:r>
    </w:p>
    <w:p>
      <w:pPr>
        <w:spacing w:before="100" w:after="160" w:line="360"/>
        <w:jc w:val="both"/>
      </w:pPr>
      <w:r>
        <w:rPr>
          <w:rFonts w:ascii="Calibri" w:cs="Calibri" w:eastAsia="Calibri" w:hAnsi="Calibri"/>
          <w:b w:val="false"/>
          <w:bCs w:val="false"/>
          <w:i w:val="false"/>
          <w:iCs w:val="false"/>
          <w:color w:val="4A4A4A"/>
          <w:sz w:val="22"/>
          <w:szCs w:val="22"/>
        </w:rPr>
        <w:t xml:space="preserve">The DVX Oracle uses a cascading three-source system to ensure continuous data availability:</w:t>
      </w:r>
    </w:p>
    <w:p>
      <w:pPr>
        <w:spacing w:before="80" w:after="80" w:line="340"/>
        <w:ind w:left="720" w:hanging="360"/>
      </w:pPr>
      <w:r>
        <w:rPr>
          <w:rFonts w:ascii="Calibri" w:cs="Calibri" w:eastAsia="Calibri" w:hAnsi="Calibri"/>
          <w:b/>
          <w:bCs/>
          <w:color w:val="C9A84C"/>
          <w:sz w:val="22"/>
          <w:szCs w:val="22"/>
        </w:rPr>
        <w:t xml:space="preserve">▸  Primary Source: </w:t>
      </w:r>
      <w:r>
        <w:rPr>
          <w:rFonts w:ascii="Calibri" w:cs="Calibri" w:eastAsia="Calibri" w:hAnsi="Calibri"/>
          <w:color w:val="4A4A4A"/>
          <w:sz w:val="22"/>
          <w:szCs w:val="22"/>
        </w:rPr>
        <w:t xml:space="preserve">World Bank API (TX.VAL.MRCH.XD.WD indicator) — primary source, lowest failure risk</w:t>
      </w:r>
    </w:p>
    <w:p>
      <w:pPr>
        <w:spacing w:before="80" w:after="80" w:line="340"/>
        <w:ind w:left="720" w:hanging="360"/>
      </w:pPr>
      <w:r>
        <w:rPr>
          <w:rFonts w:ascii="Calibri" w:cs="Calibri" w:eastAsia="Calibri" w:hAnsi="Calibri"/>
          <w:b/>
          <w:bCs/>
          <w:color w:val="C9A84C"/>
          <w:sz w:val="22"/>
          <w:szCs w:val="22"/>
        </w:rPr>
        <w:t xml:space="preserve">▸  Secondary Source: </w:t>
      </w:r>
      <w:r>
        <w:rPr>
          <w:rFonts w:ascii="Calibri" w:cs="Calibri" w:eastAsia="Calibri" w:hAnsi="Calibri"/>
          <w:color w:val="4A4A4A"/>
          <w:sz w:val="22"/>
          <w:szCs w:val="22"/>
        </w:rPr>
        <w:t xml:space="preserve">UN Comtrade API — activated after 3 consecutive primary failures</w:t>
      </w:r>
    </w:p>
    <w:p>
      <w:pPr>
        <w:spacing w:before="80" w:after="80" w:line="340"/>
        <w:ind w:left="720" w:hanging="360"/>
      </w:pPr>
      <w:r>
        <w:rPr>
          <w:rFonts w:ascii="Calibri" w:cs="Calibri" w:eastAsia="Calibri" w:hAnsi="Calibri"/>
          <w:b/>
          <w:bCs/>
          <w:color w:val="C9A84C"/>
          <w:sz w:val="22"/>
          <w:szCs w:val="22"/>
        </w:rPr>
        <w:t xml:space="preserve">▸  Emergency Source: </w:t>
      </w:r>
      <w:r>
        <w:rPr>
          <w:rFonts w:ascii="Calibri" w:cs="Calibri" w:eastAsia="Calibri" w:hAnsi="Calibri"/>
          <w:color w:val="4A4A4A"/>
          <w:sz w:val="22"/>
          <w:szCs w:val="22"/>
        </w:rPr>
        <w:t xml:space="preserve">Operator-configured emergency URL — activated after 7 consecutive failures</w:t>
      </w:r>
    </w:p>
    <w:p>
      <w:pPr>
        <w:spacing w:before="100" w:after="160" w:line="360"/>
        <w:jc w:val="both"/>
      </w:pPr>
      <w:r>
        <w:rPr>
          <w:rFonts w:ascii="Calibri" w:cs="Calibri" w:eastAsia="Calibri" w:hAnsi="Calibri"/>
          <w:b w:val="false"/>
          <w:bCs w:val="false"/>
          <w:i w:val="false"/>
          <w:iCs w:val="false"/>
          <w:color w:val="4A4A4A"/>
          <w:sz w:val="22"/>
          <w:szCs w:val="22"/>
        </w:rPr>
        <w:t xml:space="preserve">After 10 consecutive failures, the oracle automatically pauses to prevent fee manipulation through stale data. A Guardian address can activate Emergency Static Mode, setting a fixed index value that keeps the token operating normally without requiring a developer.</w:t>
      </w:r>
    </w:p>
    <w:p>
      <w:pPr>
        <w:pStyle w:val="Heading2"/>
        <w:spacing w:before="280" w:after="100"/>
      </w:pPr>
      <w:r>
        <w:rPr>
          <w:rFonts w:ascii="Calibri" w:cs="Calibri" w:eastAsia="Calibri" w:hAnsi="Calibri"/>
          <w:b/>
          <w:bCs/>
          <w:color w:val="1A3A5C"/>
          <w:sz w:val="24"/>
          <w:szCs w:val="24"/>
        </w:rPr>
        <w:t xml:space="preserve">5.3 Chainlink Request Flow</w:t>
      </w:r>
    </w:p>
    <w:p>
      <w:pPr>
        <w:spacing w:before="100" w:after="160" w:line="360"/>
        <w:jc w:val="both"/>
      </w:pPr>
      <w:r>
        <w:rPr>
          <w:rFonts w:ascii="Calibri" w:cs="Calibri" w:eastAsia="Calibri" w:hAnsi="Calibri"/>
          <w:b w:val="false"/>
          <w:bCs w:val="false"/>
          <w:i w:val="false"/>
          <w:iCs w:val="false"/>
          <w:color w:val="4A4A4A"/>
          <w:sz w:val="22"/>
          <w:szCs w:val="22"/>
        </w:rPr>
        <w:t xml:space="preserve">Each oracle data fetch follows this precise sequence:</w:t>
      </w:r>
    </w:p>
    <w:p>
      <w:pPr>
        <w:spacing w:before="80" w:after="80" w:line="340"/>
        <w:ind w:left="720" w:hanging="360"/>
      </w:pPr>
      <w:r>
        <w:rPr>
          <w:rFonts w:ascii="Calibri" w:cs="Calibri" w:eastAsia="Calibri" w:hAnsi="Calibri"/>
          <w:b/>
          <w:bCs/>
          <w:color w:val="C9A84C"/>
          <w:sz w:val="22"/>
          <w:szCs w:val="22"/>
        </w:rPr>
        <w:t xml:space="preserve">▸  Step 1 — Pre-checks: </w:t>
      </w:r>
      <w:r>
        <w:rPr>
          <w:rFonts w:ascii="Calibri" w:cs="Calibri" w:eastAsia="Calibri" w:hAnsi="Calibri"/>
          <w:color w:val="4A4A4A"/>
          <w:sz w:val="22"/>
          <w:szCs w:val="22"/>
        </w:rPr>
        <w:t xml:space="preserve">Contract checks: interval elapsed? pending request? LINK balance sufficient?</w:t>
      </w:r>
    </w:p>
    <w:p>
      <w:pPr>
        <w:spacing w:before="80" w:after="80" w:line="340"/>
        <w:ind w:left="720" w:hanging="360"/>
      </w:pPr>
      <w:r>
        <w:rPr>
          <w:rFonts w:ascii="Calibri" w:cs="Calibri" w:eastAsia="Calibri" w:hAnsi="Calibri"/>
          <w:b/>
          <w:bCs/>
          <w:color w:val="C9A84C"/>
          <w:sz w:val="22"/>
          <w:szCs w:val="22"/>
        </w:rPr>
        <w:t xml:space="preserve">▸  Step 2 — Request Build: </w:t>
      </w:r>
      <w:r>
        <w:rPr>
          <w:rFonts w:ascii="Calibri" w:cs="Calibri" w:eastAsia="Calibri" w:hAnsi="Calibri"/>
          <w:color w:val="4A4A4A"/>
          <w:sz w:val="22"/>
          <w:szCs w:val="22"/>
        </w:rPr>
        <w:t xml:space="preserve">CBOR-encoded request built (RFC 7049 compliant) — Chainlink nodes require this exact format</w:t>
      </w:r>
    </w:p>
    <w:p>
      <w:pPr>
        <w:spacing w:before="80" w:after="80" w:line="340"/>
        <w:ind w:left="720" w:hanging="360"/>
      </w:pPr>
      <w:r>
        <w:rPr>
          <w:rFonts w:ascii="Calibri" w:cs="Calibri" w:eastAsia="Calibri" w:hAnsi="Calibri"/>
          <w:b/>
          <w:bCs/>
          <w:color w:val="C9A84C"/>
          <w:sz w:val="22"/>
          <w:szCs w:val="22"/>
        </w:rPr>
        <w:t xml:space="preserve">▸  Step 3 — Dispatch: </w:t>
      </w:r>
      <w:r>
        <w:rPr>
          <w:rFonts w:ascii="Calibri" w:cs="Calibri" w:eastAsia="Calibri" w:hAnsi="Calibri"/>
          <w:color w:val="4A4A4A"/>
          <w:sz w:val="22"/>
          <w:szCs w:val="22"/>
        </w:rPr>
        <w:t xml:space="preserve">Request sent via LINK transferAndCall() to Chainlink Operator contract</w:t>
      </w:r>
    </w:p>
    <w:p>
      <w:pPr>
        <w:spacing w:before="80" w:after="80" w:line="340"/>
        <w:ind w:left="720" w:hanging="360"/>
      </w:pPr>
      <w:r>
        <w:rPr>
          <w:rFonts w:ascii="Calibri" w:cs="Calibri" w:eastAsia="Calibri" w:hAnsi="Calibri"/>
          <w:b/>
          <w:bCs/>
          <w:color w:val="C9A84C"/>
          <w:sz w:val="22"/>
          <w:szCs w:val="22"/>
        </w:rPr>
        <w:t xml:space="preserve">▸  Step 4 — Execution: </w:t>
      </w:r>
      <w:r>
        <w:rPr>
          <w:rFonts w:ascii="Calibri" w:cs="Calibri" w:eastAsia="Calibri" w:hAnsi="Calibri"/>
          <w:color w:val="4A4A4A"/>
          <w:sz w:val="22"/>
          <w:szCs w:val="22"/>
        </w:rPr>
        <w:t xml:space="preserve">Chainlink node executes HTTP GET to API URL, parses JSON response, returns integer value</w:t>
      </w:r>
    </w:p>
    <w:p>
      <w:pPr>
        <w:spacing w:before="80" w:after="80" w:line="340"/>
        <w:ind w:left="720" w:hanging="360"/>
      </w:pPr>
      <w:r>
        <w:rPr>
          <w:rFonts w:ascii="Calibri" w:cs="Calibri" w:eastAsia="Calibri" w:hAnsi="Calibri"/>
          <w:b/>
          <w:bCs/>
          <w:color w:val="C9A84C"/>
          <w:sz w:val="22"/>
          <w:szCs w:val="22"/>
        </w:rPr>
        <w:t xml:space="preserve">▸  Step 5 — Fulfillment: </w:t>
      </w:r>
      <w:r>
        <w:rPr>
          <w:rFonts w:ascii="Calibri" w:cs="Calibri" w:eastAsia="Calibri" w:hAnsi="Calibri"/>
          <w:color w:val="4A4A4A"/>
          <w:sz w:val="22"/>
          <w:szCs w:val="22"/>
        </w:rPr>
        <w:t xml:space="preserve">fulfill() called — request ID verified, data validated, 5-point moving average updated</w:t>
      </w:r>
    </w:p>
    <w:p>
      <w:pPr>
        <w:spacing w:before="80" w:after="80" w:line="340"/>
        <w:ind w:left="720" w:hanging="360"/>
      </w:pPr>
      <w:r>
        <w:rPr>
          <w:rFonts w:ascii="Calibri" w:cs="Calibri" w:eastAsia="Calibri" w:hAnsi="Calibri"/>
          <w:b/>
          <w:bCs/>
          <w:color w:val="C9A84C"/>
          <w:sz w:val="22"/>
          <w:szCs w:val="22"/>
        </w:rPr>
        <w:t xml:space="preserve">▸  Step 6 — Push: </w:t>
      </w:r>
      <w:r>
        <w:rPr>
          <w:rFonts w:ascii="Calibri" w:cs="Calibri" w:eastAsia="Calibri" w:hAnsi="Calibri"/>
          <w:color w:val="4A4A4A"/>
          <w:sz w:val="22"/>
          <w:szCs w:val="22"/>
        </w:rPr>
        <w:t xml:space="preserve">DVX Token's onOracleUpdate() called — market classification updated, fees adjusted</w:t>
      </w:r>
    </w:p>
    <w:p>
      <w:pPr>
        <w:pStyle w:val="Heading2"/>
        <w:spacing w:before="280" w:after="100"/>
      </w:pPr>
      <w:r>
        <w:rPr>
          <w:rFonts w:ascii="Calibri" w:cs="Calibri" w:eastAsia="Calibri" w:hAnsi="Calibri"/>
          <w:b/>
          <w:bCs/>
          <w:color w:val="1A3A5C"/>
          <w:sz w:val="24"/>
          <w:szCs w:val="24"/>
        </w:rPr>
        <w:t xml:space="preserve">5.4 5-Point Moving Average — Smoothing Engine</w:t>
      </w:r>
    </w:p>
    <w:p>
      <w:pPr>
        <w:spacing w:before="100" w:after="160" w:line="360"/>
        <w:jc w:val="both"/>
      </w:pPr>
      <w:r>
        <w:rPr>
          <w:rFonts w:ascii="Calibri" w:cs="Calibri" w:eastAsia="Calibri" w:hAnsi="Calibri"/>
          <w:b w:val="false"/>
          <w:bCs w:val="false"/>
          <w:i w:val="false"/>
          <w:iCs w:val="false"/>
          <w:color w:val="4A4A4A"/>
          <w:sz w:val="22"/>
          <w:szCs w:val="22"/>
        </w:rPr>
        <w:t xml:space="preserve">Raw API data can contain outliers (API errors, temporary economic shocks). DVX addresses this with a 5-point circular buffer moving average. The globalExportIndex stored by the oracle is the raw latest reading, but the getSmoothedIndex() function returns the average of the last 5 readings. Fee adjustments use the smoothed index, preventing single-spike fee shocks that could disadvantage traders.</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4000"/>
        <w:gridCol w:w="5360"/>
      </w:tblGrid>
      <w:tr>
        <w:tc>
          <w:tcPr>
            <w:tcW w:type="dxa" w:w="4000"/>
            <w:shd w:fill="0D1B2A" w:val="clear"/>
            <w:tcMar>
              <w:top w:type="dxa" w:w="100"/>
              <w:left w:type="dxa" w:w="200"/>
              <w:bottom w:type="dxa" w:w="100"/>
              <w:right w:type="dxa" w:w="200"/>
            </w:tcMar>
          </w:tcPr>
          <w:p>
            <w:r>
              <w:rPr>
                <w:rFonts w:ascii="Calibri" w:cs="Calibri" w:eastAsia="Calibri" w:hAnsi="Calibri"/>
                <w:b/>
                <w:bCs/>
                <w:color w:val="FFFFFF"/>
                <w:sz w:val="21"/>
                <w:szCs w:val="21"/>
              </w:rPr>
              <w:t xml:space="preserve">Oracle Parameter</w:t>
            </w:r>
          </w:p>
        </w:tc>
        <w:tc>
          <w:tcPr>
            <w:tcW w:type="dxa" w:w="5360"/>
            <w:shd w:fill="1A3A5C" w:val="clear"/>
            <w:tcMar>
              <w:top w:type="dxa" w:w="100"/>
              <w:left w:type="dxa" w:w="200"/>
              <w:bottom w:type="dxa" w:w="100"/>
              <w:right w:type="dxa" w:w="200"/>
            </w:tcMar>
          </w:tcPr>
          <w:p>
            <w:r>
              <w:rPr>
                <w:rFonts w:ascii="Calibri" w:cs="Calibri" w:eastAsia="Calibri" w:hAnsi="Calibri"/>
                <w:b/>
                <w:bCs/>
                <w:color w:val="FFFFFF"/>
                <w:sz w:val="21"/>
                <w:szCs w:val="21"/>
              </w:rPr>
              <w:t xml:space="preserve">Value</w:t>
            </w:r>
          </w:p>
        </w:tc>
      </w:tr>
      <w:tr>
        <w:tc>
          <w:tcPr>
            <w:tcW w:type="dxa" w:w="4000"/>
            <w:shd w:fill="FFFFFF"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Fetch Interval</w:t>
            </w:r>
          </w:p>
        </w:tc>
        <w:tc>
          <w:tcPr>
            <w:tcW w:type="dxa" w:w="5360"/>
            <w:shd w:fill="FFFFFF"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24 hours (configurable 1 hour to 7 days)</w:t>
            </w:r>
          </w:p>
        </w:tc>
      </w:tr>
      <w:tr>
        <w:tc>
          <w:tcPr>
            <w:tcW w:type="dxa" w:w="4000"/>
            <w:shd w:fill="F0F0F0"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LINK Fee per Fetch</w:t>
            </w:r>
          </w:p>
        </w:tc>
        <w:tc>
          <w:tcPr>
            <w:tcW w:type="dxa" w:w="5360"/>
            <w:shd w:fill="F0F0F0"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0.1 LINK (BSC Mainnet)</w:t>
            </w:r>
          </w:p>
        </w:tc>
      </w:tr>
      <w:tr>
        <w:tc>
          <w:tcPr>
            <w:tcW w:type="dxa" w:w="4000"/>
            <w:shd w:fill="FFFFFF"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Max Consecutive Failures</w:t>
            </w:r>
          </w:p>
        </w:tc>
        <w:tc>
          <w:tcPr>
            <w:tcW w:type="dxa" w:w="5360"/>
            <w:shd w:fill="FFFFFF"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10 (auto-pause threshold)</w:t>
            </w:r>
          </w:p>
        </w:tc>
      </w:tr>
      <w:tr>
        <w:tc>
          <w:tcPr>
            <w:tcW w:type="dxa" w:w="4000"/>
            <w:shd w:fill="F0F0F0"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Smoothing Window</w:t>
            </w:r>
          </w:p>
        </w:tc>
        <w:tc>
          <w:tcPr>
            <w:tcW w:type="dxa" w:w="5360"/>
            <w:shd w:fill="F0F0F0"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5-point moving average</w:t>
            </w:r>
          </w:p>
        </w:tc>
      </w:tr>
      <w:tr>
        <w:tc>
          <w:tcPr>
            <w:tcW w:type="dxa" w:w="4000"/>
            <w:shd w:fill="FFFFFF"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Push Gas Limit</w:t>
            </w:r>
          </w:p>
        </w:tc>
        <w:tc>
          <w:tcPr>
            <w:tcW w:type="dxa" w:w="5360"/>
            <w:shd w:fill="FFFFFF"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250,000 gas (adjustable 100k–500k)</w:t>
            </w:r>
          </w:p>
        </w:tc>
      </w:tr>
      <w:tr>
        <w:tc>
          <w:tcPr>
            <w:tcW w:type="dxa" w:w="4000"/>
            <w:shd w:fill="F0F0F0"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Bull Threshold</w:t>
            </w:r>
          </w:p>
        </w:tc>
        <w:tc>
          <w:tcPr>
            <w:tcW w:type="dxa" w:w="5360"/>
            <w:shd w:fill="F0F0F0"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&gt; 5,000 basis points</w:t>
            </w:r>
          </w:p>
        </w:tc>
      </w:tr>
      <w:tr>
        <w:tc>
          <w:tcPr>
            <w:tcW w:type="dxa" w:w="4000"/>
            <w:shd w:fill="FFFFFF"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Bear Threshold</w:t>
            </w:r>
          </w:p>
        </w:tc>
        <w:tc>
          <w:tcPr>
            <w:tcW w:type="dxa" w:w="5360"/>
            <w:shd w:fill="FFFFFF"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&lt; 2,000 basis points</w:t>
            </w:r>
          </w:p>
        </w:tc>
      </w:tr>
      <w:tr>
        <w:tc>
          <w:tcPr>
            <w:tcW w:type="dxa" w:w="4000"/>
            <w:shd w:fill="F0F0F0"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Stale Data Limit</w:t>
            </w:r>
          </w:p>
        </w:tc>
        <w:tc>
          <w:tcPr>
            <w:tcW w:type="dxa" w:w="5360"/>
            <w:shd w:fill="F0F0F0"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26 hours — oracle data older than this is ignored</w:t>
            </w:r>
          </w:p>
        </w:tc>
      </w:tr>
    </w:tbl>
    <w:p>
      <w:r>
        <w:br w:type="page"/>
      </w:r>
    </w:p>
    <w:p>
      <w:pPr>
        <w:pStyle w:val="Heading1"/>
        <w:spacing w:before="480" w:after="160"/>
      </w:pPr>
      <w:r>
        <w:rPr>
          <w:rFonts w:ascii="Calibri" w:cs="Calibri" w:eastAsia="Calibri" w:hAnsi="Calibri"/>
          <w:b/>
          <w:bCs/>
          <w:color w:val="0D1B2A"/>
          <w:sz w:val="30"/>
          <w:szCs w:val="30"/>
        </w:rPr>
        <w:t xml:space="preserve">6. FEE STRUCTURE &amp; MARKET DYNAMICS</w:t>
      </w:r>
    </w:p>
    <w:p>
      <w:pPr>
        <w:pBdr>
          <w:bottom w:val="single" w:color="C9A84C" w:sz="6" w:space="1"/>
        </w:pBdr>
        <w:spacing w:before="200" w:after="200"/>
      </w:pPr>
    </w:p>
    <w:p>
      <w:pPr>
        <w:pStyle w:val="Heading2"/>
        <w:spacing w:before="280" w:after="100"/>
      </w:pPr>
      <w:r>
        <w:rPr>
          <w:rFonts w:ascii="Calibri" w:cs="Calibri" w:eastAsia="Calibri" w:hAnsi="Calibri"/>
          <w:b/>
          <w:bCs/>
          <w:color w:val="1A3A5C"/>
          <w:sz w:val="24"/>
          <w:szCs w:val="24"/>
        </w:rPr>
        <w:t xml:space="preserve">6.1 Standard Fee Structure</w:t>
      </w:r>
    </w:p>
    <w:p>
      <w:pPr>
        <w:spacing w:before="100" w:after="160" w:line="360"/>
        <w:jc w:val="both"/>
      </w:pPr>
      <w:r>
        <w:rPr>
          <w:rFonts w:ascii="Calibri" w:cs="Calibri" w:eastAsia="Calibri" w:hAnsi="Calibri"/>
          <w:b w:val="false"/>
          <w:bCs w:val="false"/>
          <w:i w:val="false"/>
          <w:iCs w:val="false"/>
          <w:color w:val="4A4A4A"/>
          <w:sz w:val="22"/>
          <w:szCs w:val="22"/>
        </w:rPr>
        <w:t xml:space="preserve">DVX uses a multi-component fee system applied to buy and sell transactions on PancakeSwap. Wallet-to-wallet transfers have zero fee by default (configurable up to 5%). All fees are deducted at the point of transfer via the _takeFee() function and credited to the contract's fee accumulator buckets.</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4000"/>
        <w:gridCol w:w="5360"/>
      </w:tblGrid>
      <w:tr>
        <w:tc>
          <w:tcPr>
            <w:tcW w:type="dxa" w:w="4000"/>
            <w:shd w:fill="0D1B2A" w:val="clear"/>
            <w:tcMar>
              <w:top w:type="dxa" w:w="100"/>
              <w:left w:type="dxa" w:w="200"/>
              <w:bottom w:type="dxa" w:w="100"/>
              <w:right w:type="dxa" w:w="200"/>
            </w:tcMar>
          </w:tcPr>
          <w:p>
            <w:r>
              <w:rPr>
                <w:rFonts w:ascii="Calibri" w:cs="Calibri" w:eastAsia="Calibri" w:hAnsi="Calibri"/>
                <w:b/>
                <w:bCs/>
                <w:color w:val="FFFFFF"/>
                <w:sz w:val="21"/>
                <w:szCs w:val="21"/>
              </w:rPr>
              <w:t xml:space="preserve">Fee Component</w:t>
            </w:r>
          </w:p>
        </w:tc>
        <w:tc>
          <w:tcPr>
            <w:tcW w:type="dxa" w:w="5360"/>
            <w:shd w:fill="1A3A5C" w:val="clear"/>
            <w:tcMar>
              <w:top w:type="dxa" w:w="100"/>
              <w:left w:type="dxa" w:w="200"/>
              <w:bottom w:type="dxa" w:w="100"/>
              <w:right w:type="dxa" w:w="200"/>
            </w:tcMar>
          </w:tcPr>
          <w:p>
            <w:r>
              <w:rPr>
                <w:rFonts w:ascii="Calibri" w:cs="Calibri" w:eastAsia="Calibri" w:hAnsi="Calibri"/>
                <w:b/>
                <w:bCs/>
                <w:color w:val="FFFFFF"/>
                <w:sz w:val="21"/>
                <w:szCs w:val="21"/>
              </w:rPr>
              <w:t xml:space="preserve">Buy</w:t>
            </w:r>
          </w:p>
        </w:tc>
      </w:tr>
      <w:tr>
        <w:tc>
          <w:tcPr>
            <w:tcW w:type="dxa" w:w="4000"/>
            <w:shd w:fill="FFFFFF"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Liquidity (LP)</w:t>
            </w:r>
          </w:p>
        </w:tc>
        <w:tc>
          <w:tcPr>
            <w:tcW w:type="dxa" w:w="5360"/>
            <w:shd w:fill="FFFFFF"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1.0%</w:t>
            </w:r>
          </w:p>
        </w:tc>
      </w:tr>
      <w:tr>
        <w:tc>
          <w:tcPr>
            <w:tcW w:type="dxa" w:w="4000"/>
            <w:shd w:fill="F0F0F0"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Marketing</w:t>
            </w:r>
          </w:p>
        </w:tc>
        <w:tc>
          <w:tcPr>
            <w:tcW w:type="dxa" w:w="5360"/>
            <w:shd w:fill="F0F0F0"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2.0%</w:t>
            </w:r>
          </w:p>
        </w:tc>
      </w:tr>
      <w:tr>
        <w:tc>
          <w:tcPr>
            <w:tcW w:type="dxa" w:w="4000"/>
            <w:shd w:fill="FFFFFF"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Development</w:t>
            </w:r>
          </w:p>
        </w:tc>
        <w:tc>
          <w:tcPr>
            <w:tcW w:type="dxa" w:w="5360"/>
            <w:shd w:fill="FFFFFF"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1.0%</w:t>
            </w:r>
          </w:p>
        </w:tc>
      </w:tr>
      <w:tr>
        <w:tc>
          <w:tcPr>
            <w:tcW w:type="dxa" w:w="4000"/>
            <w:shd w:fill="F0F0F0"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Burn</w:t>
            </w:r>
          </w:p>
        </w:tc>
        <w:tc>
          <w:tcPr>
            <w:tcW w:type="dxa" w:w="5360"/>
            <w:shd w:fill="F0F0F0"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1.0%</w:t>
            </w:r>
          </w:p>
        </w:tc>
      </w:tr>
      <w:tr>
        <w:tc>
          <w:tcPr>
            <w:tcW w:type="dxa" w:w="4000"/>
            <w:shd w:fill="FFFFFF"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Staking Reward Pool</w:t>
            </w:r>
          </w:p>
        </w:tc>
        <w:tc>
          <w:tcPr>
            <w:tcW w:type="dxa" w:w="5360"/>
            <w:shd w:fill="FFFFFF"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1.0%</w:t>
            </w:r>
          </w:p>
        </w:tc>
      </w:tr>
      <w:tr>
        <w:tc>
          <w:tcPr>
            <w:tcW w:type="dxa" w:w="4000"/>
            <w:shd w:fill="F0F0F0"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Total</w:t>
            </w:r>
          </w:p>
        </w:tc>
        <w:tc>
          <w:tcPr>
            <w:tcW w:type="dxa" w:w="5360"/>
            <w:shd w:fill="F0F0F0"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6.0%</w:t>
            </w:r>
          </w:p>
        </w:tc>
      </w:tr>
    </w:tbl>
    <w:p>
      <w:pPr>
        <w:pStyle w:val="Heading2"/>
        <w:spacing w:before="280" w:after="100"/>
      </w:pPr>
      <w:r>
        <w:rPr>
          <w:rFonts w:ascii="Calibri" w:cs="Calibri" w:eastAsia="Calibri" w:hAnsi="Calibri"/>
          <w:b/>
          <w:bCs/>
          <w:color w:val="1A3A5C"/>
          <w:sz w:val="24"/>
          <w:szCs w:val="24"/>
        </w:rPr>
        <w:t xml:space="preserve">6.2 Oracle-Driven Dynamic Fee Adjustment</w:t>
      </w:r>
    </w:p>
    <w:p>
      <w:pPr>
        <w:spacing w:before="100" w:after="160" w:line="360"/>
        <w:jc w:val="both"/>
      </w:pPr>
      <w:r>
        <w:rPr>
          <w:rFonts w:ascii="Calibri" w:cs="Calibri" w:eastAsia="Calibri" w:hAnsi="Calibri"/>
          <w:b w:val="false"/>
          <w:bCs w:val="false"/>
          <w:i w:val="false"/>
          <w:iCs w:val="false"/>
          <w:color w:val="4A4A4A"/>
          <w:sz w:val="22"/>
          <w:szCs w:val="22"/>
        </w:rPr>
        <w:t xml:space="preserve">When the oracle system is enabled, the DVX market classification engine automatically adjusts fee components based on the Global Export-Import Index. This system implements market-adaptive tokenomics:</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4000"/>
        <w:gridCol w:w="5360"/>
      </w:tblGrid>
      <w:tr>
        <w:tc>
          <w:tcPr>
            <w:tcW w:type="dxa" w:w="4000"/>
            <w:shd w:fill="0D1B2A" w:val="clear"/>
            <w:tcMar>
              <w:top w:type="dxa" w:w="100"/>
              <w:left w:type="dxa" w:w="200"/>
              <w:bottom w:type="dxa" w:w="100"/>
              <w:right w:type="dxa" w:w="200"/>
            </w:tcMar>
          </w:tcPr>
          <w:p>
            <w:r>
              <w:rPr>
                <w:rFonts w:ascii="Calibri" w:cs="Calibri" w:eastAsia="Calibri" w:hAnsi="Calibri"/>
                <w:b/>
                <w:bCs/>
                <w:color w:val="FFFFFF"/>
                <w:sz w:val="21"/>
                <w:szCs w:val="21"/>
              </w:rPr>
              <w:t xml:space="preserve">Market Condition</w:t>
            </w:r>
          </w:p>
        </w:tc>
        <w:tc>
          <w:tcPr>
            <w:tcW w:type="dxa" w:w="5360"/>
            <w:shd w:fill="1A3A5C" w:val="clear"/>
            <w:tcMar>
              <w:top w:type="dxa" w:w="100"/>
              <w:left w:type="dxa" w:w="200"/>
              <w:bottom w:type="dxa" w:w="100"/>
              <w:right w:type="dxa" w:w="200"/>
            </w:tcMar>
          </w:tcPr>
          <w:p>
            <w:r>
              <w:rPr>
                <w:rFonts w:ascii="Calibri" w:cs="Calibri" w:eastAsia="Calibri" w:hAnsi="Calibri"/>
                <w:b/>
                <w:bCs/>
                <w:color w:val="FFFFFF"/>
                <w:sz w:val="21"/>
                <w:szCs w:val="21"/>
              </w:rPr>
              <w:t xml:space="preserve">Index Value</w:t>
            </w:r>
          </w:p>
        </w:tc>
      </w:tr>
      <w:tr>
        <w:tc>
          <w:tcPr>
            <w:tcW w:type="dxa" w:w="4000"/>
            <w:shd w:fill="FFFFFF"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BULL Market</w:t>
            </w:r>
          </w:p>
        </w:tc>
        <w:tc>
          <w:tcPr>
            <w:tcW w:type="dxa" w:w="5360"/>
            <w:shd w:fill="FFFFFF"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&gt; 5,000 bps</w:t>
            </w:r>
          </w:p>
        </w:tc>
      </w:tr>
      <w:tr>
        <w:tc>
          <w:tcPr>
            <w:tcW w:type="dxa" w:w="4000"/>
            <w:shd w:fill="F0F0F0"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NEUTRAL Market</w:t>
            </w:r>
          </w:p>
        </w:tc>
        <w:tc>
          <w:tcPr>
            <w:tcW w:type="dxa" w:w="5360"/>
            <w:shd w:fill="F0F0F0"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2,000–5,000</w:t>
            </w:r>
          </w:p>
        </w:tc>
      </w:tr>
      <w:tr>
        <w:tc>
          <w:tcPr>
            <w:tcW w:type="dxa" w:w="4000"/>
            <w:shd w:fill="FFFFFF"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BEAR Market</w:t>
            </w:r>
          </w:p>
        </w:tc>
        <w:tc>
          <w:tcPr>
            <w:tcW w:type="dxa" w:w="5360"/>
            <w:shd w:fill="FFFFFF"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&lt; 2,000 bps</w:t>
            </w:r>
          </w:p>
        </w:tc>
      </w:tr>
    </w:tbl>
    <w:p>
      <w:pPr>
        <w:spacing w:before="100" w:after="160" w:line="360"/>
        <w:jc w:val="both"/>
      </w:pPr>
      <w:r>
        <w:rPr>
          <w:rFonts w:ascii="Calibri" w:cs="Calibri" w:eastAsia="Calibri" w:hAnsi="Calibri"/>
          <w:b w:val="false"/>
          <w:bCs w:val="false"/>
          <w:i w:val="false"/>
          <w:iCs w:val="false"/>
          <w:color w:val="4A4A4A"/>
          <w:sz w:val="22"/>
          <w:szCs w:val="22"/>
        </w:rPr>
        <w:t xml:space="preserve">Fee adjustments are graduated (maximum ±1% per update) to prevent sudden market shocks. All adjustments respect the absolute fee caps: maximum 10% buy fee, maximum 12% sell fee. These caps are enforced in the smart contract and cannot be circumvented even by the owner.</w:t>
      </w:r>
    </w:p>
    <w:p>
      <w:pPr>
        <w:pStyle w:val="Heading2"/>
        <w:spacing w:before="280" w:after="100"/>
      </w:pPr>
      <w:r>
        <w:rPr>
          <w:rFonts w:ascii="Calibri" w:cs="Calibri" w:eastAsia="Calibri" w:hAnsi="Calibri"/>
          <w:b/>
          <w:bCs/>
          <w:color w:val="1A3A5C"/>
          <w:sz w:val="24"/>
          <w:szCs w:val="24"/>
        </w:rPr>
        <w:t xml:space="preserve">6.3 Launch Phase Tax</w:t>
      </w:r>
    </w:p>
    <w:p>
      <w:pPr>
        <w:spacing w:before="100" w:after="160" w:line="360"/>
        <w:jc w:val="both"/>
      </w:pPr>
      <w:r>
        <w:rPr>
          <w:rFonts w:ascii="Calibri" w:cs="Calibri" w:eastAsia="Calibri" w:hAnsi="Calibri"/>
          <w:b w:val="false"/>
          <w:bCs w:val="false"/>
          <w:i w:val="false"/>
          <w:iCs w:val="false"/>
          <w:color w:val="4A4A4A"/>
          <w:sz w:val="22"/>
          <w:szCs w:val="22"/>
        </w:rPr>
        <w:t xml:space="preserve">For the first 30 minutes after trading is enabled, a flat 2% tax applies to all buy and sell transactions. This launch tax protects against bot sniping and enables the team to establish initial liquidity conditions before the full fee structure activates.</w:t>
      </w:r>
    </w:p>
    <w:p>
      <w:pPr>
        <w:pStyle w:val="Heading2"/>
        <w:spacing w:before="280" w:after="100"/>
      </w:pPr>
      <w:r>
        <w:rPr>
          <w:rFonts w:ascii="Calibri" w:cs="Calibri" w:eastAsia="Calibri" w:hAnsi="Calibri"/>
          <w:b/>
          <w:bCs/>
          <w:color w:val="1A3A5C"/>
          <w:sz w:val="24"/>
          <w:szCs w:val="24"/>
        </w:rPr>
        <w:t xml:space="preserve">6.4 Fee Distribution via Auto-Swap</w:t>
      </w:r>
    </w:p>
    <w:p>
      <w:pPr>
        <w:spacing w:before="100" w:after="160" w:line="360"/>
        <w:jc w:val="both"/>
      </w:pPr>
      <w:r>
        <w:rPr>
          <w:rFonts w:ascii="Calibri" w:cs="Calibri" w:eastAsia="Calibri" w:hAnsi="Calibri"/>
          <w:b w:val="false"/>
          <w:bCs w:val="false"/>
          <w:i w:val="false"/>
          <w:iCs w:val="false"/>
          <w:color w:val="4A4A4A"/>
          <w:sz w:val="22"/>
          <w:szCs w:val="22"/>
        </w:rPr>
        <w:t xml:space="preserve">When accumulated fee tokens reach the swapAt threshold (0.05% of supply = 50,000 DVX), the contract automatically converts them to BNB and distributes the proceeds. This auto-swap is triggered on sell transactions only (to prevent price manipulation) and caps individual swaps at swapMax (0.5% = 500,000 DVX) to prevent large price impacts.</w:t>
      </w:r>
    </w:p>
    <w:p>
      <w:r>
        <w:br w:type="page"/>
      </w:r>
    </w:p>
    <w:p>
      <w:pPr>
        <w:pStyle w:val="Heading1"/>
        <w:spacing w:before="480" w:after="160"/>
      </w:pPr>
      <w:r>
        <w:rPr>
          <w:rFonts w:ascii="Calibri" w:cs="Calibri" w:eastAsia="Calibri" w:hAnsi="Calibri"/>
          <w:b/>
          <w:bCs/>
          <w:color w:val="0D1B2A"/>
          <w:sz w:val="30"/>
          <w:szCs w:val="30"/>
        </w:rPr>
        <w:t xml:space="preserve">7. STAKING SYSTEM</w:t>
      </w:r>
    </w:p>
    <w:p>
      <w:pPr>
        <w:pBdr>
          <w:bottom w:val="single" w:color="C9A84C" w:sz="6" w:space="1"/>
        </w:pBdr>
        <w:spacing w:before="200" w:after="200"/>
      </w:pPr>
    </w:p>
    <w:p>
      <w:pPr>
        <w:pStyle w:val="Heading2"/>
        <w:spacing w:before="280" w:after="100"/>
      </w:pPr>
      <w:r>
        <w:rPr>
          <w:rFonts w:ascii="Calibri" w:cs="Calibri" w:eastAsia="Calibri" w:hAnsi="Calibri"/>
          <w:b/>
          <w:bCs/>
          <w:color w:val="1A3A5C"/>
          <w:sz w:val="24"/>
          <w:szCs w:val="24"/>
        </w:rPr>
        <w:t xml:space="preserve">7.1 How DVX Staking Works</w:t>
      </w:r>
    </w:p>
    <w:p>
      <w:pPr>
        <w:spacing w:before="100" w:after="160" w:line="360"/>
        <w:jc w:val="both"/>
      </w:pPr>
      <w:r>
        <w:rPr>
          <w:rFonts w:ascii="Calibri" w:cs="Calibri" w:eastAsia="Calibri" w:hAnsi="Calibri"/>
          <w:b w:val="false"/>
          <w:bCs w:val="false"/>
          <w:i w:val="false"/>
          <w:iCs w:val="false"/>
          <w:color w:val="4A4A4A"/>
          <w:sz w:val="22"/>
          <w:szCs w:val="22"/>
        </w:rPr>
        <w:t xml:space="preserve">The DVX staking system allows token holders to lock their DVX tokens in the contract and earn yield from the 10,000,000 DVX staking pool. The system is designed to reward long-term commitment while remaining accessible to all holders, regardless of stake size.</w:t>
      </w:r>
    </w:p>
    <w:p>
      <w:pPr>
        <w:pStyle w:val="Heading2"/>
        <w:spacing w:before="280" w:after="100"/>
      </w:pPr>
      <w:r>
        <w:rPr>
          <w:rFonts w:ascii="Calibri" w:cs="Calibri" w:eastAsia="Calibri" w:hAnsi="Calibri"/>
          <w:b/>
          <w:bCs/>
          <w:color w:val="1A3A5C"/>
          <w:sz w:val="24"/>
          <w:szCs w:val="24"/>
        </w:rPr>
        <w:t xml:space="preserve">7.2 Staking Parameters</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4000"/>
        <w:gridCol w:w="5360"/>
      </w:tblGrid>
      <w:tr>
        <w:tc>
          <w:tcPr>
            <w:tcW w:type="dxa" w:w="4000"/>
            <w:shd w:fill="0D1B2A" w:val="clear"/>
            <w:tcMar>
              <w:top w:type="dxa" w:w="100"/>
              <w:left w:type="dxa" w:w="200"/>
              <w:bottom w:type="dxa" w:w="100"/>
              <w:right w:type="dxa" w:w="200"/>
            </w:tcMar>
          </w:tcPr>
          <w:p>
            <w:r>
              <w:rPr>
                <w:rFonts w:ascii="Calibri" w:cs="Calibri" w:eastAsia="Calibri" w:hAnsi="Calibri"/>
                <w:b/>
                <w:bCs/>
                <w:color w:val="FFFFFF"/>
                <w:sz w:val="21"/>
                <w:szCs w:val="21"/>
              </w:rPr>
              <w:t xml:space="preserve">Parameter</w:t>
            </w:r>
          </w:p>
        </w:tc>
        <w:tc>
          <w:tcPr>
            <w:tcW w:type="dxa" w:w="5360"/>
            <w:shd w:fill="1A3A5C" w:val="clear"/>
            <w:tcMar>
              <w:top w:type="dxa" w:w="100"/>
              <w:left w:type="dxa" w:w="200"/>
              <w:bottom w:type="dxa" w:w="100"/>
              <w:right w:type="dxa" w:w="200"/>
            </w:tcMar>
          </w:tcPr>
          <w:p>
            <w:r>
              <w:rPr>
                <w:rFonts w:ascii="Calibri" w:cs="Calibri" w:eastAsia="Calibri" w:hAnsi="Calibri"/>
                <w:b/>
                <w:bCs/>
                <w:color w:val="FFFFFF"/>
                <w:sz w:val="21"/>
                <w:szCs w:val="21"/>
              </w:rPr>
              <w:t xml:space="preserve">Details</w:t>
            </w:r>
          </w:p>
        </w:tc>
      </w:tr>
      <w:tr>
        <w:tc>
          <w:tcPr>
            <w:tcW w:type="dxa" w:w="4000"/>
            <w:shd w:fill="FFFFFF"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Base APY</w:t>
            </w:r>
          </w:p>
        </w:tc>
        <w:tc>
          <w:tcPr>
            <w:tcW w:type="dxa" w:w="5360"/>
            <w:shd w:fill="FFFFFF"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12% annual (1,200 basis points)</w:t>
            </w:r>
          </w:p>
        </w:tc>
      </w:tr>
      <w:tr>
        <w:tc>
          <w:tcPr>
            <w:tcW w:type="dxa" w:w="4000"/>
            <w:shd w:fill="F0F0F0"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Long Lock Bonus</w:t>
            </w:r>
          </w:p>
        </w:tc>
        <w:tc>
          <w:tcPr>
            <w:tcW w:type="dxa" w:w="5360"/>
            <w:shd w:fill="F0F0F0"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+20% APY bonus for locks ≥ 30 days (effective APY = 14.4%)</w:t>
            </w:r>
          </w:p>
        </w:tc>
      </w:tr>
      <w:tr>
        <w:tc>
          <w:tcPr>
            <w:tcW w:type="dxa" w:w="4000"/>
            <w:shd w:fill="FFFFFF"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Maximum APY</w:t>
            </w:r>
          </w:p>
        </w:tc>
        <w:tc>
          <w:tcPr>
            <w:tcW w:type="dxa" w:w="5360"/>
            <w:shd w:fill="FFFFFF"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50% (hard cap, owner-configurable)</w:t>
            </w:r>
          </w:p>
        </w:tc>
      </w:tr>
      <w:tr>
        <w:tc>
          <w:tcPr>
            <w:tcW w:type="dxa" w:w="4000"/>
            <w:shd w:fill="F0F0F0"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Maximum Lock Duration</w:t>
            </w:r>
          </w:p>
        </w:tc>
        <w:tc>
          <w:tcPr>
            <w:tcW w:type="dxa" w:w="5360"/>
            <w:shd w:fill="F0F0F0"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365 days</w:t>
            </w:r>
          </w:p>
        </w:tc>
      </w:tr>
      <w:tr>
        <w:tc>
          <w:tcPr>
            <w:tcW w:type="dxa" w:w="4000"/>
            <w:shd w:fill="FFFFFF"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Minimum Stake</w:t>
            </w:r>
          </w:p>
        </w:tc>
        <w:tc>
          <w:tcPr>
            <w:tcW w:type="dxa" w:w="5360"/>
            <w:shd w:fill="FFFFFF"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1 DVX (any amount)</w:t>
            </w:r>
          </w:p>
        </w:tc>
      </w:tr>
      <w:tr>
        <w:tc>
          <w:tcPr>
            <w:tcW w:type="dxa" w:w="4000"/>
            <w:shd w:fill="F0F0F0"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Concurrent Stakes</w:t>
            </w:r>
          </w:p>
        </w:tc>
        <w:tc>
          <w:tcPr>
            <w:tcW w:type="dxa" w:w="5360"/>
            <w:shd w:fill="F0F0F0"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One active stake per wallet</w:t>
            </w:r>
          </w:p>
        </w:tc>
      </w:tr>
      <w:tr>
        <w:tc>
          <w:tcPr>
            <w:tcW w:type="dxa" w:w="4000"/>
            <w:shd w:fill="FFFFFF"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Reward Source</w:t>
            </w:r>
          </w:p>
        </w:tc>
        <w:tc>
          <w:tcPr>
            <w:tcW w:type="dxa" w:w="5360"/>
            <w:shd w:fill="FFFFFF"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10,000,000 DVX staking pool (contract balance surplus)</w:t>
            </w:r>
          </w:p>
        </w:tc>
      </w:tr>
      <w:tr>
        <w:tc>
          <w:tcPr>
            <w:tcW w:type="dxa" w:w="4000"/>
            <w:shd w:fill="F0F0F0"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Reward Calculation</w:t>
            </w:r>
          </w:p>
        </w:tc>
        <w:tc>
          <w:tcPr>
            <w:tcW w:type="dxa" w:w="5360"/>
            <w:shd w:fill="F0F0F0"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Real-time: amount × APY × elapsed_seconds / (10,000 × 31,536,000)</w:t>
            </w:r>
          </w:p>
        </w:tc>
      </w:tr>
    </w:tbl>
    <w:p>
      <w:pPr>
        <w:pStyle w:val="Heading2"/>
        <w:spacing w:before="280" w:after="100"/>
      </w:pPr>
      <w:r>
        <w:rPr>
          <w:rFonts w:ascii="Calibri" w:cs="Calibri" w:eastAsia="Calibri" w:hAnsi="Calibri"/>
          <w:b/>
          <w:bCs/>
          <w:color w:val="1A3A5C"/>
          <w:sz w:val="24"/>
          <w:szCs w:val="24"/>
        </w:rPr>
        <w:t xml:space="preserve">7.3 Staking User Flow</w:t>
      </w:r>
    </w:p>
    <w:p>
      <w:pPr>
        <w:spacing w:before="100" w:after="160" w:line="360"/>
        <w:jc w:val="both"/>
      </w:pPr>
      <w:r>
        <w:rPr>
          <w:rFonts w:ascii="Calibri" w:cs="Calibri" w:eastAsia="Calibri" w:hAnsi="Calibri"/>
          <w:b w:val="false"/>
          <w:bCs w:val="false"/>
          <w:i w:val="false"/>
          <w:iCs w:val="false"/>
          <w:color w:val="4A4A4A"/>
          <w:sz w:val="22"/>
          <w:szCs w:val="22"/>
        </w:rPr>
        <w:t xml:space="preserve">Participating in DVX staking follows a simple four-step process:</w:t>
      </w:r>
    </w:p>
    <w:p>
      <w:pPr>
        <w:spacing w:before="80" w:after="80" w:line="340"/>
        <w:ind w:left="720" w:hanging="360"/>
      </w:pPr>
      <w:r>
        <w:rPr>
          <w:rFonts w:ascii="Calibri" w:cs="Calibri" w:eastAsia="Calibri" w:hAnsi="Calibri"/>
          <w:b/>
          <w:bCs/>
          <w:color w:val="C9A84C"/>
          <w:sz w:val="22"/>
          <w:szCs w:val="22"/>
        </w:rPr>
        <w:t xml:space="preserve">▸  Step 1 — Stake: </w:t>
      </w:r>
      <w:r>
        <w:rPr>
          <w:rFonts w:ascii="Calibri" w:cs="Calibri" w:eastAsia="Calibri" w:hAnsi="Calibri"/>
          <w:color w:val="4A4A4A"/>
          <w:sz w:val="22"/>
          <w:szCs w:val="22"/>
        </w:rPr>
        <w:t xml:space="preserve">Call stake(amount, lockDurationSeconds) — tokens transferred to contract, stake record created</w:t>
      </w:r>
    </w:p>
    <w:p>
      <w:pPr>
        <w:spacing w:before="80" w:after="80" w:line="340"/>
        <w:ind w:left="720" w:hanging="360"/>
      </w:pPr>
      <w:r>
        <w:rPr>
          <w:rFonts w:ascii="Calibri" w:cs="Calibri" w:eastAsia="Calibri" w:hAnsi="Calibri"/>
          <w:b/>
          <w:bCs/>
          <w:color w:val="C9A84C"/>
          <w:sz w:val="22"/>
          <w:szCs w:val="22"/>
        </w:rPr>
        <w:t xml:space="preserve">▸  Step 2 — Earn: </w:t>
      </w:r>
      <w:r>
        <w:rPr>
          <w:rFonts w:ascii="Calibri" w:cs="Calibri" w:eastAsia="Calibri" w:hAnsi="Calibri"/>
          <w:color w:val="4A4A4A"/>
          <w:sz w:val="22"/>
          <w:szCs w:val="22"/>
        </w:rPr>
        <w:t xml:space="preserve">Tokens begin earning rewards immediately, calculated per second in real-time</w:t>
      </w:r>
    </w:p>
    <w:p>
      <w:pPr>
        <w:spacing w:before="80" w:after="80" w:line="340"/>
        <w:ind w:left="720" w:hanging="360"/>
      </w:pPr>
      <w:r>
        <w:rPr>
          <w:rFonts w:ascii="Calibri" w:cs="Calibri" w:eastAsia="Calibri" w:hAnsi="Calibri"/>
          <w:b/>
          <w:bCs/>
          <w:color w:val="C9A84C"/>
          <w:sz w:val="22"/>
          <w:szCs w:val="22"/>
        </w:rPr>
        <w:t xml:space="preserve">▸  Step 3 — Claim (Optional): </w:t>
      </w:r>
      <w:r>
        <w:rPr>
          <w:rFonts w:ascii="Calibri" w:cs="Calibri" w:eastAsia="Calibri" w:hAnsi="Calibri"/>
          <w:color w:val="4A4A4A"/>
          <w:sz w:val="22"/>
          <w:szCs w:val="22"/>
        </w:rPr>
        <w:t xml:space="preserve">Call claimStakingReward() at any time to collect accumulated rewards without unstaking</w:t>
      </w:r>
    </w:p>
    <w:p>
      <w:pPr>
        <w:spacing w:before="80" w:after="80" w:line="340"/>
        <w:ind w:left="720" w:hanging="360"/>
      </w:pPr>
      <w:r>
        <w:rPr>
          <w:rFonts w:ascii="Calibri" w:cs="Calibri" w:eastAsia="Calibri" w:hAnsi="Calibri"/>
          <w:b/>
          <w:bCs/>
          <w:color w:val="C9A84C"/>
          <w:sz w:val="22"/>
          <w:szCs w:val="22"/>
        </w:rPr>
        <w:t xml:space="preserve">▸  Step 4 — Unstake: </w:t>
      </w:r>
      <w:r>
        <w:rPr>
          <w:rFonts w:ascii="Calibri" w:cs="Calibri" w:eastAsia="Calibri" w:hAnsi="Calibri"/>
          <w:color w:val="4A4A4A"/>
          <w:sz w:val="22"/>
          <w:szCs w:val="22"/>
        </w:rPr>
        <w:t xml:space="preserve">After lock period expires, call unstake() to receive principal + all accumulated rewards</w:t>
      </w:r>
    </w:p>
    <w:p>
      <w:pPr>
        <w:pStyle w:val="Heading2"/>
        <w:spacing w:before="280" w:after="100"/>
      </w:pPr>
      <w:r>
        <w:rPr>
          <w:rFonts w:ascii="Calibri" w:cs="Calibri" w:eastAsia="Calibri" w:hAnsi="Calibri"/>
          <w:b/>
          <w:bCs/>
          <w:color w:val="1A3A5C"/>
          <w:sz w:val="24"/>
          <w:szCs w:val="24"/>
        </w:rPr>
        <w:t xml:space="preserve">7.4 Emergency Exit</w:t>
      </w:r>
    </w:p>
    <w:p>
      <w:pPr>
        <w:spacing w:before="100" w:after="160" w:line="360"/>
        <w:jc w:val="both"/>
      </w:pPr>
      <w:r>
        <w:rPr>
          <w:rFonts w:ascii="Calibri" w:cs="Calibri" w:eastAsia="Calibri" w:hAnsi="Calibri"/>
          <w:b w:val="false"/>
          <w:bCs w:val="false"/>
          <w:i w:val="false"/>
          <w:iCs w:val="false"/>
          <w:color w:val="4A4A4A"/>
          <w:sz w:val="22"/>
          <w:szCs w:val="22"/>
        </w:rPr>
        <w:t xml:space="preserve">DVX prioritizes user fund safety above all else. If a user needs to exit their stake before the lock period expires, they can call emergencyUnstake() at any time. This returns 100% of the staked principal immediately. No rewards are paid for early exits — this forfeiture serves as the only 'penalty' for breaking a lock commitment, and the forfeited rewards remain in the pool for other stakers.</w:t>
      </w:r>
    </w:p>
    <w:p>
      <w:pPr>
        <w:pStyle w:val="Heading2"/>
        <w:spacing w:before="280" w:after="100"/>
      </w:pPr>
      <w:r>
        <w:rPr>
          <w:rFonts w:ascii="Calibri" w:cs="Calibri" w:eastAsia="Calibri" w:hAnsi="Calibri"/>
          <w:b/>
          <w:bCs/>
          <w:color w:val="1A3A5C"/>
          <w:sz w:val="24"/>
          <w:szCs w:val="24"/>
        </w:rPr>
        <w:t xml:space="preserve">7.5 Staking Pool Integrity Guard</w:t>
      </w:r>
    </w:p>
    <w:p>
      <w:pPr>
        <w:spacing w:before="100" w:after="160" w:line="360"/>
        <w:jc w:val="both"/>
      </w:pPr>
      <w:r>
        <w:rPr>
          <w:rFonts w:ascii="Calibri" w:cs="Calibri" w:eastAsia="Calibri" w:hAnsi="Calibri"/>
          <w:b w:val="false"/>
          <w:bCs w:val="false"/>
          <w:i w:val="false"/>
          <w:iCs w:val="false"/>
          <w:color w:val="4A4A4A"/>
          <w:sz w:val="22"/>
          <w:szCs w:val="22"/>
        </w:rPr>
        <w:t xml:space="preserve">The smart contract permanently tracks the totalStaked variable. All reward payments are verified against the available surplus: availableForRewards = contractBalance − totalStaked. If the pool has insufficient surplus to pay a reward (due to sustained high usage), the reward is paid partially or zero — the staker's principal is never at risk. This guard is enforced in every reward payment and unstaking operation.</w:t>
      </w:r>
    </w:p>
    <w:p>
      <w:r>
        <w:br w:type="page"/>
      </w:r>
    </w:p>
    <w:p>
      <w:pPr>
        <w:pStyle w:val="Heading1"/>
        <w:spacing w:before="480" w:after="160"/>
      </w:pPr>
      <w:r>
        <w:rPr>
          <w:rFonts w:ascii="Calibri" w:cs="Calibri" w:eastAsia="Calibri" w:hAnsi="Calibri"/>
          <w:b/>
          <w:bCs/>
          <w:color w:val="0D1B2A"/>
          <w:sz w:val="30"/>
          <w:szCs w:val="30"/>
        </w:rPr>
        <w:t xml:space="preserve">8. LIQUIDITY ENGINE &amp; PANCAKESWAP INTEGRATION</w:t>
      </w:r>
    </w:p>
    <w:p>
      <w:pPr>
        <w:pBdr>
          <w:bottom w:val="single" w:color="C9A84C" w:sz="6" w:space="1"/>
        </w:pBdr>
        <w:spacing w:before="200" w:after="200"/>
      </w:pPr>
    </w:p>
    <w:p>
      <w:pPr>
        <w:pStyle w:val="Heading2"/>
        <w:spacing w:before="280" w:after="100"/>
      </w:pPr>
      <w:r>
        <w:rPr>
          <w:rFonts w:ascii="Calibri" w:cs="Calibri" w:eastAsia="Calibri" w:hAnsi="Calibri"/>
          <w:b/>
          <w:bCs/>
          <w:color w:val="1A3A5C"/>
          <w:sz w:val="24"/>
          <w:szCs w:val="24"/>
        </w:rPr>
        <w:t xml:space="preserve">8.1 PancakeSwap V2 Integration</w:t>
      </w:r>
    </w:p>
    <w:p>
      <w:pPr>
        <w:spacing w:before="100" w:after="160" w:line="360"/>
        <w:jc w:val="both"/>
      </w:pPr>
      <w:r>
        <w:rPr>
          <w:rFonts w:ascii="Calibri" w:cs="Calibri" w:eastAsia="Calibri" w:hAnsi="Calibri"/>
          <w:b w:val="false"/>
          <w:bCs w:val="false"/>
          <w:i w:val="false"/>
          <w:iCs w:val="false"/>
          <w:color w:val="4A4A4A"/>
          <w:sz w:val="22"/>
          <w:szCs w:val="22"/>
        </w:rPr>
        <w:t xml:space="preserve">DVX is deployed with native PancakeSwap V2 integration. At the time of contract deployment, a DVX/WBNB liquidity pair is automatically created on PancakeSwap's factory contract. The contract maintains a permanent, pre-approved allowance for the router, eliminating per-swap approval transactions and reducing gas costs for users.</w:t>
      </w:r>
    </w:p>
    <w:p>
      <w:pPr>
        <w:pStyle w:val="Heading2"/>
        <w:spacing w:before="280" w:after="100"/>
      </w:pPr>
      <w:r>
        <w:rPr>
          <w:rFonts w:ascii="Calibri" w:cs="Calibri" w:eastAsia="Calibri" w:hAnsi="Calibri"/>
          <w:b/>
          <w:bCs/>
          <w:color w:val="1A3A5C"/>
          <w:sz w:val="24"/>
          <w:szCs w:val="24"/>
        </w:rPr>
        <w:t xml:space="preserve">8.2 Automatic Liquidity Addition</w:t>
      </w:r>
    </w:p>
    <w:p>
      <w:pPr>
        <w:spacing w:before="100" w:after="160" w:line="360"/>
        <w:jc w:val="both"/>
      </w:pPr>
      <w:r>
        <w:rPr>
          <w:rFonts w:ascii="Calibri" w:cs="Calibri" w:eastAsia="Calibri" w:hAnsi="Calibri"/>
          <w:b w:val="false"/>
          <w:bCs w:val="false"/>
          <w:i w:val="false"/>
          <w:iCs w:val="false"/>
          <w:color w:val="4A4A4A"/>
          <w:sz w:val="22"/>
          <w:szCs w:val="22"/>
        </w:rPr>
        <w:t xml:space="preserve">DVX implements an automatic liquidity engine that continuously grows the DVX/BNB liquidity pool without requiring manual intervention. When fee tokens are swapped to BNB, a portion corresponding to the liquidity fee is used to add DVX/BNB LP tokens to PancakeSwap. Critically, these LP tokens are sent to address(0) — permanently burned — making the liquidity irreversible and rugpull-proof.</w:t>
      </w:r>
    </w:p>
    <w:p>
      <w:pPr>
        <w:pStyle w:val="Heading2"/>
        <w:spacing w:before="280" w:after="100"/>
      </w:pPr>
      <w:r>
        <w:rPr>
          <w:rFonts w:ascii="Calibri" w:cs="Calibri" w:eastAsia="Calibri" w:hAnsi="Calibri"/>
          <w:b/>
          <w:bCs/>
          <w:color w:val="1A3A5C"/>
          <w:sz w:val="24"/>
          <w:szCs w:val="24"/>
        </w:rPr>
        <w:t xml:space="preserve">8.3 LP Reserve Protection</w:t>
      </w:r>
    </w:p>
    <w:p>
      <w:pPr>
        <w:spacing w:before="100" w:after="160" w:line="360"/>
        <w:jc w:val="both"/>
      </w:pPr>
      <w:r>
        <w:rPr>
          <w:rFonts w:ascii="Calibri" w:cs="Calibri" w:eastAsia="Calibri" w:hAnsi="Calibri"/>
          <w:b w:val="false"/>
          <w:bCs w:val="false"/>
          <w:i w:val="false"/>
          <w:iCs w:val="false"/>
          <w:color w:val="4A4A4A"/>
          <w:sz w:val="22"/>
          <w:szCs w:val="22"/>
        </w:rPr>
        <w:t xml:space="preserve">DVX incorporates a critical safety feature: the auto-swap mechanism checks the BNB reserve level in the PancakeSwap pool before executing. If the BNB reserve falls below the minPoolBNB threshold (default: 0.1 BNB), the swap is skipped and a SwapSkipped event is emitted. This prevents the auto-swap from executing during low-liquidity periods (such as immediately after launch) when even a small swap could cause significant price impact.</w:t>
      </w:r>
    </w:p>
    <w:p>
      <w:pPr>
        <w:pStyle w:val="Heading2"/>
        <w:spacing w:before="280" w:after="100"/>
      </w:pPr>
      <w:r>
        <w:rPr>
          <w:rFonts w:ascii="Calibri" w:cs="Calibri" w:eastAsia="Calibri" w:hAnsi="Calibri"/>
          <w:b/>
          <w:bCs/>
          <w:color w:val="1A3A5C"/>
          <w:sz w:val="24"/>
          <w:szCs w:val="24"/>
        </w:rPr>
        <w:t xml:space="preserve">8.4 Anti-Price-Impact Measures</w:t>
      </w:r>
    </w:p>
    <w:p>
      <w:pPr>
        <w:spacing w:before="100" w:after="160" w:line="360"/>
        <w:jc w:val="both"/>
      </w:pPr>
      <w:r>
        <w:rPr>
          <w:rFonts w:ascii="Calibri" w:cs="Calibri" w:eastAsia="Calibri" w:hAnsi="Calibri"/>
          <w:b w:val="false"/>
          <w:bCs w:val="false"/>
          <w:i w:val="false"/>
          <w:iCs w:val="false"/>
          <w:color w:val="4A4A4A"/>
          <w:sz w:val="22"/>
          <w:szCs w:val="22"/>
        </w:rPr>
        <w:t xml:space="preserve">Three complementary mechanisms protect against price manipulation and outsized market impact:</w:t>
      </w:r>
    </w:p>
    <w:p>
      <w:pPr>
        <w:spacing w:before="80" w:after="80" w:line="340"/>
        <w:ind w:left="720" w:hanging="360"/>
      </w:pPr>
      <w:r>
        <w:rPr>
          <w:rFonts w:ascii="Calibri" w:cs="Calibri" w:eastAsia="Calibri" w:hAnsi="Calibri"/>
          <w:b/>
          <w:bCs/>
          <w:color w:val="C9A84C"/>
          <w:sz w:val="22"/>
          <w:szCs w:val="22"/>
        </w:rPr>
        <w:t xml:space="preserve">▸  Buy-Side Protection: </w:t>
      </w:r>
      <w:r>
        <w:rPr>
          <w:rFonts w:ascii="Calibri" w:cs="Calibri" w:eastAsia="Calibri" w:hAnsi="Calibri"/>
          <w:color w:val="4A4A4A"/>
          <w:sz w:val="22"/>
          <w:szCs w:val="22"/>
        </w:rPr>
        <w:t xml:space="preserve">Auto-swaps are only triggered on sell transactions, never on buys — preventing price depression during buy pressure</w:t>
      </w:r>
    </w:p>
    <w:p>
      <w:pPr>
        <w:spacing w:before="80" w:after="80" w:line="340"/>
        <w:ind w:left="720" w:hanging="360"/>
      </w:pPr>
      <w:r>
        <w:rPr>
          <w:rFonts w:ascii="Calibri" w:cs="Calibri" w:eastAsia="Calibri" w:hAnsi="Calibri"/>
          <w:b/>
          <w:bCs/>
          <w:color w:val="C9A84C"/>
          <w:sz w:val="22"/>
          <w:szCs w:val="22"/>
        </w:rPr>
        <w:t xml:space="preserve">▸  Swap Size Cap: </w:t>
      </w:r>
      <w:r>
        <w:rPr>
          <w:rFonts w:ascii="Calibri" w:cs="Calibri" w:eastAsia="Calibri" w:hAnsi="Calibri"/>
          <w:color w:val="4A4A4A"/>
          <w:sz w:val="22"/>
          <w:szCs w:val="22"/>
        </w:rPr>
        <w:t xml:space="preserve">Single auto-swap capped at 0.5% of supply (500,000 DVX) — prevents large contract balance dumps</w:t>
      </w:r>
    </w:p>
    <w:p>
      <w:pPr>
        <w:spacing w:before="80" w:after="80" w:line="340"/>
        <w:ind w:left="720" w:hanging="360"/>
      </w:pPr>
      <w:r>
        <w:rPr>
          <w:rFonts w:ascii="Calibri" w:cs="Calibri" w:eastAsia="Calibri" w:hAnsi="Calibri"/>
          <w:b/>
          <w:bCs/>
          <w:color w:val="C9A84C"/>
          <w:sz w:val="22"/>
          <w:szCs w:val="22"/>
        </w:rPr>
        <w:t xml:space="preserve">▸  Dump Prevention: </w:t>
      </w:r>
      <w:r>
        <w:rPr>
          <w:rFonts w:ascii="Calibri" w:cs="Calibri" w:eastAsia="Calibri" w:hAnsi="Calibri"/>
          <w:color w:val="4A4A4A"/>
          <w:sz w:val="22"/>
          <w:szCs w:val="22"/>
        </w:rPr>
        <w:t xml:space="preserve">90% balance rule prevents any wallet from liquidating its entire position in a single transaction</w:t>
      </w:r>
    </w:p>
    <w:p>
      <w:r>
        <w:br w:type="page"/>
      </w:r>
    </w:p>
    <w:p>
      <w:pPr>
        <w:pStyle w:val="Heading1"/>
        <w:spacing w:before="480" w:after="160"/>
      </w:pPr>
      <w:r>
        <w:rPr>
          <w:rFonts w:ascii="Calibri" w:cs="Calibri" w:eastAsia="Calibri" w:hAnsi="Calibri"/>
          <w:b/>
          <w:bCs/>
          <w:color w:val="0D1B2A"/>
          <w:sz w:val="30"/>
          <w:szCs w:val="30"/>
        </w:rPr>
        <w:t xml:space="preserve">9. SECURITY FRAMEWORK</w:t>
      </w:r>
    </w:p>
    <w:p>
      <w:pPr>
        <w:pBdr>
          <w:bottom w:val="single" w:color="C9A84C" w:sz="6" w:space="1"/>
        </w:pBdr>
        <w:spacing w:before="200" w:after="200"/>
      </w:pPr>
    </w:p>
    <w:p>
      <w:pPr>
        <w:pStyle w:val="Heading2"/>
        <w:spacing w:before="280" w:after="100"/>
      </w:pPr>
      <w:r>
        <w:rPr>
          <w:rFonts w:ascii="Calibri" w:cs="Calibri" w:eastAsia="Calibri" w:hAnsi="Calibri"/>
          <w:b/>
          <w:bCs/>
          <w:color w:val="1A3A5C"/>
          <w:sz w:val="24"/>
          <w:szCs w:val="24"/>
        </w:rPr>
        <w:t xml:space="preserve">9.1 Security Philosophy</w:t>
      </w:r>
    </w:p>
    <w:p>
      <w:pPr>
        <w:spacing w:before="100" w:after="160" w:line="360"/>
        <w:jc w:val="both"/>
      </w:pPr>
      <w:r>
        <w:rPr>
          <w:rFonts w:ascii="Calibri" w:cs="Calibri" w:eastAsia="Calibri" w:hAnsi="Calibri"/>
          <w:b w:val="false"/>
          <w:bCs w:val="false"/>
          <w:i w:val="false"/>
          <w:iCs w:val="false"/>
          <w:color w:val="4A4A4A"/>
          <w:sz w:val="22"/>
          <w:szCs w:val="22"/>
        </w:rPr>
        <w:t xml:space="preserve">DVX was designed with institutional-grade security as a non-negotiable foundation. Every feature was evaluated not only for its utility but for its potential to be exploited. The result is a 15-layer security framework that addresses threats from multiple attack vectors including reentrancy, front-running, oracle manipulation, team token dumping, and administrative abuse.</w:t>
      </w:r>
    </w:p>
    <w:p>
      <w:pPr>
        <w:pStyle w:val="Heading2"/>
        <w:spacing w:before="280" w:after="100"/>
      </w:pPr>
      <w:r>
        <w:rPr>
          <w:rFonts w:ascii="Calibri" w:cs="Calibri" w:eastAsia="Calibri" w:hAnsi="Calibri"/>
          <w:b/>
          <w:bCs/>
          <w:color w:val="1A3A5C"/>
          <w:sz w:val="24"/>
          <w:szCs w:val="24"/>
        </w:rPr>
        <w:t xml:space="preserve">9.2 Security Features Matrix</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4000"/>
        <w:gridCol w:w="5360"/>
      </w:tblGrid>
      <w:tr>
        <w:tc>
          <w:tcPr>
            <w:tcW w:type="dxa" w:w="4000"/>
            <w:shd w:fill="0D1B2A" w:val="clear"/>
            <w:tcMar>
              <w:top w:type="dxa" w:w="100"/>
              <w:left w:type="dxa" w:w="200"/>
              <w:bottom w:type="dxa" w:w="100"/>
              <w:right w:type="dxa" w:w="200"/>
            </w:tcMar>
          </w:tcPr>
          <w:p>
            <w:r>
              <w:rPr>
                <w:rFonts w:ascii="Calibri" w:cs="Calibri" w:eastAsia="Calibri" w:hAnsi="Calibri"/>
                <w:b/>
                <w:bCs/>
                <w:color w:val="FFFFFF"/>
                <w:sz w:val="21"/>
                <w:szCs w:val="21"/>
              </w:rPr>
              <w:t xml:space="preserve">Security Feature</w:t>
            </w:r>
          </w:p>
        </w:tc>
        <w:tc>
          <w:tcPr>
            <w:tcW w:type="dxa" w:w="5360"/>
            <w:shd w:fill="1A3A5C" w:val="clear"/>
            <w:tcMar>
              <w:top w:type="dxa" w:w="100"/>
              <w:left w:type="dxa" w:w="200"/>
              <w:bottom w:type="dxa" w:w="100"/>
              <w:right w:type="dxa" w:w="200"/>
            </w:tcMar>
          </w:tcPr>
          <w:p>
            <w:r>
              <w:rPr>
                <w:rFonts w:ascii="Calibri" w:cs="Calibri" w:eastAsia="Calibri" w:hAnsi="Calibri"/>
                <w:b/>
                <w:bCs/>
                <w:color w:val="FFFFFF"/>
                <w:sz w:val="21"/>
                <w:szCs w:val="21"/>
              </w:rPr>
              <w:t xml:space="preserve">Description</w:t>
            </w:r>
          </w:p>
        </w:tc>
      </w:tr>
      <w:tr>
        <w:tc>
          <w:tcPr>
            <w:tcW w:type="dxa" w:w="4000"/>
            <w:shd w:fill="FFFFFF"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Minting Lock</w:t>
            </w:r>
          </w:p>
        </w:tc>
        <w:tc>
          <w:tcPr>
            <w:tcW w:type="dxa" w:w="5360"/>
            <w:shd w:fill="FFFFFF"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mintingFinished permanently set to true post-deploy</w:t>
            </w:r>
          </w:p>
        </w:tc>
      </w:tr>
      <w:tr>
        <w:tc>
          <w:tcPr>
            <w:tcW w:type="dxa" w:w="4000"/>
            <w:shd w:fill="F0F0F0"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Reentrancy Guard</w:t>
            </w:r>
          </w:p>
        </w:tc>
        <w:tc>
          <w:tcPr>
            <w:tcW w:type="dxa" w:w="5360"/>
            <w:shd w:fill="F0F0F0"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OpenZeppelin ReentrancyGuard on all external functions</w:t>
            </w:r>
          </w:p>
        </w:tc>
      </w:tr>
      <w:tr>
        <w:tc>
          <w:tcPr>
            <w:tcW w:type="dxa" w:w="4000"/>
            <w:shd w:fill="FFFFFF"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Emergency Pause</w:t>
            </w:r>
          </w:p>
        </w:tc>
        <w:tc>
          <w:tcPr>
            <w:tcW w:type="dxa" w:w="5360"/>
            <w:shd w:fill="FFFFFF"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Owner or Guardian can halt all transfers instantly</w:t>
            </w:r>
          </w:p>
        </w:tc>
      </w:tr>
      <w:tr>
        <w:tc>
          <w:tcPr>
            <w:tcW w:type="dxa" w:w="4000"/>
            <w:shd w:fill="F0F0F0"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Blacklist</w:t>
            </w:r>
          </w:p>
        </w:tc>
        <w:tc>
          <w:tcPr>
            <w:tcW w:type="dxa" w:w="5360"/>
            <w:shd w:fill="F0F0F0"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Block malicious addresses from sending or receiving</w:t>
            </w:r>
          </w:p>
        </w:tc>
      </w:tr>
      <w:tr>
        <w:tc>
          <w:tcPr>
            <w:tcW w:type="dxa" w:w="4000"/>
            <w:shd w:fill="FFFFFF"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2-Step Ownership</w:t>
            </w:r>
          </w:p>
        </w:tc>
        <w:tc>
          <w:tcPr>
            <w:tcW w:type="dxa" w:w="5360"/>
            <w:shd w:fill="FFFFFF"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New owner must call acceptOwnership() to confirm</w:t>
            </w:r>
          </w:p>
        </w:tc>
      </w:tr>
      <w:tr>
        <w:tc>
          <w:tcPr>
            <w:tcW w:type="dxa" w:w="4000"/>
            <w:shd w:fill="F0F0F0"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24-hr Timelock</w:t>
            </w:r>
          </w:p>
        </w:tc>
        <w:tc>
          <w:tcPr>
            <w:tcW w:type="dxa" w:w="5360"/>
            <w:shd w:fill="F0F0F0"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Fee and wallet changes require 24-hour delay</w:t>
            </w:r>
          </w:p>
        </w:tc>
      </w:tr>
      <w:tr>
        <w:tc>
          <w:tcPr>
            <w:tcW w:type="dxa" w:w="4000"/>
            <w:shd w:fill="FFFFFF"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48-hr Limit Timelock</w:t>
            </w:r>
          </w:p>
        </w:tc>
        <w:tc>
          <w:tcPr>
            <w:tcW w:type="dxa" w:w="5360"/>
            <w:shd w:fill="FFFFFF"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Limit removal requires 48-hour public notice</w:t>
            </w:r>
          </w:p>
        </w:tc>
      </w:tr>
      <w:tr>
        <w:tc>
          <w:tcPr>
            <w:tcW w:type="dxa" w:w="4000"/>
            <w:shd w:fill="F0F0F0"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Vesting Enforcement</w:t>
            </w:r>
          </w:p>
        </w:tc>
        <w:tc>
          <w:tcPr>
            <w:tcW w:type="dxa" w:w="5360"/>
            <w:shd w:fill="F0F0F0"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Team transfers blocked beyond vested amount</w:t>
            </w:r>
          </w:p>
        </w:tc>
      </w:tr>
      <w:tr>
        <w:tc>
          <w:tcPr>
            <w:tcW w:type="dxa" w:w="4000"/>
            <w:shd w:fill="FFFFFF"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5% Owner Sell Cap</w:t>
            </w:r>
          </w:p>
        </w:tc>
        <w:tc>
          <w:tcPr>
            <w:tcW w:type="dxa" w:w="5360"/>
            <w:shd w:fill="FFFFFF"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Owner cannot sell &gt; 5% of balance per transaction</w:t>
            </w:r>
          </w:p>
        </w:tc>
      </w:tr>
      <w:tr>
        <w:tc>
          <w:tcPr>
            <w:tcW w:type="dxa" w:w="4000"/>
            <w:shd w:fill="F0F0F0"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24-hr Sell Cooldown</w:t>
            </w:r>
          </w:p>
        </w:tc>
        <w:tc>
          <w:tcPr>
            <w:tcW w:type="dxa" w:w="5360"/>
            <w:shd w:fill="F0F0F0"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Owner must wait 24 hours between sell transactions</w:t>
            </w:r>
          </w:p>
        </w:tc>
      </w:tr>
      <w:tr>
        <w:tc>
          <w:tcPr>
            <w:tcW w:type="dxa" w:w="4000"/>
            <w:shd w:fill="FFFFFF"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LP Reserve Check</w:t>
            </w:r>
          </w:p>
        </w:tc>
        <w:tc>
          <w:tcPr>
            <w:tcW w:type="dxa" w:w="5360"/>
            <w:shd w:fill="FFFFFF"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Auto-swap skips if pool BNB &lt; minimum threshold</w:t>
            </w:r>
          </w:p>
        </w:tc>
      </w:tr>
      <w:tr>
        <w:tc>
          <w:tcPr>
            <w:tcW w:type="dxa" w:w="4000"/>
            <w:shd w:fill="F0F0F0"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90% Balance Rule</w:t>
            </w:r>
          </w:p>
        </w:tc>
        <w:tc>
          <w:tcPr>
            <w:tcW w:type="dxa" w:w="5360"/>
            <w:shd w:fill="F0F0F0"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Max 90% of balance transferable per transaction</w:t>
            </w:r>
          </w:p>
        </w:tc>
      </w:tr>
      <w:tr>
        <w:tc>
          <w:tcPr>
            <w:tcW w:type="dxa" w:w="4000"/>
            <w:shd w:fill="FFFFFF"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Staking Pool Guard</w:t>
            </w:r>
          </w:p>
        </w:tc>
        <w:tc>
          <w:tcPr>
            <w:tcW w:type="dxa" w:w="5360"/>
            <w:shd w:fill="FFFFFF"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Rewards only from surplus, never from staked principal</w:t>
            </w:r>
          </w:p>
        </w:tc>
      </w:tr>
      <w:tr>
        <w:tc>
          <w:tcPr>
            <w:tcW w:type="dxa" w:w="4000"/>
            <w:shd w:fill="F0F0F0"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Guardian System</w:t>
            </w:r>
          </w:p>
        </w:tc>
        <w:tc>
          <w:tcPr>
            <w:tcW w:type="dxa" w:w="5360"/>
            <w:shd w:fill="F0F0F0"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Dual-control for sensitive operations</w:t>
            </w:r>
          </w:p>
        </w:tc>
      </w:tr>
      <w:tr>
        <w:tc>
          <w:tcPr>
            <w:tcW w:type="dxa" w:w="4000"/>
            <w:shd w:fill="FFFFFF"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Oracle Auto-Pause</w:t>
            </w:r>
          </w:p>
        </w:tc>
        <w:tc>
          <w:tcPr>
            <w:tcW w:type="dxa" w:w="5360"/>
            <w:shd w:fill="FFFFFF"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Oracle pauses after 10 consecutive failures</w:t>
            </w:r>
          </w:p>
        </w:tc>
      </w:tr>
    </w:tbl>
    <w:p>
      <w:pPr>
        <w:pStyle w:val="Heading2"/>
        <w:spacing w:before="280" w:after="100"/>
      </w:pPr>
      <w:r>
        <w:rPr>
          <w:rFonts w:ascii="Calibri" w:cs="Calibri" w:eastAsia="Calibri" w:hAnsi="Calibri"/>
          <w:b/>
          <w:bCs/>
          <w:color w:val="1A3A5C"/>
          <w:sz w:val="24"/>
          <w:szCs w:val="24"/>
        </w:rPr>
        <w:t xml:space="preserve">9.3 Guardian System</w:t>
      </w:r>
    </w:p>
    <w:p>
      <w:pPr>
        <w:spacing w:before="100" w:after="160" w:line="360"/>
        <w:jc w:val="both"/>
      </w:pPr>
      <w:r>
        <w:rPr>
          <w:rFonts w:ascii="Calibri" w:cs="Calibri" w:eastAsia="Calibri" w:hAnsi="Calibri"/>
          <w:b w:val="false"/>
          <w:bCs w:val="false"/>
          <w:i w:val="false"/>
          <w:iCs w:val="false"/>
          <w:color w:val="4A4A4A"/>
          <w:sz w:val="22"/>
          <w:szCs w:val="22"/>
        </w:rPr>
        <w:t xml:space="preserve">DVX implements a guardian address with specific powers designed to complement (not override) the owner. The guardian can: pause/unpause the contract, pause/unpause the oracle, activate emergency static mode, cancel pending timelock actions, and approve sensitive one-time operations. All critical operations (manual swap, BNB withdrawal, ERC20 rescue) require explicit guardian approval via the guardianApproved flag, which is consumed after each use.</w:t>
      </w:r>
    </w:p>
    <w:p>
      <w:r>
        <w:br w:type="page"/>
      </w:r>
    </w:p>
    <w:p>
      <w:pPr>
        <w:pStyle w:val="Heading1"/>
        <w:spacing w:before="480" w:after="160"/>
      </w:pPr>
      <w:r>
        <w:rPr>
          <w:rFonts w:ascii="Calibri" w:cs="Calibri" w:eastAsia="Calibri" w:hAnsi="Calibri"/>
          <w:b/>
          <w:bCs/>
          <w:color w:val="0D1B2A"/>
          <w:sz w:val="30"/>
          <w:szCs w:val="30"/>
        </w:rPr>
        <w:t xml:space="preserve">10. GOVERNANCE &amp; TIMELOCK</w:t>
      </w:r>
    </w:p>
    <w:p>
      <w:pPr>
        <w:pBdr>
          <w:bottom w:val="single" w:color="C9A84C" w:sz="6" w:space="1"/>
        </w:pBdr>
        <w:spacing w:before="200" w:after="200"/>
      </w:pPr>
    </w:p>
    <w:p>
      <w:pPr>
        <w:pStyle w:val="Heading2"/>
        <w:spacing w:before="280" w:after="100"/>
      </w:pPr>
      <w:r>
        <w:rPr>
          <w:rFonts w:ascii="Calibri" w:cs="Calibri" w:eastAsia="Calibri" w:hAnsi="Calibri"/>
          <w:b/>
          <w:bCs/>
          <w:color w:val="1A3A5C"/>
          <w:sz w:val="24"/>
          <w:szCs w:val="24"/>
        </w:rPr>
        <w:t xml:space="preserve">10.1 Timelock System</w:t>
      </w:r>
    </w:p>
    <w:p>
      <w:pPr>
        <w:spacing w:before="100" w:after="160" w:line="360"/>
        <w:jc w:val="both"/>
      </w:pPr>
      <w:r>
        <w:rPr>
          <w:rFonts w:ascii="Calibri" w:cs="Calibri" w:eastAsia="Calibri" w:hAnsi="Calibri"/>
          <w:b w:val="false"/>
          <w:bCs w:val="false"/>
          <w:i w:val="false"/>
          <w:iCs w:val="false"/>
          <w:color w:val="4A4A4A"/>
          <w:sz w:val="22"/>
          <w:szCs w:val="22"/>
        </w:rPr>
        <w:t xml:space="preserve">All critical protocol parameter changes are subject to mandatory on-chain timelocks. This means that any change to fee rates, recipient wallets, or the oracle contract is publicly visible on the blockchain for a waiting period before it takes effect. Any community member can monitor pending timelock actions and react accordingly.</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4000"/>
        <w:gridCol w:w="5360"/>
      </w:tblGrid>
      <w:tr>
        <w:tc>
          <w:tcPr>
            <w:tcW w:type="dxa" w:w="4000"/>
            <w:shd w:fill="0D1B2A" w:val="clear"/>
            <w:tcMar>
              <w:top w:type="dxa" w:w="100"/>
              <w:left w:type="dxa" w:w="200"/>
              <w:bottom w:type="dxa" w:w="100"/>
              <w:right w:type="dxa" w:w="200"/>
            </w:tcMar>
          </w:tcPr>
          <w:p>
            <w:r>
              <w:rPr>
                <w:rFonts w:ascii="Calibri" w:cs="Calibri" w:eastAsia="Calibri" w:hAnsi="Calibri"/>
                <w:b/>
                <w:bCs/>
                <w:color w:val="FFFFFF"/>
                <w:sz w:val="21"/>
                <w:szCs w:val="21"/>
              </w:rPr>
              <w:t xml:space="preserve">Action</w:t>
            </w:r>
          </w:p>
        </w:tc>
        <w:tc>
          <w:tcPr>
            <w:tcW w:type="dxa" w:w="5360"/>
            <w:shd w:fill="1A3A5C" w:val="clear"/>
            <w:tcMar>
              <w:top w:type="dxa" w:w="100"/>
              <w:left w:type="dxa" w:w="200"/>
              <w:bottom w:type="dxa" w:w="100"/>
              <w:right w:type="dxa" w:w="200"/>
            </w:tcMar>
          </w:tcPr>
          <w:p>
            <w:r>
              <w:rPr>
                <w:rFonts w:ascii="Calibri" w:cs="Calibri" w:eastAsia="Calibri" w:hAnsi="Calibri"/>
                <w:b/>
                <w:bCs/>
                <w:color w:val="FFFFFF"/>
                <w:sz w:val="21"/>
                <w:szCs w:val="21"/>
              </w:rPr>
              <w:t xml:space="preserve">Timelock</w:t>
            </w:r>
          </w:p>
        </w:tc>
      </w:tr>
      <w:tr>
        <w:tc>
          <w:tcPr>
            <w:tcW w:type="dxa" w:w="4000"/>
            <w:shd w:fill="FFFFFF"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Buy fee adjustment</w:t>
            </w:r>
          </w:p>
        </w:tc>
        <w:tc>
          <w:tcPr>
            <w:tcW w:type="dxa" w:w="5360"/>
            <w:shd w:fill="FFFFFF"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24 hours</w:t>
            </w:r>
          </w:p>
        </w:tc>
      </w:tr>
      <w:tr>
        <w:tc>
          <w:tcPr>
            <w:tcW w:type="dxa" w:w="4000"/>
            <w:shd w:fill="F0F0F0"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Sell fee adjustment</w:t>
            </w:r>
          </w:p>
        </w:tc>
        <w:tc>
          <w:tcPr>
            <w:tcW w:type="dxa" w:w="5360"/>
            <w:shd w:fill="F0F0F0"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24 hours</w:t>
            </w:r>
          </w:p>
        </w:tc>
      </w:tr>
      <w:tr>
        <w:tc>
          <w:tcPr>
            <w:tcW w:type="dxa" w:w="4000"/>
            <w:shd w:fill="FFFFFF"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Marketing wallet change</w:t>
            </w:r>
          </w:p>
        </w:tc>
        <w:tc>
          <w:tcPr>
            <w:tcW w:type="dxa" w:w="5360"/>
            <w:shd w:fill="FFFFFF"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24 hours</w:t>
            </w:r>
          </w:p>
        </w:tc>
      </w:tr>
      <w:tr>
        <w:tc>
          <w:tcPr>
            <w:tcW w:type="dxa" w:w="4000"/>
            <w:shd w:fill="F0F0F0"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Development wallet change</w:t>
            </w:r>
          </w:p>
        </w:tc>
        <w:tc>
          <w:tcPr>
            <w:tcW w:type="dxa" w:w="5360"/>
            <w:shd w:fill="F0F0F0"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24 hours</w:t>
            </w:r>
          </w:p>
        </w:tc>
      </w:tr>
      <w:tr>
        <w:tc>
          <w:tcPr>
            <w:tcW w:type="dxa" w:w="4000"/>
            <w:shd w:fill="FFFFFF"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Oracle contract update</w:t>
            </w:r>
          </w:p>
        </w:tc>
        <w:tc>
          <w:tcPr>
            <w:tcW w:type="dxa" w:w="5360"/>
            <w:shd w:fill="FFFFFF"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24 hours</w:t>
            </w:r>
          </w:p>
        </w:tc>
      </w:tr>
      <w:tr>
        <w:tc>
          <w:tcPr>
            <w:tcW w:type="dxa" w:w="4000"/>
            <w:shd w:fill="F0F0F0"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Remove transaction limits</w:t>
            </w:r>
          </w:p>
        </w:tc>
        <w:tc>
          <w:tcPr>
            <w:tcW w:type="dxa" w:w="5360"/>
            <w:shd w:fill="F0F0F0"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48 hours</w:t>
            </w:r>
          </w:p>
        </w:tc>
      </w:tr>
      <w:tr>
        <w:tc>
          <w:tcPr>
            <w:tcW w:type="dxa" w:w="4000"/>
            <w:shd w:fill="FFFFFF"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Cancel any timelock</w:t>
            </w:r>
          </w:p>
        </w:tc>
        <w:tc>
          <w:tcPr>
            <w:tcW w:type="dxa" w:w="5360"/>
            <w:shd w:fill="FFFFFF"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Immediate</w:t>
            </w:r>
          </w:p>
        </w:tc>
      </w:tr>
    </w:tbl>
    <w:p>
      <w:pPr>
        <w:pStyle w:val="Heading2"/>
        <w:spacing w:before="280" w:after="100"/>
      </w:pPr>
      <w:r>
        <w:rPr>
          <w:rFonts w:ascii="Calibri" w:cs="Calibri" w:eastAsia="Calibri" w:hAnsi="Calibri"/>
          <w:b/>
          <w:bCs/>
          <w:color w:val="1A3A5C"/>
          <w:sz w:val="24"/>
          <w:szCs w:val="24"/>
        </w:rPr>
        <w:t xml:space="preserve">10.2 Fee Caps — Permanent Hard Limits</w:t>
      </w:r>
    </w:p>
    <w:p>
      <w:pPr>
        <w:spacing w:before="100" w:after="160" w:line="360"/>
        <w:jc w:val="both"/>
      </w:pPr>
      <w:r>
        <w:rPr>
          <w:rFonts w:ascii="Calibri" w:cs="Calibri" w:eastAsia="Calibri" w:hAnsi="Calibri"/>
          <w:b w:val="false"/>
          <w:bCs w:val="false"/>
          <w:i w:val="false"/>
          <w:iCs w:val="false"/>
          <w:color w:val="4A4A4A"/>
          <w:sz w:val="22"/>
          <w:szCs w:val="22"/>
        </w:rPr>
        <w:t xml:space="preserve">Even after a timelock expires and a fee change is executed, the smart contract enforces absolute fee caps that cannot be removed by any administrative action:</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Maximum buy fee: 10% (1,000 basis points). Any proposed change exceeding this reverts</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Maximum sell fee: 12% (1,200 basis points). Any proposed change exceeding this reverts</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Maximum transfer fee: 5%. Enforced independently in the setTransferFee() function</w:t>
      </w:r>
    </w:p>
    <w:p>
      <w:pPr>
        <w:pStyle w:val="Heading2"/>
        <w:spacing w:before="280" w:after="100"/>
      </w:pPr>
      <w:r>
        <w:rPr>
          <w:rFonts w:ascii="Calibri" w:cs="Calibri" w:eastAsia="Calibri" w:hAnsi="Calibri"/>
          <w:b/>
          <w:bCs/>
          <w:color w:val="1A3A5C"/>
          <w:sz w:val="24"/>
          <w:szCs w:val="24"/>
        </w:rPr>
        <w:t xml:space="preserve">10.3 Community Oversight</w:t>
      </w:r>
    </w:p>
    <w:p>
      <w:pPr>
        <w:spacing w:before="100" w:after="160" w:line="360"/>
        <w:jc w:val="both"/>
      </w:pPr>
      <w:r>
        <w:rPr>
          <w:rFonts w:ascii="Calibri" w:cs="Calibri" w:eastAsia="Calibri" w:hAnsi="Calibri"/>
          <w:b w:val="false"/>
          <w:bCs w:val="false"/>
          <w:i w:val="false"/>
          <w:iCs w:val="false"/>
          <w:color w:val="4A4A4A"/>
          <w:sz w:val="22"/>
          <w:szCs w:val="22"/>
        </w:rPr>
        <w:t xml:space="preserve">Because all timelock actions are on-chain events with associated events emitted to the BSC blockchain, any community member with access to a blockchain explorer (such as BscScan) can monitor pending changes in real time. The DVX team is committed to communicating all proposed changes through the official DVX Telegram, Discord, and Twitter channels at least 48 hours before queuing any timelock action.</w:t>
      </w:r>
    </w:p>
    <w:p>
      <w:pPr>
        <w:pStyle w:val="Heading2"/>
        <w:spacing w:before="280" w:after="100"/>
      </w:pPr>
      <w:r>
        <w:rPr>
          <w:rFonts w:ascii="Calibri" w:cs="Calibri" w:eastAsia="Calibri" w:hAnsi="Calibri"/>
          <w:b/>
          <w:bCs/>
          <w:color w:val="1A3A5C"/>
          <w:sz w:val="24"/>
          <w:szCs w:val="24"/>
        </w:rPr>
        <w:t xml:space="preserve">10.4 Path to DAO</w:t>
      </w:r>
    </w:p>
    <w:p>
      <w:pPr>
        <w:spacing w:before="100" w:after="160" w:line="360"/>
        <w:jc w:val="both"/>
      </w:pPr>
      <w:r>
        <w:rPr>
          <w:rFonts w:ascii="Calibri" w:cs="Calibri" w:eastAsia="Calibri" w:hAnsi="Calibri"/>
          <w:b w:val="false"/>
          <w:bCs w:val="false"/>
          <w:i w:val="false"/>
          <w:iCs w:val="false"/>
          <w:color w:val="4A4A4A"/>
          <w:sz w:val="22"/>
          <w:szCs w:val="22"/>
        </w:rPr>
        <w:t xml:space="preserve">Phase 4 of the DVX roadmap targets the transition from founder-led governance to a DVX Governance DAO. Under this model, DVX token holders will vote on protocol parameters, fee structures, staking APY rates, and treasury allocations. The timelock system already in place provides the technical foundation for this transition — governance votes will simply replace owner signatures as the initiator of timelock actions.</w:t>
      </w:r>
    </w:p>
    <w:p>
      <w:r>
        <w:br w:type="page"/>
      </w:r>
    </w:p>
    <w:p>
      <w:pPr>
        <w:pStyle w:val="Heading1"/>
        <w:spacing w:before="480" w:after="160"/>
      </w:pPr>
      <w:r>
        <w:rPr>
          <w:rFonts w:ascii="Calibri" w:cs="Calibri" w:eastAsia="Calibri" w:hAnsi="Calibri"/>
          <w:b/>
          <w:bCs/>
          <w:color w:val="0D1B2A"/>
          <w:sz w:val="30"/>
          <w:szCs w:val="30"/>
        </w:rPr>
        <w:t xml:space="preserve">11. ROADMAP</w:t>
      </w:r>
    </w:p>
    <w:p>
      <w:pPr>
        <w:pBdr>
          <w:bottom w:val="single" w:color="C9A84C" w:sz="6" w:space="1"/>
        </w:pBdr>
        <w:spacing w:before="200" w:after="200"/>
      </w:pPr>
    </w:p>
    <w:p>
      <w:pPr>
        <w:pStyle w:val="Heading2"/>
        <w:spacing w:before="280" w:after="100"/>
      </w:pPr>
      <w:r>
        <w:rPr>
          <w:rFonts w:ascii="Calibri" w:cs="Calibri" w:eastAsia="Calibri" w:hAnsi="Calibri"/>
          <w:b/>
          <w:bCs/>
          <w:color w:val="1A3A5C"/>
          <w:sz w:val="24"/>
          <w:szCs w:val="24"/>
        </w:rPr>
        <w:t xml:space="preserve">Phase 1 — Foundation (Q1–Q2 2025)</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Smart contract development and testing complete (DVX Token v12.0 + DVX Oracle v4.0)</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OpenZeppelin v5 integration verified</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BSC Testnet deployment and full test suite execution</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Security framework implementation and internal review</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White paper publication (this document)</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Website launch at www.dvx.org</w:t>
      </w:r>
    </w:p>
    <w:p>
      <w:pPr>
        <w:pStyle w:val="Heading2"/>
        <w:spacing w:before="280" w:after="100"/>
      </w:pPr>
      <w:r>
        <w:rPr>
          <w:rFonts w:ascii="Calibri" w:cs="Calibri" w:eastAsia="Calibri" w:hAnsi="Calibri"/>
          <w:b/>
          <w:bCs/>
          <w:color w:val="1A3A5C"/>
          <w:sz w:val="24"/>
          <w:szCs w:val="24"/>
        </w:rPr>
        <w:t xml:space="preserve">Phase 2 — BSC Mainnet Launch (Q3 2025)</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BSC Mainnet deployment of DVX Token and DVX Oracle</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PancakeSwap V2 liquidity pool creation and initial liquidity provision</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Chainlink oracle activation — first Global Export-Import Index fetch</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Trading enabled — launch phase (30-minute flat-tax window)</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Staking system activation</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CoinGecko and CoinMarketCap listing applications</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Community building: Telegram, Discord, Twitter</w:t>
      </w:r>
    </w:p>
    <w:p>
      <w:pPr>
        <w:pStyle w:val="Heading2"/>
        <w:spacing w:before="280" w:after="100"/>
      </w:pPr>
      <w:r>
        <w:rPr>
          <w:rFonts w:ascii="Calibri" w:cs="Calibri" w:eastAsia="Calibri" w:hAnsi="Calibri"/>
          <w:b/>
          <w:bCs/>
          <w:color w:val="1A3A5C"/>
          <w:sz w:val="24"/>
          <w:szCs w:val="24"/>
        </w:rPr>
        <w:t xml:space="preserve">Phase 3 — Ecosystem Expansion (Q4 2025)</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Independent smart contract security audit from a Tier 1 audit firm</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Cross-chain bridge feasibility study (Ethereum, Polygon)</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DVX Staking Dashboard web application (app.dvx.org)</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CEX exchange listing applications (Tier 2 and Tier 3 exchanges)</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Partnership announcements with complementary DeFi protocols</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Marketing campaign: 100,000 DVX holder target</w:t>
      </w:r>
    </w:p>
    <w:p>
      <w:pPr>
        <w:pStyle w:val="Heading2"/>
        <w:spacing w:before="280" w:after="100"/>
      </w:pPr>
      <w:r>
        <w:rPr>
          <w:rFonts w:ascii="Calibri" w:cs="Calibri" w:eastAsia="Calibri" w:hAnsi="Calibri"/>
          <w:b/>
          <w:bCs/>
          <w:color w:val="1A3A5C"/>
          <w:sz w:val="24"/>
          <w:szCs w:val="24"/>
        </w:rPr>
        <w:t xml:space="preserve">Phase 4 — Governance &amp; Maturity (2026)</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DVX Governance DAO deployment</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Token holder voting on protocol parameters</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Treasury diversification strategy</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Multi-chain deployment (Ethereum, Base, Arbitrum)</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Tier 1 CEX listing applications</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DVX Foundation establishment for long-term ecosystem development</w:t>
      </w:r>
    </w:p>
    <w:p>
      <w:r>
        <w:br w:type="page"/>
      </w:r>
    </w:p>
    <w:p>
      <w:pPr>
        <w:pStyle w:val="Heading1"/>
        <w:spacing w:before="480" w:after="160"/>
      </w:pPr>
      <w:r>
        <w:rPr>
          <w:rFonts w:ascii="Calibri" w:cs="Calibri" w:eastAsia="Calibri" w:hAnsi="Calibri"/>
          <w:b/>
          <w:bCs/>
          <w:color w:val="0D1B2A"/>
          <w:sz w:val="30"/>
          <w:szCs w:val="30"/>
        </w:rPr>
        <w:t xml:space="preserve">12. LEGAL DISCLAIMER &amp; TERMS OF USE</w:t>
      </w:r>
    </w:p>
    <w:p>
      <w:pPr>
        <w:pBdr>
          <w:bottom w:val="single" w:color="C9A84C" w:sz="6" w:space="1"/>
        </w:pBdr>
        <w:spacing w:before="200" w:after="200"/>
      </w:pPr>
    </w:p>
    <w:p>
      <w:pPr>
        <w:pStyle w:val="Heading2"/>
        <w:spacing w:before="280" w:after="100"/>
      </w:pPr>
      <w:r>
        <w:rPr>
          <w:rFonts w:ascii="Calibri" w:cs="Calibri" w:eastAsia="Calibri" w:hAnsi="Calibri"/>
          <w:b/>
          <w:bCs/>
          <w:color w:val="1A3A5C"/>
          <w:sz w:val="24"/>
          <w:szCs w:val="24"/>
        </w:rPr>
        <w:t xml:space="preserve">12.1 Important Disclaimer</w:t>
      </w:r>
    </w:p>
    <w:p>
      <w:pPr>
        <w:spacing w:before="100" w:after="160" w:line="360"/>
        <w:jc w:val="both"/>
      </w:pPr>
      <w:r>
        <w:rPr>
          <w:rFonts w:ascii="Calibri" w:cs="Calibri" w:eastAsia="Calibri" w:hAnsi="Calibri"/>
          <w:b/>
          <w:bCs/>
          <w:i w:val="false"/>
          <w:iCs w:val="false"/>
          <w:color w:val="4A4A4A"/>
          <w:sz w:val="22"/>
          <w:szCs w:val="22"/>
        </w:rPr>
        <w:t xml:space="preserve">THIS WHITE PAPER IS FOR INFORMATIONAL PURPOSES ONLY AND DOES NOT CONSTITUTE FINANCIAL, INVESTMENT, LEGAL, OR TAX ADVICE. THE INFORMATION CONTAINED HEREIN IS SUBJECT TO CHANGE WITHOUT NOTICE. PURCHASING, HOLDING, OR TRADING DVX TOKENS INVOLVES SIGNIFICANT RISK, INCLUDING THE POTENTIAL LOSS OF ALL CAPITAL INVESTED.</w:t>
      </w:r>
    </w:p>
    <w:p>
      <w:pPr>
        <w:spacing w:before="100" w:after="160" w:line="360"/>
        <w:jc w:val="both"/>
      </w:pPr>
      <w:r>
        <w:rPr>
          <w:rFonts w:ascii="Calibri" w:cs="Calibri" w:eastAsia="Calibri" w:hAnsi="Calibri"/>
          <w:b w:val="false"/>
          <w:bCs w:val="false"/>
          <w:i w:val="false"/>
          <w:iCs w:val="false"/>
          <w:color w:val="4A4A4A"/>
          <w:sz w:val="22"/>
          <w:szCs w:val="22"/>
        </w:rPr>
        <w:t xml:space="preserve">DVX tokens are utility tokens designed to provide access to the DVX ecosystem services. They are not securities, investment contracts, or financial instruments regulated under any securities law. The DVX team makes no representations or warranties regarding the future value of DVX tokens. Past performance of any cryptocurrency is not indicative of future results.</w:t>
      </w:r>
    </w:p>
    <w:p>
      <w:pPr>
        <w:pStyle w:val="Heading2"/>
        <w:spacing w:before="280" w:after="100"/>
      </w:pPr>
      <w:r>
        <w:rPr>
          <w:rFonts w:ascii="Calibri" w:cs="Calibri" w:eastAsia="Calibri" w:hAnsi="Calibri"/>
          <w:b/>
          <w:bCs/>
          <w:color w:val="1A3A5C"/>
          <w:sz w:val="24"/>
          <w:szCs w:val="24"/>
        </w:rPr>
        <w:t xml:space="preserve">12.2 DVX Terms of Use</w:t>
      </w:r>
    </w:p>
    <w:p>
      <w:pPr>
        <w:spacing w:before="120" w:after="60"/>
      </w:pPr>
      <w:r>
        <w:rPr>
          <w:rFonts w:ascii="Calibri" w:cs="Calibri" w:eastAsia="Calibri" w:hAnsi="Calibri"/>
          <w:b/>
          <w:bCs/>
          <w:color w:val="0D1B2A"/>
          <w:sz w:val="25"/>
          <w:szCs w:val="25"/>
        </w:rPr>
        <w:t xml:space="preserve">DVX Token — Terms of Use</w:t>
      </w:r>
    </w:p>
    <w:p>
      <w:pPr>
        <w:spacing w:before="60" w:after="120"/>
      </w:pPr>
      <w:r>
        <w:rPr>
          <w:rFonts w:ascii="Calibri" w:cs="Calibri" w:eastAsia="Calibri" w:hAnsi="Calibri"/>
          <w:i/>
          <w:iCs/>
          <w:color w:val="4A4A4A"/>
          <w:sz w:val="20"/>
          <w:szCs w:val="20"/>
        </w:rPr>
        <w:t xml:space="preserve">Effective Date: January 1, 2025  |  Website: www.dvx.org</w:t>
      </w:r>
    </w:p>
    <w:p>
      <w:pPr>
        <w:spacing w:before="100" w:after="160" w:line="360"/>
        <w:jc w:val="both"/>
      </w:pPr>
      <w:r>
        <w:rPr>
          <w:rFonts w:ascii="Calibri" w:cs="Calibri" w:eastAsia="Calibri" w:hAnsi="Calibri"/>
          <w:b w:val="false"/>
          <w:bCs w:val="false"/>
          <w:i w:val="false"/>
          <w:iCs w:val="false"/>
          <w:color w:val="4A4A4A"/>
          <w:sz w:val="22"/>
          <w:szCs w:val="22"/>
        </w:rPr>
        <w:t xml:space="preserve">Welcome to DVX (DataVaultX Token). These Terms of Use ("Terms") govern your access to and use of the DVX Token ecosystem, including the smart contracts deployed on the BNB Smart Chain, the website at www.dvx.org, any associated applications, and all related services (collectively, the "Service"). "DVX," "we," "us," and "our" refer to the DVX project and its founding team. "You" refers to you, as a user of the Service.</w:t>
      </w:r>
    </w:p>
    <w:p>
      <w:pPr>
        <w:spacing w:before="100" w:after="160" w:line="360"/>
        <w:jc w:val="both"/>
      </w:pPr>
      <w:r>
        <w:rPr>
          <w:rFonts w:ascii="Calibri" w:cs="Calibri" w:eastAsia="Calibri" w:hAnsi="Calibri"/>
          <w:b w:val="false"/>
          <w:bCs w:val="false"/>
          <w:i w:val="false"/>
          <w:iCs w:val="false"/>
          <w:color w:val="4A4A4A"/>
          <w:sz w:val="22"/>
          <w:szCs w:val="22"/>
        </w:rPr>
        <w:t xml:space="preserve">By accessing or using the Service, you acknowledge that you have read, understood, and agree to be bound by these Terms. If you do not agree with any part of these Terms, you must not access or use the Service.</w:t>
      </w:r>
    </w:p>
    <w:p>
      <w:pPr>
        <w:spacing w:before="160" w:after="60"/>
      </w:pPr>
      <w:r>
        <w:rPr>
          <w:rFonts w:ascii="Calibri" w:cs="Calibri" w:eastAsia="Calibri" w:hAnsi="Calibri"/>
          <w:b/>
          <w:bCs/>
          <w:color w:val="1A3A5C"/>
          <w:sz w:val="22"/>
          <w:szCs w:val="22"/>
        </w:rPr>
        <w:t xml:space="preserve">A. PRIVACY POLICY</w:t>
      </w:r>
    </w:p>
    <w:p>
      <w:pPr>
        <w:spacing w:before="100" w:after="160" w:line="360"/>
        <w:jc w:val="both"/>
      </w:pPr>
      <w:r>
        <w:rPr>
          <w:rFonts w:ascii="Calibri" w:cs="Calibri" w:eastAsia="Calibri" w:hAnsi="Calibri"/>
          <w:b w:val="false"/>
          <w:bCs w:val="false"/>
          <w:i w:val="false"/>
          <w:iCs w:val="false"/>
          <w:color w:val="4A4A4A"/>
          <w:sz w:val="22"/>
          <w:szCs w:val="22"/>
        </w:rPr>
        <w:t xml:space="preserve">The DVX project respects the privacy of all users. Our Privacy Policy (available at www.dvx.org/privacy) describes how we collect, use, and protect information. By using the Service, you agree to the Privacy Policy. DVX does not collect personally identifiable information beyond what is voluntarily provided (such as email addresses for community updates). Blockchain transaction data is public by nature and is not controlled by DVX.</w:t>
      </w:r>
    </w:p>
    <w:p>
      <w:pPr>
        <w:spacing w:before="160" w:after="60"/>
      </w:pPr>
      <w:r>
        <w:rPr>
          <w:rFonts w:ascii="Calibri" w:cs="Calibri" w:eastAsia="Calibri" w:hAnsi="Calibri"/>
          <w:b/>
          <w:bCs/>
          <w:color w:val="1A3A5C"/>
          <w:sz w:val="22"/>
          <w:szCs w:val="22"/>
        </w:rPr>
        <w:t xml:space="preserve">B. ABOUT THE SERVICE</w:t>
      </w:r>
    </w:p>
    <w:p>
      <w:pPr>
        <w:spacing w:before="100" w:after="160" w:line="360"/>
        <w:jc w:val="both"/>
      </w:pPr>
      <w:r>
        <w:rPr>
          <w:rFonts w:ascii="Calibri" w:cs="Calibri" w:eastAsia="Calibri" w:hAnsi="Calibri"/>
          <w:b w:val="false"/>
          <w:bCs w:val="false"/>
          <w:i w:val="false"/>
          <w:iCs w:val="false"/>
          <w:color w:val="4A4A4A"/>
          <w:sz w:val="22"/>
          <w:szCs w:val="22"/>
        </w:rPr>
        <w:t xml:space="preserve">The DVX Service enables users to: (i) purchase and hold DVX tokens on the BNB Smart Chain; (ii) participate in the DVX staking system to earn yield; (iii) trade DVX tokens on PancakeSwap V2; (iv) access real-time Global Export-Import Index data via the DVX Oracle dashboard; and (v) participate in DVX governance as it becomes available.</w:t>
      </w:r>
    </w:p>
    <w:p>
      <w:pPr>
        <w:spacing w:before="160" w:after="60"/>
      </w:pPr>
      <w:r>
        <w:rPr>
          <w:rFonts w:ascii="Calibri" w:cs="Calibri" w:eastAsia="Calibri" w:hAnsi="Calibri"/>
          <w:b/>
          <w:bCs/>
          <w:color w:val="1A3A5C"/>
          <w:sz w:val="22"/>
          <w:szCs w:val="22"/>
        </w:rPr>
        <w:t xml:space="preserve">C. ELIGIBILITY</w:t>
      </w:r>
    </w:p>
    <w:p>
      <w:pPr>
        <w:spacing w:before="100" w:after="160" w:line="360"/>
        <w:jc w:val="both"/>
      </w:pPr>
      <w:r>
        <w:rPr>
          <w:rFonts w:ascii="Calibri" w:cs="Calibri" w:eastAsia="Calibri" w:hAnsi="Calibri"/>
          <w:b w:val="false"/>
          <w:bCs w:val="false"/>
          <w:i w:val="false"/>
          <w:iCs w:val="false"/>
          <w:color w:val="4A4A4A"/>
          <w:sz w:val="22"/>
          <w:szCs w:val="22"/>
        </w:rPr>
        <w:t xml:space="preserve">You must be at least 18 years of age and legally permitted to engage in cryptocurrency transactions in your jurisdiction to use the Service. By using the Service, you represent and warrant that you meet these requirements. Users from jurisdictions where cryptocurrency trading is prohibited (including but not limited to: certain provinces of China, certain U.S. regulatory regimes without applicable exemptions, and countries on international sanctions lists) are expressly prohibited from using the Service.</w:t>
      </w:r>
    </w:p>
    <w:p>
      <w:pPr>
        <w:spacing w:before="160" w:after="60"/>
      </w:pPr>
      <w:r>
        <w:rPr>
          <w:rFonts w:ascii="Calibri" w:cs="Calibri" w:eastAsia="Calibri" w:hAnsi="Calibri"/>
          <w:b/>
          <w:bCs/>
          <w:color w:val="1A3A5C"/>
          <w:sz w:val="22"/>
          <w:szCs w:val="22"/>
        </w:rPr>
        <w:t xml:space="preserve">D. USE RESTRICTIONS</w:t>
      </w:r>
    </w:p>
    <w:p>
      <w:pPr>
        <w:spacing w:before="100" w:after="160" w:line="360"/>
        <w:jc w:val="both"/>
      </w:pPr>
      <w:r>
        <w:rPr>
          <w:rFonts w:ascii="Calibri" w:cs="Calibri" w:eastAsia="Calibri" w:hAnsi="Calibri"/>
          <w:b w:val="false"/>
          <w:bCs w:val="false"/>
          <w:i w:val="false"/>
          <w:iCs w:val="false"/>
          <w:color w:val="4A4A4A"/>
          <w:sz w:val="22"/>
          <w:szCs w:val="22"/>
        </w:rPr>
        <w:t xml:space="preserve">You agree that you will NOT under any circumstances:</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Use the Service for any unlawful purpose, including money laundering, fraud, or financing terrorism</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Attempt to exploit, hack, or manipulate the DVX smart contracts or oracle system</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Use automated bots or scripts to manipulate token prices or gaming staking rewards</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Impersonate DVX team members or create fake DVX websites or social media accounts</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Distribute false information about DVX that is intended to harm the project or its users</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Attempt to circumvent the anti-dump protection, vesting enforcement, or blacklist mechanisms</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Use the Service in any way that violates applicable laws or regulations in your jurisdiction</w:t>
      </w:r>
    </w:p>
    <w:p>
      <w:pPr>
        <w:spacing w:before="160" w:after="60"/>
      </w:pPr>
      <w:r>
        <w:rPr>
          <w:rFonts w:ascii="Calibri" w:cs="Calibri" w:eastAsia="Calibri" w:hAnsi="Calibri"/>
          <w:b/>
          <w:bCs/>
          <w:color w:val="1A3A5C"/>
          <w:sz w:val="22"/>
          <w:szCs w:val="22"/>
        </w:rPr>
        <w:t xml:space="preserve">E. INVESTMENT RISKS</w:t>
      </w:r>
    </w:p>
    <w:p>
      <w:pPr>
        <w:spacing w:before="100" w:after="160" w:line="360"/>
        <w:jc w:val="both"/>
      </w:pPr>
      <w:r>
        <w:rPr>
          <w:rFonts w:ascii="Calibri" w:cs="Calibri" w:eastAsia="Calibri" w:hAnsi="Calibri"/>
          <w:b w:val="false"/>
          <w:bCs w:val="false"/>
          <w:i w:val="false"/>
          <w:iCs w:val="false"/>
          <w:color w:val="4A4A4A"/>
          <w:sz w:val="22"/>
          <w:szCs w:val="22"/>
        </w:rPr>
        <w:t xml:space="preserve">DVX tokens are highly speculative digital assets. The value of DVX tokens may fluctuate significantly and you may lose all of your investment. The following risks, among others, may affect the value and utility of DVX tokens:</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Market risk: Cryptocurrency markets are highly volatile and subject to sudden price swings</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Regulatory risk: Changes in applicable laws or regulations may adversely affect DVX</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Smart contract risk: Despite rigorous development, smart contracts may contain undiscovered vulnerabilities</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Oracle risk: The Chainlink oracle may experience downtime, which triggers the auto-pause mechanism</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Liquidity risk: DVX may trade in thin markets, making large positions difficult to exit</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Technology risk: BSC network outages, forks, or upgrades may temporarily affect service</w:t>
      </w:r>
    </w:p>
    <w:p>
      <w:pPr>
        <w:spacing w:before="160" w:after="60"/>
      </w:pPr>
      <w:r>
        <w:rPr>
          <w:rFonts w:ascii="Calibri" w:cs="Calibri" w:eastAsia="Calibri" w:hAnsi="Calibri"/>
          <w:b/>
          <w:bCs/>
          <w:color w:val="1A3A5C"/>
          <w:sz w:val="22"/>
          <w:szCs w:val="22"/>
        </w:rPr>
        <w:t xml:space="preserve">F. INTELLECTUAL PROPERTY</w:t>
      </w:r>
    </w:p>
    <w:p>
      <w:pPr>
        <w:spacing w:before="100" w:after="160" w:line="360"/>
        <w:jc w:val="both"/>
      </w:pPr>
      <w:r>
        <w:rPr>
          <w:rFonts w:ascii="Calibri" w:cs="Calibri" w:eastAsia="Calibri" w:hAnsi="Calibri"/>
          <w:b w:val="false"/>
          <w:bCs w:val="false"/>
          <w:i w:val="false"/>
          <w:iCs w:val="false"/>
          <w:color w:val="4A4A4A"/>
          <w:sz w:val="22"/>
          <w:szCs w:val="22"/>
        </w:rPr>
        <w:t xml:space="preserve">All intellectual property rights related to the DVX project — including but not limited to the smart contract code (published under MIT License), this white paper, the DVX brand and logo, and the website content — are owned by the DVX founding team. The smart contract source code is published under the MIT open-source license, meaning you may use, copy, and modify it for lawful purposes. The DVX brand name, logo, and white paper content may not be reproduced for commercial purposes without written permission.</w:t>
      </w:r>
    </w:p>
    <w:p>
      <w:pPr>
        <w:spacing w:before="160" w:after="60"/>
      </w:pPr>
      <w:r>
        <w:rPr>
          <w:rFonts w:ascii="Calibri" w:cs="Calibri" w:eastAsia="Calibri" w:hAnsi="Calibri"/>
          <w:b/>
          <w:bCs/>
          <w:color w:val="1A3A5C"/>
          <w:sz w:val="22"/>
          <w:szCs w:val="22"/>
        </w:rPr>
        <w:t xml:space="preserve">G. WARRANTY DISCLAIMER</w:t>
      </w:r>
    </w:p>
    <w:p>
      <w:pPr>
        <w:spacing w:before="100" w:after="160" w:line="360"/>
        <w:jc w:val="both"/>
      </w:pPr>
      <w:r>
        <w:rPr>
          <w:rFonts w:ascii="Calibri" w:cs="Calibri" w:eastAsia="Calibri" w:hAnsi="Calibri"/>
          <w:b/>
          <w:bCs/>
          <w:i w:val="false"/>
          <w:iCs w:val="false"/>
          <w:color w:val="4A4A4A"/>
          <w:sz w:val="22"/>
          <w:szCs w:val="22"/>
        </w:rPr>
        <w:t xml:space="preserve">THE SERVICE IS PROVIDED "AS IS" AND "AS AVAILABLE" WITHOUT WARRANTIES OF ANY KIND, WHETHER EXPRESS OR IMPLIED, INCLUDING BUT NOT LIMITED TO WARRANTIES OF MERCHANTABILITY, FITNESS FOR A PARTICULAR PURPOSE, NON-INFRINGEMENT, OR THAT THE SERVICE WILL BE UNINTERRUPTED OR ERROR-FREE. DVX DOES NOT WARRANT THAT THE SMART CONTRACTS ARE FREE OF BUGS, VULNERABILITIES, OR EXPLOITS. YOUR USE OF THE SERVICE IS ENTIRELY AT YOUR OWN RISK.</w:t>
      </w:r>
    </w:p>
    <w:p>
      <w:pPr>
        <w:spacing w:before="160" w:after="60"/>
      </w:pPr>
      <w:r>
        <w:rPr>
          <w:rFonts w:ascii="Calibri" w:cs="Calibri" w:eastAsia="Calibri" w:hAnsi="Calibri"/>
          <w:b/>
          <w:bCs/>
          <w:color w:val="1A3A5C"/>
          <w:sz w:val="22"/>
          <w:szCs w:val="22"/>
        </w:rPr>
        <w:t xml:space="preserve">H. LIMITATION OF LIABILITY</w:t>
      </w:r>
    </w:p>
    <w:p>
      <w:pPr>
        <w:spacing w:before="100" w:after="160" w:line="360"/>
        <w:jc w:val="both"/>
      </w:pPr>
      <w:r>
        <w:rPr>
          <w:rFonts w:ascii="Calibri" w:cs="Calibri" w:eastAsia="Calibri" w:hAnsi="Calibri"/>
          <w:b/>
          <w:bCs/>
          <w:i w:val="false"/>
          <w:iCs w:val="false"/>
          <w:color w:val="4A4A4A"/>
          <w:sz w:val="22"/>
          <w:szCs w:val="22"/>
        </w:rPr>
        <w:t xml:space="preserve">TO THE MAXIMUM EXTENT PERMITTED BY APPLICABLE LAW, THE DVX TEAM, ITS FOUNDERS, CONTRIBUTORS, PARTNERS, AND AFFILIATES SHALL NOT BE LIABLE FOR ANY DIRECT, INDIRECT, INCIDENTAL, SPECIAL, EXEMPLARY, OR CONSEQUENTIAL DAMAGES ARISING FROM: (A) YOUR USE OR INABILITY TO USE THE SERVICE; (B) SMART CONTRACT BUGS OR EXPLOITS; (C) ORACLE DATA FAILURES OR INACCURACIES; (D) LOSS OF TOKENS DUE TO USER ERROR; OR (E) REGULATORY ACTIONS AFFECTING DVX IN YOUR JURISDICTION — EVEN IF DVX HAS BEEN ADVISED OF THE POSSIBILITY OF SUCH DAMAGES.</w:t>
      </w:r>
    </w:p>
    <w:p>
      <w:pPr>
        <w:spacing w:before="160" w:after="60"/>
      </w:pPr>
      <w:r>
        <w:rPr>
          <w:rFonts w:ascii="Calibri" w:cs="Calibri" w:eastAsia="Calibri" w:hAnsi="Calibri"/>
          <w:b/>
          <w:bCs/>
          <w:color w:val="1A3A5C"/>
          <w:sz w:val="22"/>
          <w:szCs w:val="22"/>
        </w:rPr>
        <w:t xml:space="preserve">I. DISPUTE RESOLUTION</w:t>
      </w:r>
    </w:p>
    <w:p>
      <w:pPr>
        <w:spacing w:before="100" w:after="160" w:line="360"/>
        <w:jc w:val="both"/>
      </w:pPr>
      <w:r>
        <w:rPr>
          <w:rFonts w:ascii="Calibri" w:cs="Calibri" w:eastAsia="Calibri" w:hAnsi="Calibri"/>
          <w:b w:val="false"/>
          <w:bCs w:val="false"/>
          <w:i w:val="false"/>
          <w:iCs w:val="false"/>
          <w:color w:val="4A4A4A"/>
          <w:sz w:val="22"/>
          <w:szCs w:val="22"/>
        </w:rPr>
        <w:t xml:space="preserve">Any dispute arising from or relating to these Terms or your use of the Service shall first be attempted to be resolved through good-faith negotiation with the DVX team via darwinalexrao@gmail.com. If the dispute cannot be resolved within 30 days, it shall be submitted to binding arbitration under the rules of the London Court of International Arbitration (LCIA). The arbitration shall be conducted in English. Each party shall bear its own costs unless the arbitrator determines otherwise.</w:t>
      </w:r>
    </w:p>
    <w:p>
      <w:pPr>
        <w:spacing w:before="160" w:after="60"/>
      </w:pPr>
      <w:r>
        <w:rPr>
          <w:rFonts w:ascii="Calibri" w:cs="Calibri" w:eastAsia="Calibri" w:hAnsi="Calibri"/>
          <w:b/>
          <w:bCs/>
          <w:color w:val="1A3A5C"/>
          <w:sz w:val="22"/>
          <w:szCs w:val="22"/>
        </w:rPr>
        <w:t xml:space="preserve">J. GOVERNING LAW</w:t>
      </w:r>
    </w:p>
    <w:p>
      <w:pPr>
        <w:spacing w:before="100" w:after="160" w:line="360"/>
        <w:jc w:val="both"/>
      </w:pPr>
      <w:r>
        <w:rPr>
          <w:rFonts w:ascii="Calibri" w:cs="Calibri" w:eastAsia="Calibri" w:hAnsi="Calibri"/>
          <w:b w:val="false"/>
          <w:bCs w:val="false"/>
          <w:i w:val="false"/>
          <w:iCs w:val="false"/>
          <w:color w:val="4A4A4A"/>
          <w:sz w:val="22"/>
          <w:szCs w:val="22"/>
        </w:rPr>
        <w:t xml:space="preserve">These Terms shall be governed by and construed in accordance with internationally recognized principles of commercial law, with particular reference to the laws applicable to blockchain and smart contract technologies. No single national jurisdiction is exclusively designated given the global nature of blockchain technology and the DVX user base.</w:t>
      </w:r>
    </w:p>
    <w:p>
      <w:pPr>
        <w:spacing w:before="160" w:after="60"/>
      </w:pPr>
      <w:r>
        <w:rPr>
          <w:rFonts w:ascii="Calibri" w:cs="Calibri" w:eastAsia="Calibri" w:hAnsi="Calibri"/>
          <w:b/>
          <w:bCs/>
          <w:color w:val="1A3A5C"/>
          <w:sz w:val="22"/>
          <w:szCs w:val="22"/>
        </w:rPr>
        <w:t xml:space="preserve">K. MODIFICATIONS TO TERMS</w:t>
      </w:r>
    </w:p>
    <w:p>
      <w:pPr>
        <w:spacing w:before="100" w:after="160" w:line="360"/>
        <w:jc w:val="both"/>
      </w:pPr>
      <w:r>
        <w:rPr>
          <w:rFonts w:ascii="Calibri" w:cs="Calibri" w:eastAsia="Calibri" w:hAnsi="Calibri"/>
          <w:b w:val="false"/>
          <w:bCs w:val="false"/>
          <w:i w:val="false"/>
          <w:iCs w:val="false"/>
          <w:color w:val="4A4A4A"/>
          <w:sz w:val="22"/>
          <w:szCs w:val="22"/>
        </w:rPr>
        <w:t xml:space="preserve">DVX reserves the right to modify these Terms at any time. Material changes will be announced at least 14 days in advance via the official DVX website (www.dvx.org) and official community channels. Your continued use of the Service after the effective date of any changes constitutes acceptance of the updated Terms.</w:t>
      </w:r>
    </w:p>
    <w:p>
      <w:pPr>
        <w:spacing w:before="160" w:after="60"/>
      </w:pPr>
      <w:r>
        <w:rPr>
          <w:rFonts w:ascii="Calibri" w:cs="Calibri" w:eastAsia="Calibri" w:hAnsi="Calibri"/>
          <w:b/>
          <w:bCs/>
          <w:color w:val="1A3A5C"/>
          <w:sz w:val="22"/>
          <w:szCs w:val="22"/>
        </w:rPr>
        <w:t xml:space="preserve">L. SEVERABILITY &amp; ENTIRE AGREEMENT</w:t>
      </w:r>
    </w:p>
    <w:p>
      <w:pPr>
        <w:spacing w:before="100" w:after="160" w:line="360"/>
        <w:jc w:val="both"/>
      </w:pPr>
      <w:r>
        <w:rPr>
          <w:rFonts w:ascii="Calibri" w:cs="Calibri" w:eastAsia="Calibri" w:hAnsi="Calibri"/>
          <w:b w:val="false"/>
          <w:bCs w:val="false"/>
          <w:i w:val="false"/>
          <w:iCs w:val="false"/>
          <w:color w:val="4A4A4A"/>
          <w:sz w:val="22"/>
          <w:szCs w:val="22"/>
        </w:rPr>
        <w:t xml:space="preserve">If any provision of these Terms is found to be invalid or unenforceable, the remaining provisions shall continue in full force and effect. These Terms, together with the Privacy Policy at www.dvx.org/privacy, constitute the entire agreement between you and DVX regarding the Service and supersede all prior agreements or understandings.</w:t>
      </w:r>
    </w:p>
    <w:p>
      <w:r>
        <w:br w:type="page"/>
      </w:r>
    </w:p>
    <w:p>
      <w:pPr>
        <w:pStyle w:val="Heading1"/>
        <w:spacing w:before="480" w:after="160"/>
      </w:pPr>
      <w:r>
        <w:rPr>
          <w:rFonts w:ascii="Calibri" w:cs="Calibri" w:eastAsia="Calibri" w:hAnsi="Calibri"/>
          <w:b/>
          <w:bCs/>
          <w:color w:val="0D1B2A"/>
          <w:sz w:val="30"/>
          <w:szCs w:val="30"/>
        </w:rPr>
        <w:t xml:space="preserve">13. TEAM &amp; CONTACT INFORMATION</w:t>
      </w:r>
    </w:p>
    <w:p>
      <w:pPr>
        <w:pBdr>
          <w:bottom w:val="single" w:color="C9A84C" w:sz="6" w:space="1"/>
        </w:pBdr>
        <w:spacing w:before="200" w:after="200"/>
      </w:pPr>
    </w:p>
    <w:p>
      <w:pPr>
        <w:pStyle w:val="Heading2"/>
        <w:spacing w:before="280" w:after="100"/>
      </w:pPr>
      <w:r>
        <w:rPr>
          <w:rFonts w:ascii="Calibri" w:cs="Calibri" w:eastAsia="Calibri" w:hAnsi="Calibri"/>
          <w:b/>
          <w:bCs/>
          <w:color w:val="1A3A5C"/>
          <w:sz w:val="24"/>
          <w:szCs w:val="24"/>
        </w:rPr>
        <w:t xml:space="preserve">13.1 Founding Team</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4000"/>
        <w:gridCol w:w="5360"/>
      </w:tblGrid>
      <w:tr>
        <w:tc>
          <w:tcPr>
            <w:tcW w:type="dxa" w:w="4000"/>
            <w:shd w:fill="0D1B2A" w:val="clear"/>
            <w:tcMar>
              <w:top w:type="dxa" w:w="100"/>
              <w:left w:type="dxa" w:w="200"/>
              <w:bottom w:type="dxa" w:w="100"/>
              <w:right w:type="dxa" w:w="200"/>
            </w:tcMar>
          </w:tcPr>
          <w:p>
            <w:r>
              <w:rPr>
                <w:rFonts w:ascii="Calibri" w:cs="Calibri" w:eastAsia="Calibri" w:hAnsi="Calibri"/>
                <w:b/>
                <w:bCs/>
                <w:color w:val="FFFFFF"/>
                <w:sz w:val="21"/>
                <w:szCs w:val="21"/>
              </w:rPr>
              <w:t xml:space="preserve">Role</w:t>
            </w:r>
          </w:p>
        </w:tc>
        <w:tc>
          <w:tcPr>
            <w:tcW w:type="dxa" w:w="5360"/>
            <w:shd w:fill="1A3A5C" w:val="clear"/>
            <w:tcMar>
              <w:top w:type="dxa" w:w="100"/>
              <w:left w:type="dxa" w:w="200"/>
              <w:bottom w:type="dxa" w:w="100"/>
              <w:right w:type="dxa" w:w="200"/>
            </w:tcMar>
          </w:tcPr>
          <w:p>
            <w:r>
              <w:rPr>
                <w:rFonts w:ascii="Calibri" w:cs="Calibri" w:eastAsia="Calibri" w:hAnsi="Calibri"/>
                <w:b/>
                <w:bCs/>
                <w:color w:val="FFFFFF"/>
                <w:sz w:val="21"/>
                <w:szCs w:val="21"/>
              </w:rPr>
              <w:t xml:space="preserve">Name</w:t>
            </w:r>
          </w:p>
        </w:tc>
      </w:tr>
      <w:tr>
        <w:tc>
          <w:tcPr>
            <w:tcW w:type="dxa" w:w="4000"/>
            <w:shd w:fill="FFFFFF"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Founder &amp; Lead Architect</w:t>
            </w:r>
          </w:p>
        </w:tc>
        <w:tc>
          <w:tcPr>
            <w:tcW w:type="dxa" w:w="5360"/>
            <w:shd w:fill="FFFFFF"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Darwin Alex Rao</w:t>
            </w:r>
          </w:p>
        </w:tc>
      </w:tr>
      <w:tr>
        <w:tc>
          <w:tcPr>
            <w:tcW w:type="dxa" w:w="4000"/>
            <w:shd w:fill="F0F0F0"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Smart Contract Development</w:t>
            </w:r>
          </w:p>
        </w:tc>
        <w:tc>
          <w:tcPr>
            <w:tcW w:type="dxa" w:w="5360"/>
            <w:shd w:fill="F0F0F0"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DVX Core Team</w:t>
            </w:r>
          </w:p>
        </w:tc>
      </w:tr>
      <w:tr>
        <w:tc>
          <w:tcPr>
            <w:tcW w:type="dxa" w:w="4000"/>
            <w:shd w:fill="FFFFFF"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Oracle Engineering</w:t>
            </w:r>
          </w:p>
        </w:tc>
        <w:tc>
          <w:tcPr>
            <w:tcW w:type="dxa" w:w="5360"/>
            <w:shd w:fill="FFFFFF"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DVX Core Team</w:t>
            </w:r>
          </w:p>
        </w:tc>
      </w:tr>
      <w:tr>
        <w:tc>
          <w:tcPr>
            <w:tcW w:type="dxa" w:w="4000"/>
            <w:shd w:fill="F0F0F0" w:val="clear"/>
            <w:tcMar>
              <w:top w:type="dxa" w:w="100"/>
              <w:left w:type="dxa" w:w="200"/>
              <w:bottom w:type="dxa" w:w="100"/>
              <w:right w:type="dxa" w:w="200"/>
            </w:tcMar>
          </w:tcPr>
          <w:p>
            <w:r>
              <w:rPr>
                <w:rFonts w:ascii="Calibri" w:cs="Calibri" w:eastAsia="Calibri" w:hAnsi="Calibri"/>
                <w:b w:val="false"/>
                <w:bCs w:val="false"/>
                <w:color w:val="0D1B2A"/>
                <w:sz w:val="21"/>
                <w:szCs w:val="21"/>
              </w:rPr>
              <w:t xml:space="preserve">Community &amp; Marketing</w:t>
            </w:r>
          </w:p>
        </w:tc>
        <w:tc>
          <w:tcPr>
            <w:tcW w:type="dxa" w:w="5360"/>
            <w:shd w:fill="F0F0F0" w:val="clear"/>
            <w:tcMar>
              <w:top w:type="dxa" w:w="100"/>
              <w:left w:type="dxa" w:w="200"/>
              <w:bottom w:type="dxa" w:w="100"/>
              <w:right w:type="dxa" w:w="200"/>
            </w:tcMar>
          </w:tcPr>
          <w:p>
            <w:r>
              <w:rPr>
                <w:rFonts w:ascii="Calibri" w:cs="Calibri" w:eastAsia="Calibri" w:hAnsi="Calibri"/>
                <w:b w:val="false"/>
                <w:bCs w:val="false"/>
                <w:color w:val="4A4A4A"/>
                <w:sz w:val="21"/>
                <w:szCs w:val="21"/>
              </w:rPr>
              <w:t xml:space="preserve">DVX Core Team</w:t>
            </w:r>
          </w:p>
        </w:tc>
      </w:tr>
    </w:tbl>
    <w:p>
      <w:pPr>
        <w:spacing w:before="200"/>
      </w:pPr>
    </w:p>
    <w:p>
      <w:pPr>
        <w:pStyle w:val="Heading2"/>
        <w:spacing w:before="280" w:after="100"/>
      </w:pPr>
      <w:r>
        <w:rPr>
          <w:rFonts w:ascii="Calibri" w:cs="Calibri" w:eastAsia="Calibri" w:hAnsi="Calibri"/>
          <w:b/>
          <w:bCs/>
          <w:color w:val="1A3A5C"/>
          <w:sz w:val="24"/>
          <w:szCs w:val="24"/>
        </w:rPr>
        <w:t xml:space="preserve">13.2 Official Channels</w:t>
      </w:r>
    </w:p>
    <w:p>
      <w:pPr>
        <w:spacing w:before="80" w:after="80" w:line="340"/>
        <w:ind w:left="720" w:hanging="360"/>
      </w:pPr>
      <w:r>
        <w:rPr>
          <w:rFonts w:ascii="Calibri" w:cs="Calibri" w:eastAsia="Calibri" w:hAnsi="Calibri"/>
          <w:b/>
          <w:bCs/>
          <w:color w:val="C9A84C"/>
          <w:sz w:val="22"/>
          <w:szCs w:val="22"/>
        </w:rPr>
        <w:t xml:space="preserve">▸  Website: </w:t>
      </w:r>
      <w:r>
        <w:rPr>
          <w:rFonts w:ascii="Calibri" w:cs="Calibri" w:eastAsia="Calibri" w:hAnsi="Calibri"/>
          <w:color w:val="4A4A4A"/>
          <w:sz w:val="22"/>
          <w:szCs w:val="22"/>
        </w:rPr>
        <w:t xml:space="preserve">www.dvx.org</w:t>
      </w:r>
    </w:p>
    <w:p>
      <w:pPr>
        <w:spacing w:before="80" w:after="80" w:line="340"/>
        <w:ind w:left="720" w:hanging="360"/>
      </w:pPr>
      <w:r>
        <w:rPr>
          <w:rFonts w:ascii="Calibri" w:cs="Calibri" w:eastAsia="Calibri" w:hAnsi="Calibri"/>
          <w:b/>
          <w:bCs/>
          <w:color w:val="C9A84C"/>
          <w:sz w:val="22"/>
          <w:szCs w:val="22"/>
        </w:rPr>
        <w:t xml:space="preserve">▸  Founder Email: </w:t>
      </w:r>
      <w:r>
        <w:rPr>
          <w:rFonts w:ascii="Calibri" w:cs="Calibri" w:eastAsia="Calibri" w:hAnsi="Calibri"/>
          <w:color w:val="4A4A4A"/>
          <w:sz w:val="22"/>
          <w:szCs w:val="22"/>
        </w:rPr>
        <w:t xml:space="preserve">darwinalexrao@gmail.com</w:t>
      </w:r>
    </w:p>
    <w:p>
      <w:pPr>
        <w:spacing w:before="80" w:after="80" w:line="340"/>
        <w:ind w:left="720" w:hanging="360"/>
      </w:pPr>
      <w:r>
        <w:rPr>
          <w:rFonts w:ascii="Calibri" w:cs="Calibri" w:eastAsia="Calibri" w:hAnsi="Calibri"/>
          <w:b/>
          <w:bCs/>
          <w:color w:val="C9A84C"/>
          <w:sz w:val="22"/>
          <w:szCs w:val="22"/>
        </w:rPr>
        <w:t xml:space="preserve">▸  General Inquiries: </w:t>
      </w:r>
      <w:r>
        <w:rPr>
          <w:rFonts w:ascii="Calibri" w:cs="Calibri" w:eastAsia="Calibri" w:hAnsi="Calibri"/>
          <w:color w:val="4A4A4A"/>
          <w:sz w:val="22"/>
          <w:szCs w:val="22"/>
        </w:rPr>
        <w:t xml:space="preserve">contact@dvx.org</w:t>
      </w:r>
    </w:p>
    <w:p>
      <w:pPr>
        <w:spacing w:before="80" w:after="80" w:line="340"/>
        <w:ind w:left="720" w:hanging="360"/>
      </w:pPr>
      <w:r>
        <w:rPr>
          <w:rFonts w:ascii="Calibri" w:cs="Calibri" w:eastAsia="Calibri" w:hAnsi="Calibri"/>
          <w:b/>
          <w:bCs/>
          <w:color w:val="C9A84C"/>
          <w:sz w:val="22"/>
          <w:szCs w:val="22"/>
        </w:rPr>
        <w:t xml:space="preserve">▸  Telegram: </w:t>
      </w:r>
      <w:r>
        <w:rPr>
          <w:rFonts w:ascii="Calibri" w:cs="Calibri" w:eastAsia="Calibri" w:hAnsi="Calibri"/>
          <w:color w:val="4A4A4A"/>
          <w:sz w:val="22"/>
          <w:szCs w:val="22"/>
        </w:rPr>
        <w:t xml:space="preserve">@DVXToken (announcement channel)</w:t>
      </w:r>
    </w:p>
    <w:p>
      <w:pPr>
        <w:spacing w:before="80" w:after="80" w:line="340"/>
        <w:ind w:left="720" w:hanging="360"/>
      </w:pPr>
      <w:r>
        <w:rPr>
          <w:rFonts w:ascii="Calibri" w:cs="Calibri" w:eastAsia="Calibri" w:hAnsi="Calibri"/>
          <w:b/>
          <w:bCs/>
          <w:color w:val="C9A84C"/>
          <w:sz w:val="22"/>
          <w:szCs w:val="22"/>
        </w:rPr>
        <w:t xml:space="preserve">▸  Twitter / X: </w:t>
      </w:r>
      <w:r>
        <w:rPr>
          <w:rFonts w:ascii="Calibri" w:cs="Calibri" w:eastAsia="Calibri" w:hAnsi="Calibri"/>
          <w:color w:val="4A4A4A"/>
          <w:sz w:val="22"/>
          <w:szCs w:val="22"/>
        </w:rPr>
        <w:t xml:space="preserve">@DVXToken</w:t>
      </w:r>
    </w:p>
    <w:p>
      <w:pPr>
        <w:spacing w:before="80" w:after="80" w:line="340"/>
        <w:ind w:left="720" w:hanging="360"/>
      </w:pPr>
      <w:r>
        <w:rPr>
          <w:rFonts w:ascii="Calibri" w:cs="Calibri" w:eastAsia="Calibri" w:hAnsi="Calibri"/>
          <w:b/>
          <w:bCs/>
          <w:color w:val="C9A84C"/>
          <w:sz w:val="22"/>
          <w:szCs w:val="22"/>
        </w:rPr>
        <w:t xml:space="preserve">▸  Blockchain: </w:t>
      </w:r>
      <w:r>
        <w:rPr>
          <w:rFonts w:ascii="Calibri" w:cs="Calibri" w:eastAsia="Calibri" w:hAnsi="Calibri"/>
          <w:color w:val="4A4A4A"/>
          <w:sz w:val="22"/>
          <w:szCs w:val="22"/>
        </w:rPr>
        <w:t xml:space="preserve">BNB Smart Chain — Mainnet (Chain ID: 56)</w:t>
      </w:r>
    </w:p>
    <w:p>
      <w:pPr>
        <w:spacing w:before="200"/>
      </w:pPr>
    </w:p>
    <w:p>
      <w:pPr>
        <w:pStyle w:val="Heading2"/>
        <w:spacing w:before="280" w:after="100"/>
      </w:pPr>
      <w:r>
        <w:rPr>
          <w:rFonts w:ascii="Calibri" w:cs="Calibri" w:eastAsia="Calibri" w:hAnsi="Calibri"/>
          <w:b/>
          <w:bCs/>
          <w:color w:val="1A3A5C"/>
          <w:sz w:val="24"/>
          <w:szCs w:val="24"/>
        </w:rPr>
        <w:t xml:space="preserve">13.3 Acknowledgements</w:t>
      </w:r>
    </w:p>
    <w:p>
      <w:pPr>
        <w:spacing w:before="100" w:after="160" w:line="360"/>
        <w:jc w:val="both"/>
      </w:pPr>
      <w:r>
        <w:rPr>
          <w:rFonts w:ascii="Calibri" w:cs="Calibri" w:eastAsia="Calibri" w:hAnsi="Calibri"/>
          <w:b w:val="false"/>
          <w:bCs w:val="false"/>
          <w:i w:val="false"/>
          <w:iCs w:val="false"/>
          <w:color w:val="4A4A4A"/>
          <w:sz w:val="22"/>
          <w:szCs w:val="22"/>
        </w:rPr>
        <w:t xml:space="preserve">The DVX project stands on the shoulders of the open-source community. We acknowledge and express sincere gratitude to:</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The OpenZeppelin team for their secure, battle-tested smart contract libraries</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The Chainlink team for their decentralized oracle infrastructure</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The PancakeSwap team for their open-source DEX protocol</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The BSC ecosystem for providing the infrastructure on which DVX operates</w:t>
      </w:r>
    </w:p>
    <w:p>
      <w:pPr>
        <w:spacing w:before="80" w:after="80" w:line="340"/>
        <w:ind w:left="720" w:hanging="360"/>
      </w:pPr>
      <w:r>
        <w:rPr>
          <w:rFonts w:ascii="Calibri" w:cs="Calibri" w:eastAsia="Calibri" w:hAnsi="Calibri"/>
          <w:b/>
          <w:bCs/>
          <w:color w:val="C9A84C"/>
          <w:sz w:val="22"/>
          <w:szCs w:val="22"/>
        </w:rPr>
        <w:t xml:space="preserve">▸  </w:t>
      </w:r>
      <w:r>
        <w:rPr>
          <w:rFonts w:ascii="Calibri" w:cs="Calibri" w:eastAsia="Calibri" w:hAnsi="Calibri"/>
          <w:color w:val="4A4A4A"/>
          <w:sz w:val="22"/>
          <w:szCs w:val="22"/>
        </w:rPr>
        <w:t xml:space="preserve">Satoshi Nakamoto, whose Bitcoin white paper inspired an entire generation of builders — including the DVX team</w:t>
      </w:r>
    </w:p>
    <w:p>
      <w:pPr>
        <w:spacing w:before="400"/>
      </w:pPr>
    </w:p>
    <w:p>
      <w:pPr>
        <w:pBdr>
          <w:bottom w:val="single" w:color="C9A84C" w:sz="6" w:space="1"/>
        </w:pBdr>
        <w:spacing w:before="200" w:after="200"/>
      </w:pPr>
    </w:p>
    <w:p>
      <w:pPr>
        <w:spacing w:before="200" w:after="80"/>
        <w:jc w:val="center"/>
      </w:pPr>
      <w:r>
        <w:rPr>
          <w:rFonts w:ascii="Calibri" w:cs="Calibri" w:eastAsia="Calibri" w:hAnsi="Calibri"/>
          <w:b/>
          <w:bCs/>
          <w:color w:val="0D1B2A"/>
          <w:sz w:val="28"/>
          <w:szCs w:val="28"/>
        </w:rPr>
        <w:t xml:space="preserve">DVX — DataVaultX Token</w:t>
      </w:r>
    </w:p>
    <w:p>
      <w:pPr>
        <w:spacing w:before="0" w:after="80"/>
        <w:jc w:val="center"/>
      </w:pPr>
      <w:r>
        <w:rPr>
          <w:rFonts w:ascii="Calibri" w:cs="Calibri" w:eastAsia="Calibri" w:hAnsi="Calibri"/>
          <w:i/>
          <w:iCs/>
          <w:color w:val="C9A84C"/>
          <w:sz w:val="24"/>
          <w:szCs w:val="24"/>
        </w:rPr>
        <w:t xml:space="preserve">The Rule of Power</w:t>
      </w:r>
    </w:p>
    <w:p>
      <w:pPr>
        <w:spacing w:before="0" w:after="80"/>
        <w:jc w:val="center"/>
      </w:pPr>
      <w:r>
        <w:rPr>
          <w:rFonts w:ascii="Calibri" w:cs="Calibri" w:eastAsia="Calibri" w:hAnsi="Calibri"/>
          <w:color w:val="1A3A5C"/>
          <w:sz w:val="21"/>
          <w:szCs w:val="21"/>
        </w:rPr>
        <w:t xml:space="preserve">www.dvx.org  |  darwinalexrao@gmail.com</w:t>
      </w:r>
    </w:p>
    <w:p>
      <w:pPr>
        <w:spacing w:before="0" w:after="200"/>
        <w:jc w:val="center"/>
      </w:pPr>
      <w:r>
        <w:rPr>
          <w:rFonts w:ascii="Calibri" w:cs="Calibri" w:eastAsia="Calibri" w:hAnsi="Calibri"/>
          <w:color w:val="4A4A4A"/>
          <w:sz w:val="19"/>
          <w:szCs w:val="19"/>
        </w:rPr>
        <w:t xml:space="preserve">© 2025 DVX Project. Smart contracts published under MIT License.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1"/>
      </w:pBdr>
      <w:tabs>
        <w:tab w:val="right" w:pos="9026"/>
      </w:tabs>
    </w:pPr>
    <w:r>
      <w:rPr>
        <w:rFonts w:ascii="Calibri" w:cs="Calibri" w:eastAsia="Calibri" w:hAnsi="Calibri"/>
        <w:color w:val="4A4A4A"/>
        <w:sz w:val="18"/>
        <w:szCs w:val="18"/>
      </w:rPr>
      <w:t xml:space="preserve">© 2025 DVX Project  |  The Rule of Power</w:t>
    </w:r>
    <w:r>
      <w:rPr>
        <w:rFonts w:ascii="Calibri" w:cs="Calibri" w:eastAsia="Calibri" w:hAnsi="Calibri"/>
        <w:sz w:val="18"/>
        <w:szCs w:val="18"/>
      </w:rPr>
      <w:t xml:space="preserve">	</w:t>
    </w:r>
    <w:r>
      <w:rPr>
        <w:rFonts w:ascii="Calibri" w:cs="Calibri" w:eastAsia="Calibri" w:hAnsi="Calibri"/>
        <w:color w:val="4A4A4A"/>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1"/>
      </w:pBdr>
    </w:pPr>
    <w:r>
      <w:rPr>
        <w:rFonts w:ascii="Calibri" w:cs="Calibri" w:eastAsia="Calibri" w:hAnsi="Calibri"/>
        <w:color w:val="4A4A4A"/>
        <w:sz w:val="18"/>
        <w:szCs w:val="18"/>
      </w:rPr>
      <w:t xml:space="preserve">DVX — DataVaultX Token White Paper  |  www.dvx.org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Calibri" w:cs="Calibri" w:eastAsia="Calibri" w:hAnsi="Calibri"/>
      <w:b/>
      <w:bCs/>
      <w:color w:val="0D1B2A"/>
      <w:sz w:val="30"/>
      <w:szCs w:val="30"/>
    </w:rPr>
  </w:style>
  <w:style w:type="paragraph" w:styleId="Heading2">
    <w:name w:val="Heading 2"/>
    <w:basedOn w:val="Normal"/>
    <w:next w:val="Normal"/>
    <w:qFormat/>
    <w:pPr>
      <w:spacing w:before="240" w:after="100"/>
      <w:outlineLvl w:val="1"/>
    </w:pPr>
    <w:rPr>
      <w:rFonts w:ascii="Calibri" w:cs="Calibri" w:eastAsia="Calibri" w:hAnsi="Calibri"/>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2026-02-22T01:06:58.213Z</dcterms:created>
  <dcterms:modified xsi:type="dcterms:W3CDTF">2026-02-22T01:06:58.214Z</dcterms:modified>
</cp:coreProperties>
</file>

<file path=docProps/custom.xml><?xml version="1.0" encoding="utf-8"?>
<Properties xmlns="http://schemas.openxmlformats.org/officeDocument/2006/custom-properties" xmlns:vt="http://schemas.openxmlformats.org/officeDocument/2006/docPropsVTypes"/>
</file>