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3864"/>
          <w:sz w:val="40"/>
          <w:szCs w:val="40"/>
        </w:rPr>
        <w:t xml:space="preserve">SIMATS ENGINEERING</w:t>
      </w:r>
    </w:p>
    <w:p>
      <w:pPr>
        <w:spacing w:after="400"/>
        <w:jc w:val="center"/>
      </w:pPr>
      <w:r>
        <w:rPr>
          <w:i/>
          <w:iCs/>
          <w:color w:val="595959"/>
          <w:sz w:val="22"/>
          <w:szCs w:val="22"/>
        </w:rPr>
        <w:t xml:space="preserve">Department of Computer Science and Engineering</w:t>
      </w:r>
    </w:p>
    <w:p>
      <w:pPr>
        <w:pBdr>
          <w:top w:val="single" w:color="2E74B5" w:sz="12" w:space="8"/>
          <w:bottom w:val="single" w:color="2E74B5" w:sz="12" w:space="8"/>
        </w:pBdr>
        <w:spacing w:after="100" w:before="200"/>
        <w:jc w:val="center"/>
      </w:pPr>
      <w:r>
        <w:rPr>
          <w:b/>
          <w:bCs/>
          <w:color w:val="2E74B5"/>
          <w:sz w:val="36"/>
          <w:szCs w:val="36"/>
        </w:rPr>
        <w:t xml:space="preserve">ASSESSMENT TOOL 2</w:t>
      </w:r>
    </w:p>
    <w:p>
      <w:pPr>
        <w:spacing w:after="500" w:before="100"/>
        <w:jc w:val="center"/>
      </w:pPr>
      <w:r>
        <w:rPr>
          <w:b/>
          <w:bCs/>
          <w:color w:val="1F3864"/>
          <w:sz w:val="30"/>
          <w:szCs w:val="30"/>
        </w:rPr>
        <w:t xml:space="preserve">ARTICLE REVIEW</w:t>
      </w:r>
    </w:p>
    <w:tbl>
      <w:tblPr>
        <w:tblW w:type="dxa" w:w="9400"/>
        <w:tblBorders>
          <w:top w:val="single" w:color="B7B7B7" w:sz="4"/>
          <w:left w:val="single" w:color="B7B7B7" w:sz="4"/>
          <w:bottom w:val="single" w:color="B7B7B7" w:sz="4"/>
          <w:right w:val="single" w:color="B7B7B7" w:sz="4"/>
          <w:insideH w:val="single" w:color="B7B7B7" w:sz="4"/>
          <w:insideV w:val="single" w:color="B7B7B7" w:sz="4"/>
        </w:tblBorders>
      </w:tblPr>
      <w:tblGrid>
        <w:gridCol w:w="3200"/>
        <w:gridCol w:w="6200"/>
      </w:tblGrid>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Course Name</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Artificial Intelligence</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Course Code</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CSA17</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Course Outcome (CO4)</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Implement machine learning techniques including decision tree algorithms, reinforcement learning, and build models for classification and decision-making. (BL3)</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Assessment Weightage</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50%</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Duration</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1 hour</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Total Questions / Marks</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4 Questions  —  40 Marks</w:t>
            </w:r>
          </w:p>
        </w:tc>
      </w:tr>
      <w:tr>
        <w:tc>
          <w:tcPr>
            <w:tcW w:type="dxa" w:w="3200"/>
            <w:shd w:fill="DCE6F1" w:val="clear"/>
            <w:tcMar>
              <w:top w:type="dxa" w:w="80"/>
              <w:left w:type="dxa" w:w="100"/>
              <w:bottom w:type="dxa" w:w="80"/>
              <w:right w:type="dxa" w:w="100"/>
            </w:tcMar>
            <w:vAlign w:val="center"/>
          </w:tcPr>
          <w:p>
            <w:pPr>
              <w:jc w:val="left"/>
            </w:pPr>
            <w:r>
              <w:rPr>
                <w:b/>
                <w:bCs/>
                <w:color w:val="1F3864"/>
                <w:sz w:val="22"/>
                <w:szCs w:val="22"/>
              </w:rPr>
              <w:t xml:space="preserve">Annexure</w:t>
            </w:r>
          </w:p>
        </w:tc>
        <w:tc>
          <w:tcPr>
            <w:tcW w:type="dxa" w:w="6200"/>
            <w:tcMar>
              <w:top w:type="dxa" w:w="80"/>
              <w:left w:type="dxa" w:w="100"/>
              <w:bottom w:type="dxa" w:w="80"/>
              <w:right w:type="dxa" w:w="100"/>
            </w:tcMar>
            <w:vAlign w:val="center"/>
          </w:tcPr>
          <w:p>
            <w:pPr>
              <w:jc w:val="left"/>
            </w:pPr>
            <w:r>
              <w:rPr>
                <w:b w:val="false"/>
                <w:bCs w:val="false"/>
                <w:color w:val="000000"/>
                <w:sz w:val="22"/>
                <w:szCs w:val="22"/>
              </w:rPr>
              <w:t xml:space="preserve">Annexure A</w:t>
            </w:r>
          </w:p>
        </w:tc>
      </w:tr>
    </w:tbl>
    <w:p>
      <w:pPr>
        <w:spacing w:after="120" w:before="500"/>
      </w:pPr>
      <w:r>
        <w:rPr>
          <w:b/>
          <w:bCs/>
          <w:i/>
          <w:iCs/>
          <w:color w:val="1F3864"/>
          <w:sz w:val="24"/>
          <w:szCs w:val="24"/>
        </w:rPr>
        <w:t xml:space="preserve">Code of Conduct</w:t>
      </w:r>
    </w:p>
    <w:p>
      <w:pPr>
        <w:spacing w:after="160" w:line="276"/>
        <w:jc w:val="both"/>
      </w:pPr>
      <w:r>
        <w:rPr>
          <w:sz w:val="22"/>
          <w:szCs w:val="22"/>
        </w:rPr>
        <w:t xml:space="preserve">I ____________________________________ (Name / Reg. No.) certify that this submission is my original work and that I have adhered to the guidelines specified for this assessment.</w:t>
      </w:r>
    </w:p>
    <w:p>
      <w:pPr>
        <w:spacing w:after="160" w:line="276"/>
        <w:jc w:val="both"/>
      </w:pPr>
      <w:r>
        <w:rPr>
          <w:sz w:val="22"/>
          <w:szCs w:val="22"/>
        </w:rPr>
        <w:t xml:space="preserve">I understand that any violation of academic integrity rules will result in disciplinary action.</w:t>
      </w:r>
    </w:p>
    <w:p>
      <w:pPr>
        <w:spacing w:before="300"/>
      </w:pPr>
      <w:r>
        <w:rPr>
          <w:b/>
          <w:bCs/>
          <w:sz w:val="22"/>
          <w:szCs w:val="22"/>
        </w:rPr>
        <w:t xml:space="preserve">Signature of the student: ____________________________</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Bdr>
          <w:bottom w:val="single" w:color="2E74B5" w:sz="8" w:space="4"/>
        </w:pBdr>
        <w:spacing w:after="160" w:before="360"/>
      </w:pPr>
      <w:r>
        <w:rPr>
          <w:b/>
          <w:bCs/>
          <w:color w:val="1F3864"/>
          <w:sz w:val="28"/>
          <w:szCs w:val="28"/>
        </w:rPr>
        <w:t xml:space="preserve">Instructions</w:t>
      </w:r>
    </w:p>
    <w:p>
      <w:pPr>
        <w:spacing w:after="160" w:line="276"/>
        <w:jc w:val="both"/>
      </w:pPr>
      <w:r>
        <w:rPr>
          <w:sz w:val="22"/>
          <w:szCs w:val="22"/>
        </w:rPr>
        <w:t xml:space="preserve">Select any ONE peer-reviewed research article (published after 2019) from IEEE Xplore, Springer, Elsevier, or ACM Digital Library related to any of the following topics: Inductive Learning, Decision Trees, Statistical Learning Methods (Naïve Bayes / Logistic Regression / SVM), or Reinforcement Learning applications.</w:t>
      </w:r>
    </w:p>
    <w:p>
      <w:pPr>
        <w:spacing w:after="160" w:line="276"/>
        <w:jc w:val="both"/>
      </w:pPr>
      <w:r>
        <w:rPr>
          <w:sz w:val="22"/>
          <w:szCs w:val="22"/>
        </w:rPr>
        <w:t xml:space="preserve">Submit: (i) Article citation details, (ii) PDF or valid DOI link, (iii) Written review as per the tasks below.</w:t>
      </w:r>
    </w:p>
    <w:p>
      <w:pPr>
        <w:pStyle w:val="Heading2"/>
        <w:spacing w:after="120" w:before="280"/>
      </w:pPr>
      <w:r>
        <w:rPr>
          <w:b/>
          <w:bCs/>
          <w:color w:val="2E74B5"/>
          <w:sz w:val="24"/>
          <w:szCs w:val="24"/>
        </w:rPr>
        <w:t xml:space="preserve">Task 1: Article Summary</w:t>
      </w:r>
    </w:p>
    <w:p>
      <w:pPr>
        <w:pStyle w:val="ListParagraph"/>
        <w:numPr>
          <w:ilvl w:val="0"/>
          <w:numId w:val="2"/>
        </w:numPr>
        <w:spacing w:after="100" w:line="276"/>
      </w:pPr>
      <w:r>
        <w:rPr>
          <w:sz w:val="22"/>
          <w:szCs w:val="22"/>
        </w:rPr>
        <w:t xml:space="preserve">(a) Provide the full citation of the article (Author(s), Title, Journal/Conference, Year, DOI). State the domain/application area and the specific ML problem addressed.</w:t>
      </w:r>
    </w:p>
    <w:p>
      <w:pPr>
        <w:pStyle w:val="ListParagraph"/>
        <w:numPr>
          <w:ilvl w:val="0"/>
          <w:numId w:val="2"/>
        </w:numPr>
        <w:spacing w:after="100" w:line="276"/>
      </w:pPr>
      <w:r>
        <w:rPr>
          <w:sz w:val="22"/>
          <w:szCs w:val="22"/>
        </w:rPr>
        <w:t xml:space="preserve">(b) Summarise the key objective of the article in your own words (150–200 words). Clearly state the research gap the authors identified and how they proposed to fill it.</w:t>
      </w:r>
    </w:p>
    <w:p>
      <w:pPr>
        <w:pStyle w:val="Heading2"/>
        <w:spacing w:after="120" w:before="280"/>
      </w:pPr>
      <w:r>
        <w:rPr>
          <w:b/>
          <w:bCs/>
          <w:color w:val="2E74B5"/>
          <w:sz w:val="24"/>
          <w:szCs w:val="24"/>
        </w:rPr>
        <w:t xml:space="preserve">Task 2: Methodology Analysis</w:t>
      </w:r>
    </w:p>
    <w:p>
      <w:pPr>
        <w:pStyle w:val="ListParagraph"/>
        <w:numPr>
          <w:ilvl w:val="0"/>
          <w:numId w:val="2"/>
        </w:numPr>
        <w:spacing w:after="100" w:line="276"/>
      </w:pPr>
      <w:r>
        <w:rPr>
          <w:sz w:val="22"/>
          <w:szCs w:val="22"/>
        </w:rPr>
        <w:t xml:space="preserve">(a) Explain the ML technique(s) used in the article (e.g., Decision Tree variant, RL algorithm, Statistical model). Describe the dataset used — size, features, source, and how it was prepared.</w:t>
      </w:r>
    </w:p>
    <w:p>
      <w:pPr>
        <w:pStyle w:val="ListParagraph"/>
        <w:numPr>
          <w:ilvl w:val="0"/>
          <w:numId w:val="2"/>
        </w:numPr>
        <w:spacing w:after="100" w:line="276"/>
      </w:pPr>
      <w:r>
        <w:rPr>
          <w:sz w:val="22"/>
          <w:szCs w:val="22"/>
        </w:rPr>
        <w:t xml:space="preserve">(b) Map the technique to CO4 topics (Inductive Learning / Decision Trees / Statistical Learning / RL). Identify one methodological strength and one limitation in the authors' approach.</w:t>
      </w:r>
    </w:p>
    <w:p>
      <w:pPr>
        <w:pStyle w:val="Heading2"/>
        <w:spacing w:after="120" w:before="280"/>
      </w:pPr>
      <w:r>
        <w:rPr>
          <w:b/>
          <w:bCs/>
          <w:color w:val="2E74B5"/>
          <w:sz w:val="24"/>
          <w:szCs w:val="24"/>
        </w:rPr>
        <w:t xml:space="preserve">Task 3: Results &amp; Critical Evaluation</w:t>
      </w:r>
    </w:p>
    <w:p>
      <w:pPr>
        <w:pStyle w:val="ListParagraph"/>
        <w:numPr>
          <w:ilvl w:val="0"/>
          <w:numId w:val="2"/>
        </w:numPr>
        <w:spacing w:after="100" w:line="276"/>
      </w:pPr>
      <w:r>
        <w:rPr>
          <w:sz w:val="22"/>
          <w:szCs w:val="22"/>
        </w:rPr>
        <w:t xml:space="preserve">(a) Report the key results (accuracy, F1-Score, AUC-ROC, reward convergence, etc.) as presented by the authors. Create a comparative table if multiple models are benchmarked.</w:t>
      </w:r>
    </w:p>
    <w:p>
      <w:pPr>
        <w:pStyle w:val="ListParagraph"/>
        <w:numPr>
          <w:ilvl w:val="0"/>
          <w:numId w:val="2"/>
        </w:numPr>
        <w:spacing w:after="100" w:line="276"/>
      </w:pPr>
      <w:r>
        <w:rPr>
          <w:sz w:val="22"/>
          <w:szCs w:val="22"/>
        </w:rPr>
        <w:t xml:space="preserve">(b) Critically evaluate the results: Are the reported metrics realistic? Are there potential biases (dataset, evaluation protocol)? What additional experiments would strengthen the findings?</w:t>
      </w:r>
    </w:p>
    <w:p>
      <w:pPr>
        <w:pStyle w:val="ListParagraph"/>
        <w:numPr>
          <w:ilvl w:val="0"/>
          <w:numId w:val="2"/>
        </w:numPr>
        <w:spacing w:after="100" w:line="276"/>
      </w:pPr>
      <w:r>
        <w:rPr>
          <w:sz w:val="22"/>
          <w:szCs w:val="22"/>
        </w:rPr>
        <w:t xml:space="preserve">(c) Discuss real-world applicability: Where can this technique be deployed? What are the challenges in scaling the solution to industry (data availability, compute, ethical issues)?</w:t>
      </w:r>
    </w:p>
    <w:p>
      <w:pPr>
        <w:pStyle w:val="Heading2"/>
        <w:spacing w:after="120" w:before="280"/>
      </w:pPr>
      <w:r>
        <w:rPr>
          <w:b/>
          <w:bCs/>
          <w:color w:val="2E74B5"/>
          <w:sz w:val="24"/>
          <w:szCs w:val="24"/>
        </w:rPr>
        <w:t xml:space="preserve">Task 4: Reflection &amp; Learning Outcome</w:t>
      </w:r>
    </w:p>
    <w:p>
      <w:pPr>
        <w:pStyle w:val="ListParagraph"/>
        <w:numPr>
          <w:ilvl w:val="0"/>
          <w:numId w:val="2"/>
        </w:numPr>
        <w:spacing w:after="100" w:line="276"/>
      </w:pPr>
      <w:r>
        <w:rPr>
          <w:sz w:val="22"/>
          <w:szCs w:val="22"/>
        </w:rPr>
        <w:t xml:space="preserve">(a) State three key insights you gained from reading the article that deepen your understanding of CO4 topics. Connect each insight to a specific concept from the course syllabus.</w:t>
      </w:r>
    </w:p>
    <w:p>
      <w:pPr>
        <w:pStyle w:val="ListParagraph"/>
        <w:numPr>
          <w:ilvl w:val="0"/>
          <w:numId w:val="2"/>
        </w:numPr>
        <w:spacing w:after="100" w:line="276"/>
      </w:pPr>
      <w:r>
        <w:rPr>
          <w:sz w:val="22"/>
          <w:szCs w:val="22"/>
        </w:rPr>
        <w:t xml:space="preserve">(b) If you were to extend this research, propose one novel experiment or enhancement (different dataset / improved algorithm / new application domain). Justify its feasibility and expected impact.</w:t>
      </w:r>
    </w:p>
    <w:p>
      <w:r>
        <w:br w:type="page"/>
      </w:r>
    </w:p>
    <w:p>
      <w:pPr>
        <w:pStyle w:val="Heading1"/>
        <w:pBdr>
          <w:bottom w:val="single" w:color="2E74B5" w:sz="8" w:space="4"/>
        </w:pBdr>
        <w:spacing w:after="160" w:before="360"/>
      </w:pPr>
      <w:r>
        <w:rPr>
          <w:b/>
          <w:bCs/>
          <w:color w:val="1F3864"/>
          <w:sz w:val="28"/>
          <w:szCs w:val="28"/>
        </w:rPr>
        <w:t xml:space="preserve">Task 1 — Article Summary</w:t>
      </w:r>
    </w:p>
    <w:p>
      <w:pPr>
        <w:pStyle w:val="Heading2"/>
        <w:spacing w:after="120" w:before="280"/>
      </w:pPr>
      <w:r>
        <w:rPr>
          <w:b/>
          <w:bCs/>
          <w:color w:val="2E74B5"/>
          <w:sz w:val="24"/>
          <w:szCs w:val="24"/>
        </w:rPr>
        <w:t xml:space="preserve">1.1  Formal Bibliographic Citation</w:t>
      </w:r>
    </w:p>
    <w:p>
      <w:pPr>
        <w:spacing w:after="160" w:line="276"/>
        <w:jc w:val="both"/>
      </w:pPr>
      <w:r>
        <w:rPr>
          <w:sz w:val="22"/>
          <w:szCs w:val="22"/>
        </w:rPr>
        <w:t xml:space="preserve">Guibin Lv, Fudong Dong, Pengyuan Li, Yuansen Wang, Yongguo Sheng, Feng Cheng, and Bo Wang, “Highway Engineering Construction Safety Risk Evaluation Based on Decision Tree Algorithm,” International Journal of Computational Intelligence Systems, vol. 19, no. 166, pp. 1–20, 2026. DOI: https://doi.org/10.1007/s44196-026-01207-0</w:t>
      </w:r>
    </w:p>
    <w:p>
      <w:pPr>
        <w:pStyle w:val="Heading2"/>
        <w:spacing w:after="120" w:before="280"/>
      </w:pPr>
      <w:r>
        <w:rPr>
          <w:b/>
          <w:bCs/>
          <w:color w:val="2E74B5"/>
          <w:sz w:val="24"/>
          <w:szCs w:val="24"/>
        </w:rPr>
        <w:t xml:space="preserve">1.2  Domain and Machine Learning Problem Classification</w:t>
      </w:r>
    </w:p>
    <w:p>
      <w:pPr>
        <w:spacing w:after="160" w:line="276"/>
        <w:jc w:val="both"/>
      </w:pPr>
      <w:r>
        <w:rPr>
          <w:sz w:val="22"/>
          <w:szCs w:val="22"/>
        </w:rPr>
        <w:t xml:space="preserve">The domain of this research is highway infrastructure construction engineering, specifically focusing on safety risk management and early warning within complex highway projects (such as bridges, elevated roads, and roadbed construction). In civil engineering, safety management is historically characterized by qualitative inspections, high uncertainty, and complex interactions between diverse factors including human operations, management overheads, mechanical conditions, and unexpected environmental conditions.</w:t>
      </w:r>
    </w:p>
    <w:p>
      <w:pPr>
        <w:spacing w:after="160" w:line="276"/>
        <w:jc w:val="both"/>
      </w:pPr>
      <w:r>
        <w:rPr>
          <w:sz w:val="22"/>
          <w:szCs w:val="22"/>
        </w:rPr>
        <w:t xml:space="preserve">From a computer science and machine learning perspective, the paper addresses a supervised binary classification and feature-weighting problem. The classification objective is to predict whether a specific combination of safety risk indicators will lead to a safety incident during construction (the target variable is ‘Whether it leads to safety incidents in construction’, taking binary labels of ‘YES’ or ‘NO’). Concurrently, the algorithm addresses a feature-weighting problem where the conditional features represent the frequency of quaternary risk factors. The information gain metric from the inductive decision tree is utilized to calculate objective, data-driven weight coefficients for each risk factor.</w:t>
      </w:r>
    </w:p>
    <w:p>
      <w:pPr>
        <w:pStyle w:val="Heading2"/>
        <w:spacing w:after="120" w:before="280"/>
      </w:pPr>
      <w:r>
        <w:rPr>
          <w:b/>
          <w:bCs/>
          <w:color w:val="2E74B5"/>
          <w:sz w:val="24"/>
          <w:szCs w:val="24"/>
        </w:rPr>
        <w:t xml:space="preserve">1.3  Objectives and Core Research Gaps</w:t>
      </w:r>
    </w:p>
    <w:p>
      <w:pPr>
        <w:spacing w:after="160" w:line="276"/>
        <w:jc w:val="both"/>
      </w:pPr>
      <w:r>
        <w:rPr>
          <w:sz w:val="22"/>
          <w:szCs w:val="22"/>
        </w:rPr>
        <w:t xml:space="preserve">The key objective of this research is to establish a digital safety risk evaluation model that integrates the interpretability of inductive machine learning with the quantitative structure of engineering risk matrices. By overcoming the subjectivity of traditional weighting schemes, the model aims to provide site managers with a reliable, dynamic, and highly visual early-warning tool to identify and mitigate high-risk events before they culminate in accidents.</w:t>
      </w:r>
    </w:p>
    <w:p>
      <w:pPr>
        <w:spacing w:after="160" w:line="276"/>
        <w:jc w:val="both"/>
      </w:pPr>
      <w:r>
        <w:rPr>
          <w:sz w:val="22"/>
          <w:szCs w:val="22"/>
        </w:rPr>
        <w:t xml:space="preserve">The authors identify several major research gaps in traditional civil engineering risk assessment approaches:</w:t>
      </w:r>
    </w:p>
    <w:p>
      <w:pPr>
        <w:pStyle w:val="ListParagraph"/>
        <w:numPr>
          <w:ilvl w:val="0"/>
          <w:numId w:val="2"/>
        </w:numPr>
        <w:spacing w:after="100" w:line="276"/>
      </w:pPr>
      <w:r>
        <w:rPr>
          <w:sz w:val="22"/>
          <w:szCs w:val="22"/>
        </w:rPr>
        <w:t xml:space="preserve">Subjectivity of Traditional Weighting: Conventional methods such as the Analytic Hierarchy Process (AHP) and the G1 method rely on subjective expert judgments and pairwise comparisons, which can lead to significant human bias and weight deviations.</w:t>
      </w:r>
    </w:p>
    <w:p>
      <w:pPr>
        <w:pStyle w:val="ListParagraph"/>
        <w:numPr>
          <w:ilvl w:val="0"/>
          <w:numId w:val="2"/>
        </w:numPr>
        <w:spacing w:after="100" w:line="276"/>
      </w:pPr>
      <w:r>
        <w:rPr>
          <w:sz w:val="22"/>
          <w:szCs w:val="22"/>
        </w:rPr>
        <w:t xml:space="preserve">Causal Logic Opacity: Objective weighting methods like the entropy weight method, while mathematically unbiased, are unable to represent the actual impact logic or decision pathway mapping how combinations of risk factors trigger safety accidents.</w:t>
      </w:r>
    </w:p>
    <w:p>
      <w:pPr>
        <w:pStyle w:val="ListParagraph"/>
        <w:numPr>
          <w:ilvl w:val="0"/>
          <w:numId w:val="2"/>
        </w:numPr>
        <w:spacing w:after="100" w:line="276"/>
      </w:pPr>
      <w:r>
        <w:rPr>
          <w:sz w:val="22"/>
          <w:szCs w:val="22"/>
        </w:rPr>
        <w:t xml:space="preserve">Inability to Model Coupling and Interdependencies: Traditional models often treat risk factors as completely independent, failing to address multi-factor coupling and nonlinear correlation where minor, co-occurring risk factors combine to trigger catastrophic events.</w:t>
      </w:r>
    </w:p>
    <w:p>
      <w:pPr>
        <w:pStyle w:val="ListParagraph"/>
        <w:numPr>
          <w:ilvl w:val="0"/>
          <w:numId w:val="2"/>
        </w:numPr>
        <w:spacing w:after="100" w:line="276"/>
      </w:pPr>
      <w:r>
        <w:rPr>
          <w:sz w:val="22"/>
          <w:szCs w:val="22"/>
        </w:rPr>
        <w:t xml:space="preserve">Static and Inflexible Frameworks: Many existing frameworks rely on static parameters, making them unable to adapt to dynamically changing construction conditions, such as sudden weather shifts or sudden drops in mechanical maintenance quality.</w:t>
      </w:r>
    </w:p>
    <w:p>
      <w:pPr>
        <w:spacing w:after="160" w:line="276"/>
        <w:jc w:val="both"/>
      </w:pPr>
      <w:r>
        <w:rPr>
          <w:sz w:val="22"/>
          <w:szCs w:val="22"/>
        </w:rPr>
        <w:t xml:space="preserve">To fill these critical gaps, the research introduces the ID3 (Interactive Dichotomiser 3) decision tree algorithm into the risk calculation flow. Rather than predicting accidents as a black box, the ID3 algorithm is used to analyze historical frequency datasets and generate a clear, logical decision tree. The information gain calculated during node splitting is normalized to serve as objective weight coefficients for each risk factor. These weights are then integrated into a dual-dimensional risk matrix (mapping probability and consequence severity) to construct a dynamic, highly interpretive safety risk index. This hybrid framework balances the mathematical objectivity of data-driven models with the qualitative wisdom of field engineering standards.</w:t>
      </w:r>
    </w:p>
    <w:p>
      <w:r>
        <w:br w:type="page"/>
      </w:r>
    </w:p>
    <w:p>
      <w:pPr>
        <w:pStyle w:val="Heading1"/>
        <w:pBdr>
          <w:bottom w:val="single" w:color="2E74B5" w:sz="8" w:space="4"/>
        </w:pBdr>
        <w:spacing w:after="160" w:before="360"/>
      </w:pPr>
      <w:r>
        <w:rPr>
          <w:b/>
          <w:bCs/>
          <w:color w:val="1F3864"/>
          <w:sz w:val="28"/>
          <w:szCs w:val="28"/>
        </w:rPr>
        <w:t xml:space="preserve">Task 2 — Methodology Analysis</w:t>
      </w:r>
    </w:p>
    <w:p>
      <w:pPr>
        <w:pStyle w:val="Heading2"/>
        <w:spacing w:after="120" w:before="280"/>
      </w:pPr>
      <w:r>
        <w:rPr>
          <w:b/>
          <w:bCs/>
          <w:color w:val="2E74B5"/>
          <w:sz w:val="24"/>
          <w:szCs w:val="24"/>
        </w:rPr>
        <w:t xml:space="preserve">2.1  Technical Exposition of Machine Learning Methods</w:t>
      </w:r>
    </w:p>
    <w:p>
      <w:pPr>
        <w:spacing w:after="160" w:line="276"/>
        <w:jc w:val="both"/>
      </w:pPr>
      <w:r>
        <w:rPr>
          <w:sz w:val="22"/>
          <w:szCs w:val="22"/>
        </w:rPr>
        <w:t xml:space="preserve">The research framework develops a hybrid model combining the ID3 decision tree algorithm and a fuzzy risk matrix. The methodology operates in two distinct phases: first, data-driven weight derivation using the ID3 decision tree; second, the quantitative calculation of risk consequence severity utilizing a fuzzy membership function combined with the G1 weighting scheme.</w:t>
      </w:r>
    </w:p>
    <w:p>
      <w:pPr>
        <w:pStyle w:val="Heading3"/>
        <w:spacing w:after="100" w:before="200"/>
      </w:pPr>
      <w:r>
        <w:rPr>
          <w:b/>
          <w:bCs/>
          <w:i/>
          <w:iCs/>
          <w:color w:val="1F3864"/>
          <w:sz w:val="22"/>
          <w:szCs w:val="22"/>
        </w:rPr>
        <w:t xml:space="preserve">2.1.1  Data-Driven Feature Weighting via the ID3 Algorithm</w:t>
      </w:r>
    </w:p>
    <w:p>
      <w:pPr>
        <w:spacing w:after="160" w:line="276"/>
        <w:jc w:val="both"/>
      </w:pPr>
      <w:r>
        <w:rPr>
          <w:sz w:val="22"/>
          <w:szCs w:val="22"/>
        </w:rPr>
        <w:t xml:space="preserve">The ID3 algorithm is an inductive learning method that builds a decision tree by utilizing information entropy to select splitting attributes. In this model, the conditional attributes are the frequencies of quaternary risk factors, and the decision attribute is ‘whether a construction safety incident occurred’ (YES or NO). The mathematical formulation is as follows:</w:t>
      </w:r>
    </w:p>
    <w:p>
      <w:pPr>
        <w:spacing w:after="160" w:line="276"/>
        <w:jc w:val="both"/>
      </w:pPr>
      <w:r>
        <w:rPr>
          <w:sz w:val="22"/>
          <w:szCs w:val="22"/>
        </w:rPr>
        <w:t xml:space="preserve">1.  Information Entropy of the Decision Attribute — Info(D): This represents the total uncertainty of the target dataset regarding safety accidents.</w:t>
      </w:r>
    </w:p>
    <w:p>
      <w:pPr>
        <w:shd w:fill="F2F2F2" w:val="clear"/>
        <w:spacing w:after="160" w:before="120"/>
        <w:jc w:val="center"/>
      </w:pPr>
      <w:r>
        <w:rPr>
          <w:i/>
          <w:iCs/>
          <w:sz w:val="22"/>
          <w:szCs w:val="22"/>
        </w:rPr>
        <w:t xml:space="preserve">Info(D) = </w:t>
      </w:r>
      <w:r>
        <w:rPr>
          <w:i/>
          <w:iCs/>
          <w:sz w:val="22"/>
          <w:szCs w:val="22"/>
        </w:rPr>
        <w:t xml:space="preserve">− Σ</w:t>
      </w:r>
      <w:r>
        <w:rPr>
          <w:i/>
          <w:iCs/>
          <w:sz w:val="22"/>
          <w:szCs w:val="22"/>
          <w:vertAlign w:val="subscript"/>
        </w:rPr>
        <w:t xml:space="preserve">j=1</w:t>
      </w:r>
      <w:r>
        <w:rPr>
          <w:i/>
          <w:iCs/>
          <w:sz w:val="22"/>
          <w:szCs w:val="22"/>
        </w:rPr>
        <w:t xml:space="preserve"> </w:t>
      </w:r>
      <w:r>
        <w:rPr>
          <w:i/>
          <w:iCs/>
          <w:sz w:val="22"/>
          <w:szCs w:val="22"/>
          <w:vertAlign w:val="superscript"/>
        </w:rPr>
        <w:t xml:space="preserve">m</w:t>
      </w:r>
      <w:r>
        <w:rPr>
          <w:i/>
          <w:iCs/>
          <w:sz w:val="22"/>
          <w:szCs w:val="22"/>
        </w:rPr>
        <w:t xml:space="preserve">  p</w:t>
      </w:r>
      <w:r>
        <w:rPr>
          <w:i/>
          <w:iCs/>
          <w:sz w:val="22"/>
          <w:szCs w:val="22"/>
          <w:vertAlign w:val="subscript"/>
        </w:rPr>
        <w:t xml:space="preserve">j</w:t>
      </w:r>
      <w:r>
        <w:rPr>
          <w:i/>
          <w:iCs/>
          <w:sz w:val="22"/>
          <w:szCs w:val="22"/>
        </w:rPr>
        <w:t xml:space="preserve"> log₂(p</w:t>
      </w:r>
      <w:r>
        <w:rPr>
          <w:i/>
          <w:iCs/>
          <w:sz w:val="22"/>
          <w:szCs w:val="22"/>
          <w:vertAlign w:val="subscript"/>
        </w:rPr>
        <w:t xml:space="preserve">j</w:t>
      </w:r>
      <w:r>
        <w:rPr>
          <w:i/>
          <w:iCs/>
          <w:sz w:val="22"/>
          <w:szCs w:val="22"/>
        </w:rPr>
        <w:t xml:space="preserve">)</w:t>
      </w:r>
    </w:p>
    <w:p>
      <w:pPr>
        <w:spacing w:after="160" w:line="276"/>
        <w:jc w:val="both"/>
      </w:pPr>
      <w:r>
        <w:rPr>
          <w:sz w:val="22"/>
          <w:szCs w:val="22"/>
        </w:rPr>
        <w:t xml:space="preserve">Where pⱼ is the probability of class j of ‘whether it leads to safety incidents in construction’ (m = 2, representing classes YES and NO). If the probability of accidents is p₁ and non-accidents is p₂, then Info(D) = −p₁log₂(p₁) − p₂log₂(p₂).</w:t>
      </w:r>
    </w:p>
    <w:p>
      <w:pPr>
        <w:spacing w:after="160" w:line="276"/>
        <w:jc w:val="both"/>
      </w:pPr>
      <w:r>
        <w:rPr>
          <w:sz w:val="22"/>
          <w:szCs w:val="22"/>
        </w:rPr>
        <w:t xml:space="preserve">2.  Conditional Entropy — Infoₓ(D): When the dataset is partitioned according to a risk factor feature X, the conditional entropy measures the remaining uncertainty of the target class.</w:t>
      </w:r>
    </w:p>
    <w:p>
      <w:pPr>
        <w:shd w:fill="F2F2F2" w:val="clear"/>
        <w:spacing w:after="160" w:before="120"/>
        <w:jc w:val="center"/>
      </w:pPr>
      <w:r>
        <w:rPr>
          <w:i/>
          <w:iCs/>
          <w:sz w:val="22"/>
          <w:szCs w:val="22"/>
        </w:rPr>
        <w:t xml:space="preserve">Info</w:t>
      </w:r>
      <w:r>
        <w:rPr>
          <w:i/>
          <w:iCs/>
          <w:sz w:val="22"/>
          <w:szCs w:val="22"/>
          <w:vertAlign w:val="subscript"/>
        </w:rPr>
        <w:t xml:space="preserve">X</w:t>
      </w:r>
      <w:r>
        <w:rPr>
          <w:i/>
          <w:iCs/>
          <w:sz w:val="22"/>
          <w:szCs w:val="22"/>
        </w:rPr>
        <w:t xml:space="preserve">(D) = Info(D|X) = Σ</w:t>
      </w:r>
      <w:r>
        <w:rPr>
          <w:i/>
          <w:iCs/>
          <w:sz w:val="22"/>
          <w:szCs w:val="22"/>
          <w:vertAlign w:val="subscript"/>
        </w:rPr>
        <w:t xml:space="preserve">i=1</w:t>
      </w:r>
      <w:r>
        <w:rPr>
          <w:i/>
          <w:iCs/>
          <w:sz w:val="22"/>
          <w:szCs w:val="22"/>
        </w:rPr>
        <w:t xml:space="preserve"> </w:t>
      </w:r>
      <w:r>
        <w:rPr>
          <w:i/>
          <w:iCs/>
          <w:sz w:val="22"/>
          <w:szCs w:val="22"/>
          <w:vertAlign w:val="superscript"/>
        </w:rPr>
        <w:t xml:space="preserve">n</w:t>
      </w:r>
      <w:r>
        <w:rPr>
          <w:i/>
          <w:iCs/>
          <w:sz w:val="22"/>
          <w:szCs w:val="22"/>
        </w:rPr>
        <w:t xml:space="preserve">  p</w:t>
      </w:r>
      <w:r>
        <w:rPr>
          <w:i/>
          <w:iCs/>
          <w:sz w:val="22"/>
          <w:szCs w:val="22"/>
          <w:vertAlign w:val="subscript"/>
        </w:rPr>
        <w:t xml:space="preserve">i</w:t>
      </w:r>
      <w:r>
        <w:rPr>
          <w:i/>
          <w:iCs/>
          <w:sz w:val="22"/>
          <w:szCs w:val="22"/>
        </w:rPr>
        <w:t xml:space="preserve"> × Info(X</w:t>
      </w:r>
      <w:r>
        <w:rPr>
          <w:i/>
          <w:iCs/>
          <w:sz w:val="22"/>
          <w:szCs w:val="22"/>
          <w:vertAlign w:val="subscript"/>
        </w:rPr>
        <w:t xml:space="preserve">i</w:t>
      </w:r>
      <w:r>
        <w:rPr>
          <w:i/>
          <w:iCs/>
          <w:sz w:val="22"/>
          <w:szCs w:val="22"/>
          <w:vertAlign w:val="superscript"/>
        </w:rPr>
        <w:t xml:space="preserve">*</w:t>
      </w:r>
      <w:r>
        <w:rPr>
          <w:i/>
          <w:iCs/>
          <w:sz w:val="22"/>
          <w:szCs w:val="22"/>
        </w:rPr>
        <w:t xml:space="preserve">)</w:t>
      </w:r>
    </w:p>
    <w:p>
      <w:pPr>
        <w:spacing w:after="160" w:line="276"/>
        <w:jc w:val="both"/>
      </w:pPr>
      <w:r>
        <w:rPr>
          <w:sz w:val="22"/>
          <w:szCs w:val="22"/>
        </w:rPr>
        <w:t xml:space="preserve">Where pᵢ is the probability that risk factor X takes its i-th value, and Info(Xᵢ*) represents the entropy of the subset of data where feature X has value Xᵢ.</w:t>
      </w:r>
    </w:p>
    <w:p>
      <w:pPr>
        <w:spacing w:after="160" w:line="276"/>
        <w:jc w:val="both"/>
      </w:pPr>
      <w:r>
        <w:rPr>
          <w:sz w:val="22"/>
          <w:szCs w:val="22"/>
        </w:rPr>
        <w:t xml:space="preserve">3.  Information Gain — Gain(X): The information gain is the net reduction in uncertainty achieved by splitting the dataset on feature X.</w:t>
      </w:r>
    </w:p>
    <w:p>
      <w:pPr>
        <w:shd w:fill="F2F2F2" w:val="clear"/>
        <w:spacing w:after="160" w:before="120"/>
        <w:jc w:val="center"/>
      </w:pPr>
      <w:r>
        <w:rPr>
          <w:i/>
          <w:iCs/>
          <w:sz w:val="22"/>
          <w:szCs w:val="22"/>
        </w:rPr>
        <w:t xml:space="preserve">Gain(X) = Info(D) − Info</w:t>
      </w:r>
      <w:r>
        <w:rPr>
          <w:i/>
          <w:iCs/>
          <w:sz w:val="22"/>
          <w:szCs w:val="22"/>
          <w:vertAlign w:val="subscript"/>
        </w:rPr>
        <w:t xml:space="preserve">X</w:t>
      </w:r>
      <w:r>
        <w:rPr>
          <w:i/>
          <w:iCs/>
          <w:sz w:val="22"/>
          <w:szCs w:val="22"/>
        </w:rPr>
        <w:t xml:space="preserve">(D)</w:t>
      </w:r>
    </w:p>
    <w:p>
      <w:pPr>
        <w:spacing w:after="160" w:line="276"/>
        <w:jc w:val="both"/>
      </w:pPr>
      <w:r>
        <w:rPr>
          <w:sz w:val="22"/>
          <w:szCs w:val="22"/>
        </w:rPr>
        <w:t xml:space="preserve">A higher Information Gain indicates that splitting on feature X provides greater predictive power regarding whether an accident will occur. To convert these information gains into normalized weight coefficients (wᵢ) for the evaluation framework, the information gain of each risk factor Xᵢ is normalized against the sum of the gains of all risk factors in the category:</w:t>
      </w:r>
    </w:p>
    <w:p>
      <w:pPr>
        <w:shd w:fill="F2F2F2" w:val="clear"/>
        <w:spacing w:after="160" w:before="120"/>
        <w:jc w:val="center"/>
      </w:pPr>
      <w:r>
        <w:rPr>
          <w:i/>
          <w:iCs/>
          <w:sz w:val="22"/>
          <w:szCs w:val="22"/>
        </w:rPr>
        <w:t xml:space="preserve">w</w:t>
      </w:r>
      <w:r>
        <w:rPr>
          <w:i/>
          <w:iCs/>
          <w:sz w:val="22"/>
          <w:szCs w:val="22"/>
          <w:vertAlign w:val="subscript"/>
        </w:rPr>
        <w:t xml:space="preserve">i</w:t>
      </w:r>
      <w:r>
        <w:rPr>
          <w:i/>
          <w:iCs/>
          <w:sz w:val="22"/>
          <w:szCs w:val="22"/>
        </w:rPr>
        <w:t xml:space="preserve"> = Gain(X</w:t>
      </w:r>
      <w:r>
        <w:rPr>
          <w:i/>
          <w:iCs/>
          <w:sz w:val="22"/>
          <w:szCs w:val="22"/>
          <w:vertAlign w:val="subscript"/>
        </w:rPr>
        <w:t xml:space="preserve">i</w:t>
      </w:r>
      <w:r>
        <w:rPr>
          <w:i/>
          <w:iCs/>
          <w:sz w:val="22"/>
          <w:szCs w:val="22"/>
        </w:rPr>
        <w:t xml:space="preserve">) / Σ</w:t>
      </w:r>
      <w:r>
        <w:rPr>
          <w:i/>
          <w:iCs/>
          <w:sz w:val="22"/>
          <w:szCs w:val="22"/>
          <w:vertAlign w:val="subscript"/>
        </w:rPr>
        <w:t xml:space="preserve">i=1</w:t>
      </w:r>
      <w:r>
        <w:rPr>
          <w:i/>
          <w:iCs/>
          <w:sz w:val="22"/>
          <w:szCs w:val="22"/>
        </w:rPr>
        <w:t xml:space="preserve"> </w:t>
      </w:r>
      <w:r>
        <w:rPr>
          <w:i/>
          <w:iCs/>
          <w:sz w:val="22"/>
          <w:szCs w:val="22"/>
          <w:vertAlign w:val="superscript"/>
        </w:rPr>
        <w:t xml:space="preserve">n</w:t>
      </w:r>
      <w:r>
        <w:rPr>
          <w:i/>
          <w:iCs/>
          <w:sz w:val="22"/>
          <w:szCs w:val="22"/>
        </w:rPr>
        <w:t xml:space="preserve">  Gain(X</w:t>
      </w:r>
      <w:r>
        <w:rPr>
          <w:i/>
          <w:iCs/>
          <w:sz w:val="22"/>
          <w:szCs w:val="22"/>
          <w:vertAlign w:val="subscript"/>
        </w:rPr>
        <w:t xml:space="preserve">i</w:t>
      </w:r>
      <w:r>
        <w:rPr>
          <w:i/>
          <w:iCs/>
          <w:sz w:val="22"/>
          <w:szCs w:val="22"/>
        </w:rPr>
        <w:t xml:space="preserve">)</w:t>
      </w:r>
    </w:p>
    <w:p>
      <w:pPr>
        <w:pStyle w:val="Heading3"/>
        <w:spacing w:after="100" w:before="200"/>
      </w:pPr>
      <w:r>
        <w:rPr>
          <w:b/>
          <w:bCs/>
          <w:i/>
          <w:iCs/>
          <w:color w:val="1F3864"/>
          <w:sz w:val="22"/>
          <w:szCs w:val="22"/>
        </w:rPr>
        <w:t xml:space="preserve">2.1.2  Fuzzy Membership Models for Risk Consequence Severity</w:t>
      </w:r>
    </w:p>
    <w:p>
      <w:pPr>
        <w:spacing w:after="160" w:line="276"/>
        <w:jc w:val="both"/>
      </w:pPr>
      <w:r>
        <w:rPr>
          <w:sz w:val="22"/>
          <w:szCs w:val="22"/>
        </w:rPr>
        <w:t xml:space="preserve">To calculate consequence severity (S) for each risk factor, the authors establish a model that assesses impact on three crucial categories of construction assets: Personnel, Third-Party Assets, and Operational Equipment. Expert scores for each category (i₁, i₂, i₃, respectively) are translated into fuzzy membership degrees using trapezoidal and triangular membership functions across five severity levels (Level I: Very Minor, to Level V: Catastrophic).</w:t>
      </w:r>
    </w:p>
    <w:p>
      <w:pPr>
        <w:spacing w:after="160" w:line="276"/>
        <w:jc w:val="both"/>
      </w:pPr>
      <w:r>
        <w:rPr>
          <w:sz w:val="22"/>
          <w:szCs w:val="22"/>
        </w:rPr>
        <w:t xml:space="preserve">By calculating membership values for each of the three asset types, a fuzzy evaluation matrix M (size 3×5) is generated. Using the G1 weighting scheme, a relative importance vector A = [a₁, a₂, a₃] is established for the three asset categories such that their sum equals 1. For highway construction, the authors set the relative weights to A = [0.412, 0.343, 0.245], signifying that Personnel safety carries the highest weight, followed by Third-Party Assets and Operational Equipment.</w:t>
      </w:r>
    </w:p>
    <w:p>
      <w:pPr>
        <w:spacing w:after="160" w:line="276"/>
        <w:jc w:val="both"/>
      </w:pPr>
      <w:r>
        <w:rPr>
          <w:sz w:val="22"/>
          <w:szCs w:val="22"/>
        </w:rPr>
        <w:t xml:space="preserve">A comprehensive evaluation vector B is obtained through matrix multiplication of weight vector A and the judgment matrix M:</w:t>
      </w:r>
    </w:p>
    <w:p>
      <w:pPr>
        <w:shd w:fill="F2F2F2" w:val="clear"/>
        <w:spacing w:after="160" w:before="120"/>
        <w:jc w:val="center"/>
      </w:pPr>
      <w:r>
        <w:rPr>
          <w:i/>
          <w:iCs/>
          <w:sz w:val="22"/>
          <w:szCs w:val="22"/>
        </w:rPr>
        <w:t xml:space="preserve">B = A × M = [b₁, b₂, b₃, b₄, b₅]</w:t>
      </w:r>
    </w:p>
    <w:p>
      <w:pPr>
        <w:spacing w:after="160" w:line="276"/>
        <w:jc w:val="both"/>
      </w:pPr>
      <w:r>
        <w:rPr>
          <w:sz w:val="22"/>
          <w:szCs w:val="22"/>
        </w:rPr>
        <w:t xml:space="preserve">Finally, the fuzzy evaluation vector B is defuzzified to compute a single numerical risk consequence severity level S. By setting impact values vⱼ = (1, 2, 3, 4, 5) corresponding to Levels I through V respectively, S is computed as the weighted average of these levels:</w:t>
      </w:r>
    </w:p>
    <w:p>
      <w:pPr>
        <w:shd w:fill="F2F2F2" w:val="clear"/>
        <w:spacing w:after="160" w:before="120"/>
        <w:jc w:val="center"/>
      </w:pPr>
      <w:r>
        <w:rPr>
          <w:i/>
          <w:iCs/>
          <w:sz w:val="22"/>
          <w:szCs w:val="22"/>
        </w:rPr>
        <w:t xml:space="preserve">S = Σ</w:t>
      </w:r>
      <w:r>
        <w:rPr>
          <w:i/>
          <w:iCs/>
          <w:sz w:val="22"/>
          <w:szCs w:val="22"/>
          <w:vertAlign w:val="subscript"/>
        </w:rPr>
        <w:t xml:space="preserve">j=1</w:t>
      </w:r>
      <w:r>
        <w:rPr>
          <w:i/>
          <w:iCs/>
          <w:sz w:val="22"/>
          <w:szCs w:val="22"/>
        </w:rPr>
        <w:t xml:space="preserve"> </w:t>
      </w:r>
      <w:r>
        <w:rPr>
          <w:i/>
          <w:iCs/>
          <w:sz w:val="22"/>
          <w:szCs w:val="22"/>
          <w:vertAlign w:val="superscript"/>
        </w:rPr>
        <w:t xml:space="preserve">5</w:t>
      </w:r>
      <w:r>
        <w:rPr>
          <w:i/>
          <w:iCs/>
          <w:sz w:val="22"/>
          <w:szCs w:val="22"/>
        </w:rPr>
        <w:t xml:space="preserve">  b</w:t>
      </w:r>
      <w:r>
        <w:rPr>
          <w:i/>
          <w:iCs/>
          <w:sz w:val="22"/>
          <w:szCs w:val="22"/>
          <w:vertAlign w:val="subscript"/>
        </w:rPr>
        <w:t xml:space="preserve">j</w:t>
      </w:r>
      <w:r>
        <w:rPr>
          <w:i/>
          <w:iCs/>
          <w:sz w:val="22"/>
          <w:szCs w:val="22"/>
        </w:rPr>
        <w:t xml:space="preserve">v</w:t>
      </w:r>
      <w:r>
        <w:rPr>
          <w:i/>
          <w:iCs/>
          <w:sz w:val="22"/>
          <w:szCs w:val="22"/>
          <w:vertAlign w:val="subscript"/>
        </w:rPr>
        <w:t xml:space="preserve">j</w:t>
      </w:r>
      <w:r>
        <w:rPr>
          <w:i/>
          <w:iCs/>
          <w:sz w:val="22"/>
          <w:szCs w:val="22"/>
        </w:rPr>
        <w:t xml:space="preserve">  /  Σ</w:t>
      </w:r>
      <w:r>
        <w:rPr>
          <w:i/>
          <w:iCs/>
          <w:sz w:val="22"/>
          <w:szCs w:val="22"/>
          <w:vertAlign w:val="subscript"/>
        </w:rPr>
        <w:t xml:space="preserve">i=1</w:t>
      </w:r>
      <w:r>
        <w:rPr>
          <w:i/>
          <w:iCs/>
          <w:sz w:val="22"/>
          <w:szCs w:val="22"/>
        </w:rPr>
        <w:t xml:space="preserve"> </w:t>
      </w:r>
      <w:r>
        <w:rPr>
          <w:i/>
          <w:iCs/>
          <w:sz w:val="22"/>
          <w:szCs w:val="22"/>
          <w:vertAlign w:val="superscript"/>
        </w:rPr>
        <w:t xml:space="preserve">5</w:t>
      </w:r>
      <w:r>
        <w:rPr>
          <w:i/>
          <w:iCs/>
          <w:sz w:val="22"/>
          <w:szCs w:val="22"/>
        </w:rPr>
        <w:t xml:space="preserve">  b</w:t>
      </w:r>
      <w:r>
        <w:rPr>
          <w:i/>
          <w:iCs/>
          <w:sz w:val="22"/>
          <w:szCs w:val="22"/>
          <w:vertAlign w:val="subscript"/>
        </w:rPr>
        <w:t xml:space="preserve">i</w:t>
      </w:r>
    </w:p>
    <w:p>
      <w:pPr>
        <w:pStyle w:val="Heading2"/>
        <w:spacing w:after="120" w:before="280"/>
      </w:pPr>
      <w:r>
        <w:rPr>
          <w:b/>
          <w:bCs/>
          <w:color w:val="2E74B5"/>
          <w:sz w:val="24"/>
          <w:szCs w:val="24"/>
        </w:rPr>
        <w:t xml:space="preserve">2.2  Dataset Architecture and Preparation</w:t>
      </w:r>
    </w:p>
    <w:p>
      <w:pPr>
        <w:spacing w:after="160" w:line="276"/>
        <w:jc w:val="both"/>
      </w:pPr>
      <w:r>
        <w:rPr>
          <w:sz w:val="22"/>
          <w:szCs w:val="22"/>
        </w:rPr>
        <w:t xml:space="preserve">The empirical data supporting this methodology originates from the construction monitoring logs of a major infrastructure project: the Second Phase of a city’s Inner Ring Expressway Speed-up Transformation Project. Spanning 5.16 kilometers with a red-line width of 60 meters, this project presents high technical difficulty due to its complex construction environment involving elevated mainline structures, ground-level pavements, an interchange point, and multiple ramps.</w:t>
      </w:r>
    </w:p>
    <w:p>
      <w:pPr>
        <w:spacing w:after="160" w:line="276"/>
        <w:jc w:val="both"/>
      </w:pPr>
      <w:r>
        <w:rPr>
          <w:sz w:val="22"/>
          <w:szCs w:val="22"/>
        </w:rPr>
        <w:t xml:space="preserve">Over an observation period spanning from 2016 to 2021, the authors collected 12 semi-annual records. Each semi-annual record documents the precise frequency of occurrence of each quaternary safety risk indicator alongside the occurrence of construction safety accidents (YES or NO). In total, the database comprises 3,726 individual risk events across the entire observation period. For the personnel category, the dataset contains a subset of 552 sample events. This historical frequency data forms the training set used by the ID3 decision tree algorithm.</w:t>
      </w:r>
    </w:p>
    <w:p>
      <w:pPr>
        <w:spacing w:after="160" w:line="276"/>
        <w:jc w:val="both"/>
      </w:pPr>
      <w:r>
        <w:rPr>
          <w:b/>
          <w:bCs/>
          <w:color w:val="1F3864"/>
          <w:sz w:val="22"/>
          <w:szCs w:val="22"/>
        </w:rPr>
        <w:t xml:space="preserve">Data Preparation and Discretization: </w:t>
      </w:r>
      <w:r>
        <w:rPr>
          <w:sz w:val="22"/>
          <w:szCs w:val="22"/>
        </w:rPr>
        <w:t xml:space="preserve"> Decision tree algorithms like ID3 require discrete features to calculate information gain effectively. Raw frequencies are naturally continuous and highly variable, which would lead to an excessively wide, shallow tree and severe overfitting if left untreated. To resolve this, the authors categorized the continuous frequency values into three discrete ordinal groups based on risk management standards and empirical engineering boundaries: ‘0–9’ (Low/Infrequent), ‘10–19’ (Moderate/Frequent), and ‘≥ 20’ (High/Very Frequent).</w:t>
      </w:r>
    </w:p>
    <w:p>
      <w:pPr>
        <w:pStyle w:val="Heading2"/>
        <w:spacing w:after="120" w:before="280"/>
      </w:pPr>
      <w:r>
        <w:rPr>
          <w:b/>
          <w:bCs/>
          <w:color w:val="2E74B5"/>
          <w:sz w:val="24"/>
          <w:szCs w:val="24"/>
        </w:rPr>
        <w:t xml:space="preserve">2.3  Mapping to Course Outcome 4 (CO4) Syllabus</w:t>
      </w:r>
    </w:p>
    <w:p>
      <w:pPr>
        <w:spacing w:after="160" w:line="276"/>
        <w:jc w:val="both"/>
      </w:pPr>
      <w:r>
        <w:rPr>
          <w:sz w:val="22"/>
          <w:szCs w:val="22"/>
        </w:rPr>
        <w:t xml:space="preserve">This research maps directly onto several core themes within the SIMATS CSA17 Course Syllabus under Course Outcome 4 (CO4):</w:t>
      </w:r>
    </w:p>
    <w:p>
      <w:pPr>
        <w:pStyle w:val="ListParagraph"/>
        <w:numPr>
          <w:ilvl w:val="0"/>
          <w:numId w:val="2"/>
        </w:numPr>
        <w:spacing w:after="100" w:line="276"/>
      </w:pPr>
      <w:r>
        <w:rPr>
          <w:sz w:val="22"/>
          <w:szCs w:val="22"/>
        </w:rPr>
        <w:t xml:space="preserve">Inductive Learning and ID3 Algorithm: The paper presents a textbook application of inductive learning, specifically the Interactive Dichotomiser 3 (ID3) algorithm. Students analyze how a system learns general classification rules (identifying what combines to cause an accident) from a finite set of historical training instances.</w:t>
      </w:r>
    </w:p>
    <w:p>
      <w:pPr>
        <w:pStyle w:val="ListParagraph"/>
        <w:numPr>
          <w:ilvl w:val="0"/>
          <w:numId w:val="2"/>
        </w:numPr>
        <w:spacing w:after="100" w:line="276"/>
      </w:pPr>
      <w:r>
        <w:rPr>
          <w:sz w:val="22"/>
          <w:szCs w:val="22"/>
        </w:rPr>
        <w:t xml:space="preserve">Information Theory Concepts: The mathematical derivations of Information Entropy and Information Gain directly reinforce the theoretical concepts of entropy as a measure of dataset impurity and information gain as the criterion for optimal feature selection.</w:t>
      </w:r>
    </w:p>
    <w:p>
      <w:pPr>
        <w:pStyle w:val="ListParagraph"/>
        <w:numPr>
          <w:ilvl w:val="0"/>
          <w:numId w:val="2"/>
        </w:numPr>
        <w:spacing w:after="100" w:line="276"/>
      </w:pPr>
      <w:r>
        <w:rPr>
          <w:sz w:val="22"/>
          <w:szCs w:val="22"/>
        </w:rPr>
        <w:t xml:space="preserve">Decision-Making and Rule Extraction: The paper demonstrates how complex, multidimensional, and non-linear civil engineering risks are transformed into highly legible logical rules (e.g., IF X₁₂₃ in [10–19] AND X₁₂₁ in [0–9] THEN NO ACCIDENT). This aligns with the CO4 goal of building models that support intuitive and transparent corporate decision-making.</w:t>
      </w:r>
    </w:p>
    <w:p>
      <w:pPr>
        <w:pStyle w:val="Heading2"/>
        <w:spacing w:after="120" w:before="280"/>
      </w:pPr>
      <w:r>
        <w:rPr>
          <w:b/>
          <w:bCs/>
          <w:color w:val="2E74B5"/>
          <w:sz w:val="24"/>
          <w:szCs w:val="24"/>
        </w:rPr>
        <w:t xml:space="preserve">2.4  Systematic Methodological Critique: Strengths and Limitations</w:t>
      </w:r>
    </w:p>
    <w:p>
      <w:pPr>
        <w:spacing w:after="160" w:line="276"/>
        <w:jc w:val="both"/>
      </w:pPr>
      <w:r>
        <w:rPr>
          <w:sz w:val="22"/>
          <w:szCs w:val="22"/>
        </w:rPr>
        <w:t xml:space="preserve">A rigorous analysis of the authors' methodology reveals the following distinct strength and critical limitation:</w:t>
      </w:r>
    </w:p>
    <w:p>
      <w:pPr>
        <w:spacing w:after="160" w:line="276"/>
        <w:jc w:val="both"/>
      </w:pPr>
      <w:r>
        <w:rPr>
          <w:b/>
          <w:bCs/>
          <w:color w:val="1F3864"/>
          <w:sz w:val="22"/>
          <w:szCs w:val="22"/>
        </w:rPr>
        <w:t xml:space="preserve">Methodological Strength — Data-Driven Objective Weighting: </w:t>
      </w:r>
      <w:r>
        <w:rPr>
          <w:sz w:val="22"/>
          <w:szCs w:val="22"/>
        </w:rPr>
        <w:t xml:space="preserve"> The primary strength of the proposed model is its ability to overcome the subjective bias of traditional civil engineering weighting systems. By using the information gain of the ID3 decision tree, the weights are derived entirely from empirical, historical project data. This ensures that features that are mathematically proven to reduce the uncertainty of accident outcomes are assigned higher weights. This data-driven objectivity provides a highly defensible weighting framework compared to AHP, where the subjective opinions of a small panel of experts are prone to cognitive biases, fatigue, and internal inconsistencies.</w:t>
      </w:r>
    </w:p>
    <w:p>
      <w:pPr>
        <w:spacing w:after="160" w:line="276"/>
        <w:jc w:val="both"/>
      </w:pPr>
      <w:r>
        <w:rPr>
          <w:b/>
          <w:bCs/>
          <w:color w:val="1F3864"/>
          <w:sz w:val="22"/>
          <w:szCs w:val="22"/>
        </w:rPr>
        <w:t xml:space="preserve">Methodological Limitation — Assumption of Feature Independence during Splitting: </w:t>
      </w:r>
      <w:r>
        <w:rPr>
          <w:sz w:val="22"/>
          <w:szCs w:val="22"/>
        </w:rPr>
        <w:t xml:space="preserve"> The core limitation of the authors' approach lies in the ID3 algorithm's fundamental assumption of feature independence during attribute selection. In complex civil engineering scenarios, risks are highly coupled and interdependent (e.g., extreme weather X₄₁ directly accelerates equipment deterioration X₃₃₂, and poor technical disclosure X₂₃₁ compounds human error X₁₂₂). Because ID3 evaluates information gain for each feature individually, it fails to model these dynamic causal correlations. Consequently, the derived weights and generated decision rules may misrepresent the systemic risk profile when multiple, highly correlated risk factors are present simultaneously.</w:t>
      </w:r>
    </w:p>
    <w:p>
      <w:r>
        <w:br w:type="page"/>
      </w:r>
    </w:p>
    <w:p>
      <w:pPr>
        <w:pStyle w:val="Heading1"/>
        <w:pBdr>
          <w:bottom w:val="single" w:color="2E74B5" w:sz="8" w:space="4"/>
        </w:pBdr>
        <w:spacing w:after="160" w:before="360"/>
      </w:pPr>
      <w:r>
        <w:rPr>
          <w:b/>
          <w:bCs/>
          <w:color w:val="1F3864"/>
          <w:sz w:val="28"/>
          <w:szCs w:val="28"/>
        </w:rPr>
        <w:t xml:space="preserve">Task 3 — Results &amp; Critical Evaluation</w:t>
      </w:r>
    </w:p>
    <w:p>
      <w:pPr>
        <w:pStyle w:val="Heading2"/>
        <w:spacing w:after="120" w:before="280"/>
      </w:pPr>
      <w:r>
        <w:rPr>
          <w:b/>
          <w:bCs/>
          <w:color w:val="2E74B5"/>
          <w:sz w:val="24"/>
          <w:szCs w:val="24"/>
        </w:rPr>
        <w:t xml:space="preserve">3.1  Synthesis of Case Study Results</w:t>
      </w:r>
    </w:p>
    <w:p>
      <w:pPr>
        <w:spacing w:after="160" w:line="276"/>
        <w:jc w:val="both"/>
      </w:pPr>
      <w:r>
        <w:rPr>
          <w:sz w:val="22"/>
          <w:szCs w:val="22"/>
        </w:rPr>
        <w:t xml:space="preserve">By applying the ID3 decision tree-risk matrix model to the city's Inner Ring Speed-up Transformation Project, the authors calculated the safety risk values for all risk factors. The final compiled safety risk index for the entire construction project was computed to be 8.96. According to the risk assessment matrix threshold standards, an index value between 5 and 9 is classified as a Moderate/Medium Risk level.</w:t>
      </w:r>
    </w:p>
    <w:p>
      <w:pPr>
        <w:spacing w:after="160" w:line="276"/>
        <w:jc w:val="both"/>
      </w:pPr>
      <w:r>
        <w:rPr>
          <w:sz w:val="22"/>
          <w:szCs w:val="22"/>
        </w:rPr>
        <w:t xml:space="preserve">The analysis of secondary risk categories reveals the primary drivers of this risk level:</w:t>
      </w:r>
    </w:p>
    <w:tbl>
      <w:tblPr>
        <w:tblW w:type="dxa" w:w="9550"/>
        <w:tblBorders>
          <w:top w:val="single" w:color="B7B7B7" w:sz="4"/>
          <w:left w:val="single" w:color="B7B7B7" w:sz="4"/>
          <w:bottom w:val="single" w:color="B7B7B7" w:sz="4"/>
          <w:right w:val="single" w:color="B7B7B7" w:sz="4"/>
          <w:insideH w:val="single" w:color="B7B7B7" w:sz="4"/>
          <w:insideV w:val="single" w:color="B7B7B7" w:sz="4"/>
        </w:tblBorders>
      </w:tblPr>
      <w:tblGrid>
        <w:gridCol w:w="2650"/>
        <w:gridCol w:w="2300"/>
        <w:gridCol w:w="1600"/>
        <w:gridCol w:w="3000"/>
      </w:tblGrid>
      <w:tr>
        <w:trPr>
          <w:tblHeader/>
        </w:trPr>
        <w:tc>
          <w:tcPr>
            <w:tcW w:type="dxa" w:w="2650"/>
            <w:shd w:fill="2E74B5" w:val="clear"/>
            <w:tcMar>
              <w:top w:type="dxa" w:w="80"/>
              <w:left w:type="dxa" w:w="100"/>
              <w:bottom w:type="dxa" w:w="80"/>
              <w:right w:type="dxa" w:w="100"/>
            </w:tcMar>
            <w:vAlign w:val="center"/>
          </w:tcPr>
          <w:p>
            <w:pPr>
              <w:jc w:val="center"/>
            </w:pPr>
            <w:r>
              <w:rPr>
                <w:b/>
                <w:bCs/>
                <w:color w:val="FFFFFF"/>
                <w:sz w:val="19"/>
                <w:szCs w:val="19"/>
              </w:rPr>
              <w:t xml:space="preserve">Risk Category</w:t>
            </w:r>
          </w:p>
        </w:tc>
        <w:tc>
          <w:tcPr>
            <w:tcW w:type="dxa" w:w="2300"/>
            <w:shd w:fill="2E74B5" w:val="clear"/>
            <w:tcMar>
              <w:top w:type="dxa" w:w="80"/>
              <w:left w:type="dxa" w:w="100"/>
              <w:bottom w:type="dxa" w:w="80"/>
              <w:right w:type="dxa" w:w="100"/>
            </w:tcMar>
            <w:vAlign w:val="center"/>
          </w:tcPr>
          <w:p>
            <w:pPr>
              <w:jc w:val="center"/>
            </w:pPr>
            <w:r>
              <w:rPr>
                <w:b/>
                <w:bCs/>
                <w:color w:val="FFFFFF"/>
                <w:sz w:val="19"/>
                <w:szCs w:val="19"/>
              </w:rPr>
              <w:t xml:space="preserve">Weight Coefficient</w:t>
            </w:r>
          </w:p>
        </w:tc>
        <w:tc>
          <w:tcPr>
            <w:tcW w:type="dxa" w:w="1600"/>
            <w:shd w:fill="2E74B5" w:val="clear"/>
            <w:tcMar>
              <w:top w:type="dxa" w:w="80"/>
              <w:left w:type="dxa" w:w="100"/>
              <w:bottom w:type="dxa" w:w="80"/>
              <w:right w:type="dxa" w:w="100"/>
            </w:tcMar>
            <w:vAlign w:val="center"/>
          </w:tcPr>
          <w:p>
            <w:pPr>
              <w:jc w:val="center"/>
            </w:pPr>
            <w:r>
              <w:rPr>
                <w:b/>
                <w:bCs/>
                <w:color w:val="FFFFFF"/>
                <w:sz w:val="19"/>
                <w:szCs w:val="19"/>
              </w:rPr>
              <w:t xml:space="preserve">Risk Value</w:t>
            </w:r>
          </w:p>
        </w:tc>
        <w:tc>
          <w:tcPr>
            <w:tcW w:type="dxa" w:w="3000"/>
            <w:shd w:fill="2E74B5" w:val="clear"/>
            <w:tcMar>
              <w:top w:type="dxa" w:w="80"/>
              <w:left w:type="dxa" w:w="100"/>
              <w:bottom w:type="dxa" w:w="80"/>
              <w:right w:type="dxa" w:w="100"/>
            </w:tcMar>
            <w:vAlign w:val="center"/>
          </w:tcPr>
          <w:p>
            <w:pPr>
              <w:jc w:val="center"/>
            </w:pPr>
            <w:r>
              <w:rPr>
                <w:b/>
                <w:bCs/>
                <w:color w:val="FFFFFF"/>
                <w:sz w:val="19"/>
                <w:szCs w:val="19"/>
              </w:rPr>
              <w:t xml:space="preserve">Interpretation</w:t>
            </w:r>
          </w:p>
        </w:tc>
      </w:tr>
      <w:tr>
        <w:tc>
          <w:tcPr>
            <w:tcW w:type="dxa" w:w="2650"/>
            <w:shd w:fill="F2F6FB" w:val="clear"/>
            <w:tcMar>
              <w:top w:type="dxa" w:w="80"/>
              <w:left w:type="dxa" w:w="100"/>
              <w:bottom w:type="dxa" w:w="80"/>
              <w:right w:type="dxa" w:w="100"/>
            </w:tcMar>
            <w:vAlign w:val="center"/>
          </w:tcPr>
          <w:p>
            <w:pPr>
              <w:jc w:val="left"/>
            </w:pPr>
            <w:r>
              <w:rPr>
                <w:b/>
                <w:bCs/>
                <w:color w:val="000000"/>
                <w:sz w:val="19"/>
                <w:szCs w:val="19"/>
              </w:rPr>
              <w:t xml:space="preserve">Management Risk (X3)</w:t>
            </w:r>
          </w:p>
        </w:tc>
        <w:tc>
          <w:tcPr>
            <w:tcW w:type="dxa" w:w="2300"/>
            <w:shd w:fill="F2F6FB" w:val="clear"/>
            <w:tcMar>
              <w:top w:type="dxa" w:w="80"/>
              <w:left w:type="dxa" w:w="100"/>
              <w:bottom w:type="dxa" w:w="80"/>
              <w:right w:type="dxa" w:w="100"/>
            </w:tcMar>
            <w:vAlign w:val="center"/>
          </w:tcPr>
          <w:p>
            <w:pPr>
              <w:jc w:val="center"/>
            </w:pPr>
            <w:r>
              <w:rPr>
                <w:b w:val="false"/>
                <w:bCs w:val="false"/>
                <w:color w:val="000000"/>
                <w:sz w:val="19"/>
                <w:szCs w:val="19"/>
              </w:rPr>
              <w:t xml:space="preserve">0.288</w:t>
            </w:r>
          </w:p>
        </w:tc>
        <w:tc>
          <w:tcPr>
            <w:tcW w:type="dxa" w:w="1600"/>
            <w:shd w:fill="F2F6FB" w:val="clear"/>
            <w:tcMar>
              <w:top w:type="dxa" w:w="80"/>
              <w:left w:type="dxa" w:w="100"/>
              <w:bottom w:type="dxa" w:w="80"/>
              <w:right w:type="dxa" w:w="100"/>
            </w:tcMar>
            <w:vAlign w:val="center"/>
          </w:tcPr>
          <w:p>
            <w:pPr>
              <w:jc w:val="center"/>
            </w:pPr>
            <w:r>
              <w:rPr>
                <w:b w:val="false"/>
                <w:bCs w:val="false"/>
                <w:color w:val="000000"/>
                <w:sz w:val="19"/>
                <w:szCs w:val="19"/>
              </w:rPr>
              <w:t xml:space="preserve">9.93</w:t>
            </w:r>
          </w:p>
        </w:tc>
        <w:tc>
          <w:tcPr>
            <w:tcW w:type="dxa" w:w="30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Highest weight and highest risk value — organizational and managerial factors are the most significant contributors.</w:t>
            </w:r>
          </w:p>
        </w:tc>
      </w:tr>
      <w:tr>
        <w:tc>
          <w:tcPr>
            <w:tcW w:type="dxa" w:w="2650"/>
            <w:shd w:fill="FFFFFF" w:val="clear"/>
            <w:tcMar>
              <w:top w:type="dxa" w:w="80"/>
              <w:left w:type="dxa" w:w="100"/>
              <w:bottom w:type="dxa" w:w="80"/>
              <w:right w:type="dxa" w:w="100"/>
            </w:tcMar>
            <w:vAlign w:val="center"/>
          </w:tcPr>
          <w:p>
            <w:pPr>
              <w:jc w:val="left"/>
            </w:pPr>
            <w:r>
              <w:rPr>
                <w:b/>
                <w:bCs/>
                <w:color w:val="000000"/>
                <w:sz w:val="19"/>
                <w:szCs w:val="19"/>
              </w:rPr>
              <w:t xml:space="preserve">Technical Risk (X2)</w:t>
            </w:r>
          </w:p>
        </w:tc>
        <w:tc>
          <w:tcPr>
            <w:tcW w:type="dxa" w:w="2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0.266</w:t>
            </w:r>
          </w:p>
        </w:tc>
        <w:tc>
          <w:tcPr>
            <w:tcW w:type="dxa" w:w="1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9.33</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Reflects the impact of complex technical measures, technical disclosure, and engineering plans.</w:t>
            </w:r>
          </w:p>
        </w:tc>
      </w:tr>
      <w:tr>
        <w:tc>
          <w:tcPr>
            <w:tcW w:type="dxa" w:w="2650"/>
            <w:shd w:fill="F2F6FB" w:val="clear"/>
            <w:tcMar>
              <w:top w:type="dxa" w:w="80"/>
              <w:left w:type="dxa" w:w="100"/>
              <w:bottom w:type="dxa" w:w="80"/>
              <w:right w:type="dxa" w:w="100"/>
            </w:tcMar>
            <w:vAlign w:val="center"/>
          </w:tcPr>
          <w:p>
            <w:pPr>
              <w:jc w:val="left"/>
            </w:pPr>
            <w:r>
              <w:rPr>
                <w:b/>
                <w:bCs/>
                <w:color w:val="000000"/>
                <w:sz w:val="19"/>
                <w:szCs w:val="19"/>
              </w:rPr>
              <w:t xml:space="preserve">Environmental Risk (X4)</w:t>
            </w:r>
          </w:p>
        </w:tc>
        <w:tc>
          <w:tcPr>
            <w:tcW w:type="dxa" w:w="2300"/>
            <w:shd w:fill="F2F6FB" w:val="clear"/>
            <w:tcMar>
              <w:top w:type="dxa" w:w="80"/>
              <w:left w:type="dxa" w:w="100"/>
              <w:bottom w:type="dxa" w:w="80"/>
              <w:right w:type="dxa" w:w="100"/>
            </w:tcMar>
            <w:vAlign w:val="center"/>
          </w:tcPr>
          <w:p>
            <w:pPr>
              <w:jc w:val="center"/>
            </w:pPr>
            <w:r>
              <w:rPr>
                <w:b w:val="false"/>
                <w:bCs w:val="false"/>
                <w:color w:val="000000"/>
                <w:sz w:val="19"/>
                <w:szCs w:val="19"/>
              </w:rPr>
              <w:t xml:space="preserve">0.212</w:t>
            </w:r>
          </w:p>
        </w:tc>
        <w:tc>
          <w:tcPr>
            <w:tcW w:type="dxa" w:w="1600"/>
            <w:shd w:fill="F2F6FB" w:val="clear"/>
            <w:tcMar>
              <w:top w:type="dxa" w:w="80"/>
              <w:left w:type="dxa" w:w="100"/>
              <w:bottom w:type="dxa" w:w="80"/>
              <w:right w:type="dxa" w:w="100"/>
            </w:tcMar>
            <w:vAlign w:val="center"/>
          </w:tcPr>
          <w:p>
            <w:pPr>
              <w:jc w:val="center"/>
            </w:pPr>
            <w:r>
              <w:rPr>
                <w:b w:val="false"/>
                <w:bCs w:val="false"/>
                <w:color w:val="000000"/>
                <w:sz w:val="19"/>
                <w:szCs w:val="19"/>
              </w:rPr>
              <w:t xml:space="preserve">8.42</w:t>
            </w:r>
          </w:p>
        </w:tc>
        <w:tc>
          <w:tcPr>
            <w:tcW w:type="dxa" w:w="30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Captures the impact of seasonal extreme weather and geological conditions on the site.</w:t>
            </w:r>
          </w:p>
        </w:tc>
      </w:tr>
      <w:tr>
        <w:tc>
          <w:tcPr>
            <w:tcW w:type="dxa" w:w="2650"/>
            <w:shd w:fill="FFFFFF" w:val="clear"/>
            <w:tcMar>
              <w:top w:type="dxa" w:w="80"/>
              <w:left w:type="dxa" w:w="100"/>
              <w:bottom w:type="dxa" w:w="80"/>
              <w:right w:type="dxa" w:w="100"/>
            </w:tcMar>
            <w:vAlign w:val="center"/>
          </w:tcPr>
          <w:p>
            <w:pPr>
              <w:jc w:val="left"/>
            </w:pPr>
            <w:r>
              <w:rPr>
                <w:b/>
                <w:bCs/>
                <w:color w:val="000000"/>
                <w:sz w:val="19"/>
                <w:szCs w:val="19"/>
              </w:rPr>
              <w:t xml:space="preserve">Personnel Risk (X1)</w:t>
            </w:r>
          </w:p>
        </w:tc>
        <w:tc>
          <w:tcPr>
            <w:tcW w:type="dxa" w:w="2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0.234</w:t>
            </w:r>
          </w:p>
        </w:tc>
        <w:tc>
          <w:tcPr>
            <w:tcW w:type="dxa" w:w="1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7.83</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Reflects the influence of professional qualifications and physical/cognitive states of the labor force.</w:t>
            </w:r>
          </w:p>
        </w:tc>
      </w:tr>
    </w:tbl>
    <w:p>
      <w:pPr>
        <w:spacing w:before="200"/>
      </w:pPr>
    </w:p>
    <w:p>
      <w:pPr>
        <w:spacing w:after="160" w:line="276"/>
        <w:jc w:val="both"/>
      </w:pPr>
      <w:r>
        <w:rPr>
          <w:sz w:val="22"/>
          <w:szCs w:val="22"/>
        </w:rPr>
        <w:t xml:space="preserve">The high risk values calculated for Management Risk and Technical Risk align with the practical realities of the Inner Ring project, which is situated in a high-density urban corridor requiring complex elevated mainline construction, heavy mechanical equipment, and strict coordination to prevent traffic disruptions. The overall Moderate Risk classification indicates that while the project is manageable, immediate preventive measures, such as establishing dedicated safety supervision agencies and conducting regular equipment audits, are required to prevent risks from escalating to critical thresholds.</w:t>
      </w:r>
    </w:p>
    <w:p>
      <w:pPr>
        <w:pStyle w:val="Heading2"/>
        <w:spacing w:after="120" w:before="280"/>
      </w:pPr>
      <w:r>
        <w:rPr>
          <w:b/>
          <w:bCs/>
          <w:color w:val="2E74B5"/>
          <w:sz w:val="24"/>
          <w:szCs w:val="24"/>
        </w:rPr>
        <w:t xml:space="preserve">3.2  Benchmark Model Comparative Analysis</w:t>
      </w:r>
    </w:p>
    <w:p>
      <w:pPr>
        <w:spacing w:after="160" w:line="276"/>
        <w:jc w:val="both"/>
      </w:pPr>
      <w:r>
        <w:rPr>
          <w:sz w:val="22"/>
          <w:szCs w:val="22"/>
        </w:rPr>
        <w:t xml:space="preserve">To validate the performance and unique positioning of the proposed ID3 decision tree-risk matrix model, the authors conducted a comparative study benchmarking it against three traditional evaluation methods. The comparative data is synthesized in Table 1 below.</w:t>
      </w:r>
    </w:p>
    <w:tbl>
      <w:tblPr>
        <w:tblW w:type="dxa" w:w="9550"/>
        <w:tblBorders>
          <w:top w:val="single" w:color="B7B7B7" w:sz="4"/>
          <w:left w:val="single" w:color="B7B7B7" w:sz="4"/>
          <w:bottom w:val="single" w:color="B7B7B7" w:sz="4"/>
          <w:right w:val="single" w:color="B7B7B7" w:sz="4"/>
          <w:insideH w:val="single" w:color="B7B7B7" w:sz="4"/>
          <w:insideV w:val="single" w:color="B7B7B7" w:sz="4"/>
        </w:tblBorders>
      </w:tblPr>
      <w:tblGrid>
        <w:gridCol w:w="2100"/>
        <w:gridCol w:w="1050"/>
        <w:gridCol w:w="1050"/>
        <w:gridCol w:w="1050"/>
        <w:gridCol w:w="1150"/>
        <w:gridCol w:w="1150"/>
        <w:gridCol w:w="2050"/>
      </w:tblGrid>
      <w:tr>
        <w:trPr>
          <w:tblHeader/>
        </w:trPr>
        <w:tc>
          <w:tcPr>
            <w:tcW w:type="dxa" w:w="2100"/>
            <w:shd w:fill="1F3864" w:val="clear"/>
            <w:tcMar>
              <w:top w:type="dxa" w:w="80"/>
              <w:left w:type="dxa" w:w="100"/>
              <w:bottom w:type="dxa" w:w="80"/>
              <w:right w:type="dxa" w:w="100"/>
            </w:tcMar>
            <w:vAlign w:val="center"/>
          </w:tcPr>
          <w:p>
            <w:pPr>
              <w:jc w:val="center"/>
            </w:pPr>
            <w:r>
              <w:rPr>
                <w:b/>
                <w:bCs/>
                <w:color w:val="FFFFFF"/>
                <w:sz w:val="18"/>
                <w:szCs w:val="18"/>
              </w:rPr>
              <w:t xml:space="preserve">Evaluation Method</w:t>
            </w:r>
          </w:p>
        </w:tc>
        <w:tc>
          <w:tcPr>
            <w:tcW w:type="dxa" w:w="1050"/>
            <w:shd w:fill="1F3864" w:val="clear"/>
            <w:tcMar>
              <w:top w:type="dxa" w:w="80"/>
              <w:left w:type="dxa" w:w="100"/>
              <w:bottom w:type="dxa" w:w="80"/>
              <w:right w:type="dxa" w:w="100"/>
            </w:tcMar>
            <w:vAlign w:val="center"/>
          </w:tcPr>
          <w:p>
            <w:pPr>
              <w:jc w:val="center"/>
            </w:pPr>
            <w:r>
              <w:rPr>
                <w:b/>
                <w:bCs/>
                <w:color w:val="FFFFFF"/>
                <w:sz w:val="18"/>
                <w:szCs w:val="18"/>
              </w:rPr>
              <w:t xml:space="preserve">Personnel Risk (X1)</w:t>
            </w:r>
          </w:p>
        </w:tc>
        <w:tc>
          <w:tcPr>
            <w:tcW w:type="dxa" w:w="1050"/>
            <w:shd w:fill="1F3864" w:val="clear"/>
            <w:tcMar>
              <w:top w:type="dxa" w:w="80"/>
              <w:left w:type="dxa" w:w="100"/>
              <w:bottom w:type="dxa" w:w="80"/>
              <w:right w:type="dxa" w:w="100"/>
            </w:tcMar>
            <w:vAlign w:val="center"/>
          </w:tcPr>
          <w:p>
            <w:pPr>
              <w:jc w:val="center"/>
            </w:pPr>
            <w:r>
              <w:rPr>
                <w:b/>
                <w:bCs/>
                <w:color w:val="FFFFFF"/>
                <w:sz w:val="18"/>
                <w:szCs w:val="18"/>
              </w:rPr>
              <w:t xml:space="preserve">Technical Risk (X2)</w:t>
            </w:r>
          </w:p>
        </w:tc>
        <w:tc>
          <w:tcPr>
            <w:tcW w:type="dxa" w:w="1050"/>
            <w:shd w:fill="1F3864" w:val="clear"/>
            <w:tcMar>
              <w:top w:type="dxa" w:w="80"/>
              <w:left w:type="dxa" w:w="100"/>
              <w:bottom w:type="dxa" w:w="80"/>
              <w:right w:type="dxa" w:w="100"/>
            </w:tcMar>
            <w:vAlign w:val="center"/>
          </w:tcPr>
          <w:p>
            <w:pPr>
              <w:jc w:val="center"/>
            </w:pPr>
            <w:r>
              <w:rPr>
                <w:b/>
                <w:bCs/>
                <w:color w:val="FFFFFF"/>
                <w:sz w:val="18"/>
                <w:szCs w:val="18"/>
              </w:rPr>
              <w:t xml:space="preserve">Management Risk (X3)</w:t>
            </w:r>
          </w:p>
        </w:tc>
        <w:tc>
          <w:tcPr>
            <w:tcW w:type="dxa" w:w="1150"/>
            <w:shd w:fill="1F3864" w:val="clear"/>
            <w:tcMar>
              <w:top w:type="dxa" w:w="80"/>
              <w:left w:type="dxa" w:w="100"/>
              <w:bottom w:type="dxa" w:w="80"/>
              <w:right w:type="dxa" w:w="100"/>
            </w:tcMar>
            <w:vAlign w:val="center"/>
          </w:tcPr>
          <w:p>
            <w:pPr>
              <w:jc w:val="center"/>
            </w:pPr>
            <w:r>
              <w:rPr>
                <w:b/>
                <w:bCs/>
                <w:color w:val="FFFFFF"/>
                <w:sz w:val="18"/>
                <w:szCs w:val="18"/>
              </w:rPr>
              <w:t xml:space="preserve">Environmental Risk (X4)</w:t>
            </w:r>
          </w:p>
        </w:tc>
        <w:tc>
          <w:tcPr>
            <w:tcW w:type="dxa" w:w="1150"/>
            <w:shd w:fill="1F3864" w:val="clear"/>
            <w:tcMar>
              <w:top w:type="dxa" w:w="80"/>
              <w:left w:type="dxa" w:w="100"/>
              <w:bottom w:type="dxa" w:w="80"/>
              <w:right w:type="dxa" w:w="100"/>
            </w:tcMar>
            <w:vAlign w:val="center"/>
          </w:tcPr>
          <w:p>
            <w:pPr>
              <w:jc w:val="center"/>
            </w:pPr>
            <w:r>
              <w:rPr>
                <w:b/>
                <w:bCs/>
                <w:color w:val="FFFFFF"/>
                <w:sz w:val="18"/>
                <w:szCs w:val="18"/>
              </w:rPr>
              <w:t xml:space="preserve">Calculated Risk Level</w:t>
            </w:r>
          </w:p>
        </w:tc>
        <w:tc>
          <w:tcPr>
            <w:tcW w:type="dxa" w:w="2050"/>
            <w:shd w:fill="1F3864" w:val="clear"/>
            <w:tcMar>
              <w:top w:type="dxa" w:w="80"/>
              <w:left w:type="dxa" w:w="100"/>
              <w:bottom w:type="dxa" w:w="80"/>
              <w:right w:type="dxa" w:w="100"/>
            </w:tcMar>
            <w:vAlign w:val="center"/>
          </w:tcPr>
          <w:p>
            <w:pPr>
              <w:jc w:val="center"/>
            </w:pPr>
            <w:r>
              <w:rPr>
                <w:b/>
                <w:bCs/>
                <w:color w:val="FFFFFF"/>
                <w:sz w:val="18"/>
                <w:szCs w:val="18"/>
              </w:rPr>
              <w:t xml:space="preserve">Model Focus &amp; Alignment</w:t>
            </w:r>
          </w:p>
        </w:tc>
      </w:tr>
      <w:tr>
        <w:tc>
          <w:tcPr>
            <w:tcW w:type="dxa" w:w="2100"/>
            <w:shd w:fill="F2F6FB" w:val="clear"/>
            <w:tcMar>
              <w:top w:type="dxa" w:w="80"/>
              <w:left w:type="dxa" w:w="100"/>
              <w:bottom w:type="dxa" w:w="80"/>
              <w:right w:type="dxa" w:w="100"/>
            </w:tcMar>
            <w:vAlign w:val="center"/>
          </w:tcPr>
          <w:p>
            <w:pPr>
              <w:jc w:val="left"/>
            </w:pPr>
            <w:r>
              <w:rPr>
                <w:b/>
                <w:bCs/>
                <w:color w:val="000000"/>
                <w:sz w:val="18"/>
                <w:szCs w:val="18"/>
              </w:rPr>
              <w:t xml:space="preserve">Proposed Decision Tree — Risk Matrix</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0.234</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0.266</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0.288</w:t>
            </w:r>
          </w:p>
        </w:tc>
        <w:tc>
          <w:tcPr>
            <w:tcW w:type="dxa" w:w="11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0.234</w:t>
            </w:r>
          </w:p>
        </w:tc>
        <w:tc>
          <w:tcPr>
            <w:tcW w:type="dxa" w:w="11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Moderate Risk</w:t>
            </w:r>
          </w:p>
        </w:tc>
        <w:tc>
          <w:tcPr>
            <w:tcW w:type="dxa" w:w="2050"/>
            <w:shd w:fill="F2F6FB" w:val="clear"/>
            <w:tcMar>
              <w:top w:type="dxa" w:w="80"/>
              <w:left w:type="dxa" w:w="100"/>
              <w:bottom w:type="dxa" w:w="80"/>
              <w:right w:type="dxa" w:w="100"/>
            </w:tcMar>
            <w:vAlign w:val="center"/>
          </w:tcPr>
          <w:p>
            <w:pPr>
              <w:jc w:val="left"/>
            </w:pPr>
            <w:r>
              <w:rPr>
                <w:b w:val="false"/>
                <w:bCs w:val="false"/>
                <w:color w:val="000000"/>
                <w:sz w:val="18"/>
                <w:szCs w:val="18"/>
              </w:rPr>
              <w:t xml:space="preserve">Management quality &amp; technical complexity</w:t>
            </w:r>
          </w:p>
        </w:tc>
      </w:tr>
      <w:tr>
        <w:tc>
          <w:tcPr>
            <w:tcW w:type="dxa" w:w="2100"/>
            <w:shd w:fill="FFFFFF" w:val="clear"/>
            <w:tcMar>
              <w:top w:type="dxa" w:w="80"/>
              <w:left w:type="dxa" w:w="100"/>
              <w:bottom w:type="dxa" w:w="80"/>
              <w:right w:type="dxa" w:w="100"/>
            </w:tcMar>
            <w:vAlign w:val="center"/>
          </w:tcPr>
          <w:p>
            <w:pPr>
              <w:jc w:val="left"/>
            </w:pPr>
            <w:r>
              <w:rPr>
                <w:b/>
                <w:bCs/>
                <w:color w:val="000000"/>
                <w:sz w:val="18"/>
                <w:szCs w:val="18"/>
              </w:rPr>
              <w:t xml:space="preserve">Combined Weighting — 2D Cloud Model</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0.439</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0.188</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0.219</w:t>
            </w:r>
          </w:p>
        </w:tc>
        <w:tc>
          <w:tcPr>
            <w:tcW w:type="dxa" w:w="11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0.155</w:t>
            </w:r>
          </w:p>
        </w:tc>
        <w:tc>
          <w:tcPr>
            <w:tcW w:type="dxa" w:w="11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Low Risk</w:t>
            </w:r>
          </w:p>
        </w:tc>
        <w:tc>
          <w:tcPr>
            <w:tcW w:type="dxa" w:w="205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Over-emphasizes personnel qualifications</w:t>
            </w:r>
          </w:p>
        </w:tc>
      </w:tr>
      <w:tr>
        <w:tc>
          <w:tcPr>
            <w:tcW w:type="dxa" w:w="2100"/>
            <w:shd w:fill="F2F6FB" w:val="clear"/>
            <w:tcMar>
              <w:top w:type="dxa" w:w="80"/>
              <w:left w:type="dxa" w:w="100"/>
              <w:bottom w:type="dxa" w:w="80"/>
              <w:right w:type="dxa" w:w="100"/>
            </w:tcMar>
            <w:vAlign w:val="center"/>
          </w:tcPr>
          <w:p>
            <w:pPr>
              <w:jc w:val="left"/>
            </w:pPr>
            <w:r>
              <w:rPr>
                <w:b/>
                <w:bCs/>
                <w:color w:val="000000"/>
                <w:sz w:val="18"/>
                <w:szCs w:val="18"/>
              </w:rPr>
              <w:t xml:space="preserve">Improved Entropy Weight — Matter-Element</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0.277</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0.260</w:t>
            </w:r>
          </w:p>
        </w:tc>
        <w:tc>
          <w:tcPr>
            <w:tcW w:type="dxa" w:w="10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0.248</w:t>
            </w:r>
          </w:p>
        </w:tc>
        <w:tc>
          <w:tcPr>
            <w:tcW w:type="dxa" w:w="11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0.215</w:t>
            </w:r>
          </w:p>
        </w:tc>
        <w:tc>
          <w:tcPr>
            <w:tcW w:type="dxa" w:w="1150"/>
            <w:shd w:fill="F2F6FB" w:val="clear"/>
            <w:tcMar>
              <w:top w:type="dxa" w:w="80"/>
              <w:left w:type="dxa" w:w="100"/>
              <w:bottom w:type="dxa" w:w="80"/>
              <w:right w:type="dxa" w:w="100"/>
            </w:tcMar>
            <w:vAlign w:val="center"/>
          </w:tcPr>
          <w:p>
            <w:pPr>
              <w:jc w:val="center"/>
            </w:pPr>
            <w:r>
              <w:rPr>
                <w:b w:val="false"/>
                <w:bCs w:val="false"/>
                <w:color w:val="000000"/>
                <w:sz w:val="18"/>
                <w:szCs w:val="18"/>
              </w:rPr>
              <w:t xml:space="preserve">Low Risk</w:t>
            </w:r>
          </w:p>
        </w:tc>
        <w:tc>
          <w:tcPr>
            <w:tcW w:type="dxa" w:w="2050"/>
            <w:shd w:fill="F2F6FB" w:val="clear"/>
            <w:tcMar>
              <w:top w:type="dxa" w:w="80"/>
              <w:left w:type="dxa" w:w="100"/>
              <w:bottom w:type="dxa" w:w="80"/>
              <w:right w:type="dxa" w:w="100"/>
            </w:tcMar>
            <w:vAlign w:val="center"/>
          </w:tcPr>
          <w:p>
            <w:pPr>
              <w:jc w:val="left"/>
            </w:pPr>
            <w:r>
              <w:rPr>
                <w:b w:val="false"/>
                <w:bCs w:val="false"/>
                <w:color w:val="000000"/>
                <w:sz w:val="18"/>
                <w:szCs w:val="18"/>
              </w:rPr>
              <w:t xml:space="preserve">Smoothed, balanced weight distribution</w:t>
            </w:r>
          </w:p>
        </w:tc>
      </w:tr>
      <w:tr>
        <w:tc>
          <w:tcPr>
            <w:tcW w:type="dxa" w:w="2100"/>
            <w:shd w:fill="FFFFFF" w:val="clear"/>
            <w:tcMar>
              <w:top w:type="dxa" w:w="80"/>
              <w:left w:type="dxa" w:w="100"/>
              <w:bottom w:type="dxa" w:w="80"/>
              <w:right w:type="dxa" w:w="100"/>
            </w:tcMar>
            <w:vAlign w:val="center"/>
          </w:tcPr>
          <w:p>
            <w:pPr>
              <w:jc w:val="left"/>
            </w:pPr>
            <w:r>
              <w:rPr>
                <w:b/>
                <w:bCs/>
                <w:color w:val="000000"/>
                <w:sz w:val="18"/>
                <w:szCs w:val="18"/>
              </w:rPr>
              <w:t xml:space="preserve">AHP — Fuzzy Comprehensive Evaluation</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0.232</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0.279</w:t>
            </w:r>
          </w:p>
        </w:tc>
        <w:tc>
          <w:tcPr>
            <w:tcW w:type="dxa" w:w="10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0.333</w:t>
            </w:r>
          </w:p>
        </w:tc>
        <w:tc>
          <w:tcPr>
            <w:tcW w:type="dxa" w:w="11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0.156</w:t>
            </w:r>
          </w:p>
        </w:tc>
        <w:tc>
          <w:tcPr>
            <w:tcW w:type="dxa" w:w="115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Moderate Risk</w:t>
            </w:r>
          </w:p>
        </w:tc>
        <w:tc>
          <w:tcPr>
            <w:tcW w:type="dxa" w:w="205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Heavy reliance on expert opinion weights</w:t>
            </w:r>
          </w:p>
        </w:tc>
      </w:tr>
    </w:tbl>
    <w:p>
      <w:pPr>
        <w:spacing w:after="200" w:before="60"/>
      </w:pPr>
      <w:r>
        <w:rPr>
          <w:i/>
          <w:iCs/>
          <w:color w:val="595959"/>
          <w:sz w:val="18"/>
          <w:szCs w:val="18"/>
        </w:rPr>
        <w:t xml:space="preserve">Table 1. Comparative benchmarking of risk-weighting models.</w:t>
      </w:r>
    </w:p>
    <w:p>
      <w:pPr>
        <w:spacing w:after="160" w:line="276"/>
        <w:jc w:val="both"/>
      </w:pPr>
      <w:r>
        <w:rPr>
          <w:b/>
          <w:bCs/>
          <w:color w:val="1F3864"/>
          <w:sz w:val="22"/>
          <w:szCs w:val="22"/>
        </w:rPr>
        <w:t xml:space="preserve">Critical Insight from Comparative Data: </w:t>
      </w:r>
      <w:r>
        <w:rPr>
          <w:sz w:val="22"/>
          <w:szCs w:val="22"/>
        </w:rPr>
        <w:t xml:space="preserve"> The comparative analysis reveals that the proposed Decision Tree—Risk Matrix method and the AHP—Fuzzy Comprehensive Evaluation method both classify the project as 'Moderate Risk', while the other two benchmarked models evaluate it as 'Low Risk'. The discrepancies lie in how the weights are allocated across the categories. The Combined Weighting—2D Cloud Model assigns an exceptionally high weight to Personnel Risk (0.439), which leads to an underestimation of risk because the personnel on this highly controlled urban project were well-qualified. Conversely, the proposed Decision Tree—Risk Matrix method correctly identifies that Management Risk (0.288) and Technical Risk (0.266) are the true systemic vulnerabilities of this highly complex construction project, yielding a more realistic and conservative 'Moderate Risk' assessment.</w:t>
      </w:r>
    </w:p>
    <w:p>
      <w:pPr>
        <w:pStyle w:val="Heading2"/>
        <w:spacing w:after="120" w:before="280"/>
      </w:pPr>
      <w:r>
        <w:rPr>
          <w:b/>
          <w:bCs/>
          <w:color w:val="2E74B5"/>
          <w:sz w:val="24"/>
          <w:szCs w:val="24"/>
        </w:rPr>
        <w:t xml:space="preserve">3.3  Critical Evaluation of Metrics and Potential Biases</w:t>
      </w:r>
    </w:p>
    <w:p>
      <w:pPr>
        <w:spacing w:after="160" w:line="276"/>
        <w:jc w:val="both"/>
      </w:pPr>
      <w:r>
        <w:rPr>
          <w:sz w:val="22"/>
          <w:szCs w:val="22"/>
        </w:rPr>
        <w:t xml:space="preserve">While the results demonstrate the model's practicality, a deeper critique reveals potential biases and structural weaknesses in the evaluation protocol:</w:t>
      </w:r>
    </w:p>
    <w:p>
      <w:pPr>
        <w:spacing w:after="160" w:line="276"/>
        <w:jc w:val="both"/>
      </w:pPr>
      <w:r>
        <w:rPr>
          <w:b/>
          <w:bCs/>
          <w:color w:val="1F3864"/>
          <w:sz w:val="22"/>
          <w:szCs w:val="22"/>
        </w:rPr>
        <w:t xml:space="preserve">1. Delphi Method Coefficient of Variation (&lt; 0.3): </w:t>
      </w:r>
      <w:r>
        <w:rPr>
          <w:sz w:val="22"/>
          <w:szCs w:val="22"/>
        </w:rPr>
        <w:t xml:space="preserve"> The authors state that they used the Delphi method with multiple rounds of anonymous expert scoring to evaluate probability indices, continuing until the coefficient of variation (CV) fell below 0.3. While a CV &lt; 0.3 is a standard threshold to show statistical consensus among experts, it does not guarantee the objective accuracy of the scores themselves. If the expert panel shares similar professional backgrounds, they may achieve consensus (low CV) while still being collectively biased. This is a common pitfall of expert-based evaluation systems.</w:t>
      </w:r>
    </w:p>
    <w:p>
      <w:pPr>
        <w:spacing w:after="160" w:line="276"/>
        <w:jc w:val="both"/>
      </w:pPr>
      <w:r>
        <w:rPr>
          <w:b/>
          <w:bCs/>
          <w:color w:val="1F3864"/>
          <w:sz w:val="22"/>
          <w:szCs w:val="22"/>
        </w:rPr>
        <w:t xml:space="preserve">2. Single-Project Dataset Bias: </w:t>
      </w:r>
      <w:r>
        <w:rPr>
          <w:sz w:val="22"/>
          <w:szCs w:val="22"/>
        </w:rPr>
        <w:t xml:space="preserve"> The historical frequency dataset is drawn entirely from a single urban infrastructure project in a specific city (the Inner Ring project) from 2016 to 2021. This localized dataset presents significant geographical and operational biases. For instance, the environmental factors (X4) and management structures (X3) of a highly regulated urban project are very different from those of high-altitude highway tunnels or remote mountainous roads. Applying a decision tree trained on this urban dataset to other geological regions would lead to poor generalization and incorrect risk classifications.</w:t>
      </w:r>
    </w:p>
    <w:p>
      <w:pPr>
        <w:spacing w:after="160" w:line="276"/>
        <w:jc w:val="both"/>
      </w:pPr>
      <w:r>
        <w:rPr>
          <w:b/>
          <w:bCs/>
          <w:color w:val="1F3864"/>
          <w:sz w:val="22"/>
          <w:szCs w:val="22"/>
        </w:rPr>
        <w:t xml:space="preserve">3. Lack of Cross-Validation: </w:t>
      </w:r>
      <w:r>
        <w:rPr>
          <w:sz w:val="22"/>
          <w:szCs w:val="22"/>
        </w:rPr>
        <w:t xml:space="preserve"> The paper lacks standard machine learning validation protocols. To establish true model reliability, the authors should have split the historical event data into training and testing subsets, using metrics such as classification accuracy, precision, recall, and F1-score to evaluate the decision tree's predictive power. Without rigorous cross-validation, there is a substantial risk that the decision tree's rules are overfitted to the specific historical events of the Inner Ring project, reducing its robustness for prospective risk forecasting.</w:t>
      </w:r>
    </w:p>
    <w:p>
      <w:pPr>
        <w:pStyle w:val="Heading2"/>
        <w:spacing w:after="120" w:before="280"/>
      </w:pPr>
      <w:r>
        <w:rPr>
          <w:b/>
          <w:bCs/>
          <w:color w:val="2E74B5"/>
          <w:sz w:val="24"/>
          <w:szCs w:val="24"/>
        </w:rPr>
        <w:t xml:space="preserve">3.4  Real-World Applicability and Operational Scaling Challenges</w:t>
      </w:r>
    </w:p>
    <w:p>
      <w:pPr>
        <w:spacing w:after="160" w:line="276"/>
        <w:jc w:val="both"/>
      </w:pPr>
      <w:r>
        <w:rPr>
          <w:b/>
          <w:bCs/>
          <w:color w:val="1F3864"/>
          <w:sz w:val="22"/>
          <w:szCs w:val="22"/>
        </w:rPr>
        <w:t xml:space="preserve">Deployability: </w:t>
      </w:r>
      <w:r>
        <w:rPr>
          <w:sz w:val="22"/>
          <w:szCs w:val="22"/>
        </w:rPr>
        <w:t xml:space="preserve"> The ID3-Risk Matrix model is highly suitable for on-site deployment in major civil engineering projects such as highway roadbed construction, bridge and culvert work, and tunnel excavation, where safety records are systematically logged. It can be integrated into digital project management systems (such as BIM or digital twins) to provide a dashboard visualizing active risk levels based on real-time site conditions.</w:t>
      </w:r>
    </w:p>
    <w:p>
      <w:pPr>
        <w:spacing w:after="160" w:line="276"/>
        <w:jc w:val="both"/>
      </w:pPr>
      <w:r>
        <w:rPr>
          <w:sz w:val="22"/>
          <w:szCs w:val="22"/>
        </w:rPr>
        <w:t xml:space="preserve">However, scaling this solution to industry-wide application presents several formidable challenges:</w:t>
      </w:r>
    </w:p>
    <w:p>
      <w:pPr>
        <w:pStyle w:val="ListParagraph"/>
        <w:numPr>
          <w:ilvl w:val="0"/>
          <w:numId w:val="2"/>
        </w:numPr>
        <w:spacing w:after="100" w:line="276"/>
      </w:pPr>
      <w:r>
        <w:rPr>
          <w:sz w:val="22"/>
          <w:szCs w:val="22"/>
        </w:rPr>
        <w:t xml:space="preserve">Data Collection and Sparsity Bottlenecks: The model requires large, high-quality historical datasets documenting the frequency of specific risk factors and corresponding accident outcomes. In practice, many construction companies do not log minor safety vulnerabilities (e.g., minor equipment delays or temporary personnel health issues) with the level of detail required to train a reliable decision tree. This data sparsity makes it difficult to train localized models.</w:t>
      </w:r>
    </w:p>
    <w:p>
      <w:pPr>
        <w:pStyle w:val="ListParagraph"/>
        <w:numPr>
          <w:ilvl w:val="0"/>
          <w:numId w:val="2"/>
        </w:numPr>
        <w:spacing w:after="100" w:line="276"/>
      </w:pPr>
      <w:r>
        <w:rPr>
          <w:sz w:val="22"/>
          <w:szCs w:val="22"/>
        </w:rPr>
        <w:t xml:space="preserve">Model Drift and Maintenance: As construction technologies, safety standards, and regional environmental conditions change, the historical decision tree rules will become obsolete (model drift). Maintaining the model requires continuous data collection, regular retraining, and expert oversight, which demands specialized data science skills that are often unavailable in civil engineering firms.</w:t>
      </w:r>
    </w:p>
    <w:p>
      <w:pPr>
        <w:pStyle w:val="ListParagraph"/>
        <w:numPr>
          <w:ilvl w:val="0"/>
          <w:numId w:val="2"/>
        </w:numPr>
        <w:spacing w:after="100" w:line="276"/>
      </w:pPr>
      <w:r>
        <w:rPr>
          <w:sz w:val="22"/>
          <w:szCs w:val="22"/>
        </w:rPr>
        <w:t xml:space="preserve">Ethical and Liability Implications: Relying on automated machine learning models to determine safety risk thresholds introduces severe ethical and liability concerns. If a decision tree predicts a 'Low Risk' level for a specific set of parameters, and an accident subsequently occurs, where does the liability lie? Civil engineering safety regulations must define how automated risk metrics are integrated into the chain of command, ensuring they supplement, rather than replace, human professional accountability.</w:t>
      </w:r>
    </w:p>
    <w:p>
      <w:r>
        <w:br w:type="page"/>
      </w:r>
    </w:p>
    <w:p>
      <w:pPr>
        <w:pStyle w:val="Heading1"/>
        <w:pBdr>
          <w:bottom w:val="single" w:color="2E74B5" w:sz="8" w:space="4"/>
        </w:pBdr>
        <w:spacing w:after="160" w:before="360"/>
      </w:pPr>
      <w:r>
        <w:rPr>
          <w:b/>
          <w:bCs/>
          <w:color w:val="1F3864"/>
          <w:sz w:val="28"/>
          <w:szCs w:val="28"/>
        </w:rPr>
        <w:t xml:space="preserve">Task 4 — Reflection &amp; Course Integration</w:t>
      </w:r>
    </w:p>
    <w:p>
      <w:pPr>
        <w:pStyle w:val="Heading2"/>
        <w:spacing w:after="120" w:before="280"/>
      </w:pPr>
      <w:r>
        <w:rPr>
          <w:b/>
          <w:bCs/>
          <w:color w:val="2E74B5"/>
          <w:sz w:val="24"/>
          <w:szCs w:val="24"/>
        </w:rPr>
        <w:t xml:space="preserve">4.1  Deepening Course Understanding (CO4 Integration)</w:t>
      </w:r>
    </w:p>
    <w:p>
      <w:pPr>
        <w:spacing w:after="160" w:line="276"/>
        <w:jc w:val="both"/>
      </w:pPr>
      <w:r>
        <w:rPr>
          <w:sz w:val="22"/>
          <w:szCs w:val="22"/>
        </w:rPr>
        <w:t xml:space="preserve">Reading and critically analyzing this article has provided three major insights that deepen my understanding of Course Outcome 4 (CO4) within the CSA17 Artificial Intelligence syllabus:</w:t>
      </w:r>
    </w:p>
    <w:p>
      <w:pPr>
        <w:spacing w:after="160" w:line="276"/>
        <w:jc w:val="both"/>
      </w:pPr>
      <w:r>
        <w:rPr>
          <w:b/>
          <w:bCs/>
          <w:color w:val="1F3864"/>
          <w:sz w:val="22"/>
          <w:szCs w:val="22"/>
        </w:rPr>
        <w:t xml:space="preserve">1. Real-World Application of Inductive Bias and Occam's Razor: </w:t>
      </w:r>
      <w:r>
        <w:rPr>
          <w:sz w:val="22"/>
          <w:szCs w:val="22"/>
        </w:rPr>
        <w:t xml:space="preserve"> In the classroom, the choice of splitting criteria in decision trees is often treated as a purely mathematical exercise. This paper demonstrates the practical importance of inductive bias. By preferring shorter trees with high information gain nodes at the root (such as 'Low level of professional skills X₁₂₃'), the model naturally focuses managerial attention on the most critical factors. This directly illustrates Occam's Razor — building the simplest logical model that explains the data to maximize clarity and deployability in high-stakes environments.</w:t>
      </w:r>
    </w:p>
    <w:p>
      <w:pPr>
        <w:spacing w:after="160" w:line="276"/>
        <w:jc w:val="both"/>
      </w:pPr>
      <w:r>
        <w:rPr>
          <w:b/>
          <w:bCs/>
          <w:color w:val="1F3864"/>
          <w:sz w:val="22"/>
          <w:szCs w:val="22"/>
        </w:rPr>
        <w:t xml:space="preserve">2. The Synergy of Soft Computing and Crisp Machine Learning: </w:t>
      </w:r>
      <w:r>
        <w:rPr>
          <w:sz w:val="22"/>
          <w:szCs w:val="22"/>
        </w:rPr>
        <w:t xml:space="preserve"> The integration of the fuzzy membership functions (for consequence severity) and the discrete ID3 decision tree (for risk probability weighting) highlights how soft computing and symbolic machine learning can work together. In civil engineering, data is often vague and qualitative. Translating expert scores into fuzzy sets before multiplying them by data-driven weights shows how machine learning can adapt to real-world datasets that are otherwise too noisy for standard crisp algorithms.</w:t>
      </w:r>
    </w:p>
    <w:p>
      <w:pPr>
        <w:spacing w:after="160" w:line="276"/>
        <w:jc w:val="both"/>
      </w:pPr>
      <w:r>
        <w:rPr>
          <w:b/>
          <w:bCs/>
          <w:color w:val="1F3864"/>
          <w:sz w:val="22"/>
          <w:szCs w:val="22"/>
        </w:rPr>
        <w:t xml:space="preserve">3. Interpretability as a Core Requirement of Safety-Critical AI: </w:t>
      </w:r>
      <w:r>
        <w:rPr>
          <w:sz w:val="22"/>
          <w:szCs w:val="22"/>
        </w:rPr>
        <w:t xml:space="preserve"> In deep learning and reinforcement learning, models are often treated as 'black boxes' where decision-making logic is hidden behind thousands of parameters. This article demonstrates why decision trees are still highly valuable in safety-critical domains like civil engineering. The ability to translate trained tree paths into explicit, visual IF-THEN rules allows safety managers to trace exactly why a specific site state is classified as high-risk, providing the transparency required to justify stopping work or implementing expensive mitigations.</w:t>
      </w:r>
    </w:p>
    <w:p>
      <w:pPr>
        <w:pStyle w:val="Heading2"/>
        <w:spacing w:after="120" w:before="280"/>
      </w:pPr>
      <w:r>
        <w:rPr>
          <w:b/>
          <w:bCs/>
          <w:color w:val="2E74B5"/>
          <w:sz w:val="24"/>
          <w:szCs w:val="24"/>
        </w:rPr>
        <w:t xml:space="preserve">4.2  Proposed Research Extension: A Hybrid ID3–Bayesian Network Model</w:t>
      </w:r>
    </w:p>
    <w:p>
      <w:pPr>
        <w:spacing w:after="160" w:line="276"/>
        <w:jc w:val="both"/>
      </w:pPr>
      <w:r>
        <w:rPr>
          <w:sz w:val="22"/>
          <w:szCs w:val="22"/>
        </w:rPr>
        <w:t xml:space="preserve">To address the major limitation identified in the methodological critique — specifically, the ID3 algorithm's inability to model correlations and interdependencies among risk factors — I propose a novel research extension: the development of a Hybrid ID3–Bayesian Network (ID3–BN) Safety Risk Model.</w:t>
      </w:r>
    </w:p>
    <w:p>
      <w:pPr>
        <w:spacing w:after="160" w:line="276"/>
        <w:jc w:val="both"/>
      </w:pPr>
      <w:r>
        <w:rPr>
          <w:b/>
          <w:bCs/>
          <w:color w:val="1F3864"/>
          <w:sz w:val="22"/>
          <w:szCs w:val="22"/>
        </w:rPr>
        <w:t xml:space="preserve">Conceptual Framework and Methodology: </w:t>
      </w:r>
      <w:r>
        <w:rPr>
          <w:sz w:val="22"/>
          <w:szCs w:val="22"/>
        </w:rPr>
        <w:t xml:space="preserve"> In this hybrid model, the ID3 decision tree is first used to perform attribute selection and filter out low-impact risk indicators, reducing the dimensionality of the risk indicator system. The remaining high-impact risk factors are then used to construct a Bayesian Network (BN). Unlike decision trees, a Bayesian Network is a directed acyclic graph (DAG) that represents joint probability distributions over a set of variables, making it exceptionally suited for modeling causal dependencies and conditional probabilities between risk factors (e.g., how extreme weather X₄₁ influences equipment failure X₃₃₂, which in turn influences human error X₁₂₂).</w:t>
      </w:r>
    </w:p>
    <w:p>
      <w:pPr>
        <w:pStyle w:val="Heading3"/>
        <w:spacing w:after="100" w:before="200"/>
      </w:pPr>
      <w:r>
        <w:rPr>
          <w:b/>
          <w:bCs/>
          <w:i/>
          <w:iCs/>
          <w:color w:val="1F3864"/>
          <w:sz w:val="22"/>
          <w:szCs w:val="22"/>
        </w:rPr>
        <w:t xml:space="preserve">4.2.1  Mathematical Formulation of the ID3–BN Model</w:t>
      </w:r>
    </w:p>
    <w:p>
      <w:pPr>
        <w:spacing w:after="160" w:line="276"/>
        <w:jc w:val="both"/>
      </w:pPr>
      <w:r>
        <w:rPr>
          <w:sz w:val="22"/>
          <w:szCs w:val="22"/>
        </w:rPr>
        <w:t xml:space="preserve">1.  Dimensionality Reduction: The ID3 algorithm splits features based on Information Gain. Features with an information gain below a threshold ε (e.g., Gain(X) &lt; 0.01) are pruned from the network. This ensures the Bayesian Network is computationally efficient and focuses only on high-influence risk nodes.</w:t>
      </w:r>
    </w:p>
    <w:p>
      <w:pPr>
        <w:spacing w:after="160" w:line="276"/>
        <w:jc w:val="both"/>
      </w:pPr>
      <w:r>
        <w:rPr>
          <w:sz w:val="22"/>
          <w:szCs w:val="22"/>
        </w:rPr>
        <w:t xml:space="preserve">2.  Structure Learning and Conditional Probabilities: The joint probability distribution for the set of selected risk factors X = {X₁, X₂, …, Xₖ} and the accident outcome Y is defined by the chain rule of Bayesian Networks:</w:t>
      </w:r>
    </w:p>
    <w:p>
      <w:pPr>
        <w:shd w:fill="F2F2F2" w:val="clear"/>
        <w:spacing w:after="160" w:before="120"/>
        <w:jc w:val="center"/>
      </w:pPr>
      <w:r>
        <w:rPr>
          <w:i/>
          <w:iCs/>
          <w:sz w:val="22"/>
          <w:szCs w:val="22"/>
        </w:rPr>
        <w:t xml:space="preserve">P(X₁, X₂, …, Xₖ, Y) = P(Y | Parents(Y)) × ∏</w:t>
      </w:r>
      <w:r>
        <w:rPr>
          <w:i/>
          <w:iCs/>
          <w:sz w:val="22"/>
          <w:szCs w:val="22"/>
          <w:vertAlign w:val="subscript"/>
        </w:rPr>
        <w:t xml:space="preserve">i=1</w:t>
      </w:r>
      <w:r>
        <w:rPr>
          <w:i/>
          <w:iCs/>
          <w:sz w:val="22"/>
          <w:szCs w:val="22"/>
        </w:rPr>
        <w:t xml:space="preserve"> </w:t>
      </w:r>
      <w:r>
        <w:rPr>
          <w:i/>
          <w:iCs/>
          <w:sz w:val="22"/>
          <w:szCs w:val="22"/>
          <w:vertAlign w:val="superscript"/>
        </w:rPr>
        <w:t xml:space="preserve">k</w:t>
      </w:r>
      <w:r>
        <w:rPr>
          <w:i/>
          <w:iCs/>
          <w:sz w:val="22"/>
          <w:szCs w:val="22"/>
        </w:rPr>
        <w:t xml:space="preserve">  P(X</w:t>
      </w:r>
      <w:r>
        <w:rPr>
          <w:i/>
          <w:iCs/>
          <w:sz w:val="22"/>
          <w:szCs w:val="22"/>
          <w:vertAlign w:val="subscript"/>
        </w:rPr>
        <w:t xml:space="preserve">i</w:t>
      </w:r>
      <w:r>
        <w:rPr>
          <w:i/>
          <w:iCs/>
          <w:sz w:val="22"/>
          <w:szCs w:val="22"/>
        </w:rPr>
        <w:t xml:space="preserve"> | Parents(X</w:t>
      </w:r>
      <w:r>
        <w:rPr>
          <w:i/>
          <w:iCs/>
          <w:sz w:val="22"/>
          <w:szCs w:val="22"/>
          <w:vertAlign w:val="subscript"/>
        </w:rPr>
        <w:t xml:space="preserve">i</w:t>
      </w:r>
      <w:r>
        <w:rPr>
          <w:i/>
          <w:iCs/>
          <w:sz w:val="22"/>
          <w:szCs w:val="22"/>
        </w:rPr>
        <w:t xml:space="preserve">))</w:t>
      </w:r>
    </w:p>
    <w:p>
      <w:pPr>
        <w:spacing w:after="160" w:line="276"/>
        <w:jc w:val="both"/>
      </w:pPr>
      <w:r>
        <w:rPr>
          <w:sz w:val="22"/>
          <w:szCs w:val="22"/>
        </w:rPr>
        <w:t xml:space="preserve">Where Parents(Xᵢ) represents the set of direct causal ancestors of node Xᵢ in the DAG (e.g., Parents(X₁₂₂) may include X₃₄₂: Inadequate training, and X₁₂₁: Health condition). These conditional probability tables (CPTs) are trained directly from the historical project database using maximum likelihood estimation (MLE).</w:t>
      </w:r>
    </w:p>
    <w:p>
      <w:pPr>
        <w:spacing w:after="160" w:line="276"/>
        <w:jc w:val="both"/>
      </w:pPr>
      <w:r>
        <w:rPr>
          <w:b/>
          <w:bCs/>
          <w:color w:val="1F3864"/>
          <w:sz w:val="22"/>
          <w:szCs w:val="22"/>
        </w:rPr>
        <w:t xml:space="preserve">Feasibility and Expected Impact: </w:t>
      </w:r>
      <w:r>
        <w:rPr>
          <w:sz w:val="22"/>
          <w:szCs w:val="22"/>
        </w:rPr>
        <w:t xml:space="preserve"> This extension is highly feasible because it utilizes the same historical frequency database (the 12 semi-annual records and 3,726 events) already collected by the authors. Software libraries such as GeNIe, Netica, or Python's pgmpy can be used to construct the BN and learn the parameters without significant computational overhead.</w:t>
      </w:r>
    </w:p>
    <w:p>
      <w:pPr>
        <w:spacing w:after="160" w:line="276"/>
        <w:jc w:val="both"/>
      </w:pPr>
      <w:r>
        <w:rPr>
          <w:sz w:val="22"/>
          <w:szCs w:val="22"/>
        </w:rPr>
        <w:t xml:space="preserve">The expected impact is two-fold. First, it eliminates the assumption of feature independence, allowing the model to correctly evaluate 'risk compounding' scenarios (such as how minor technical flaws and bad weather multiply to create a major hazard). Second, it supports bidirectional inference: site managers can perform forward predictive inference (predicting accident probability given current site conditions) as well as backward diagnostic inference (diagnosing the most likely root cause if an accident occurs), providing a significantly more powerful decision-support tool.</w:t>
      </w:r>
    </w:p>
    <w:p>
      <w:r>
        <w:br w:type="page"/>
      </w:r>
    </w:p>
    <w:p>
      <w:pPr>
        <w:pStyle w:val="Heading1"/>
        <w:pBdr>
          <w:bottom w:val="single" w:color="2E74B5" w:sz="8" w:space="4"/>
        </w:pBdr>
        <w:spacing w:after="160" w:before="360"/>
      </w:pPr>
      <w:r>
        <w:rPr>
          <w:b/>
          <w:bCs/>
          <w:color w:val="1F3864"/>
          <w:sz w:val="28"/>
          <w:szCs w:val="28"/>
        </w:rPr>
        <w:t xml:space="preserve">Rubrics for Calculation</w:t>
      </w:r>
    </w:p>
    <w:tbl>
      <w:tblPr>
        <w:tblW w:type="dxa" w:w="9800"/>
        <w:tblBorders>
          <w:top w:val="single" w:color="B7B7B7" w:sz="4"/>
          <w:left w:val="single" w:color="B7B7B7" w:sz="4"/>
          <w:bottom w:val="single" w:color="B7B7B7" w:sz="4"/>
          <w:right w:val="single" w:color="B7B7B7" w:sz="4"/>
          <w:insideH w:val="single" w:color="B7B7B7" w:sz="4"/>
          <w:insideV w:val="single" w:color="B7B7B7" w:sz="4"/>
        </w:tblBorders>
      </w:tblPr>
      <w:tblGrid>
        <w:gridCol w:w="1400"/>
        <w:gridCol w:w="900"/>
        <w:gridCol w:w="2000"/>
        <w:gridCol w:w="2000"/>
        <w:gridCol w:w="1750"/>
        <w:gridCol w:w="175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17"/>
                <w:szCs w:val="17"/>
              </w:rPr>
              <w:t xml:space="preserve">Criteria</w:t>
            </w:r>
          </w:p>
        </w:tc>
        <w:tc>
          <w:tcPr>
            <w:tcW w:type="dxa" w:w="900"/>
            <w:shd w:fill="1F3864" w:val="clear"/>
            <w:tcMar>
              <w:top w:type="dxa" w:w="80"/>
              <w:left w:type="dxa" w:w="100"/>
              <w:bottom w:type="dxa" w:w="80"/>
              <w:right w:type="dxa" w:w="100"/>
            </w:tcMar>
            <w:vAlign w:val="center"/>
          </w:tcPr>
          <w:p>
            <w:pPr>
              <w:jc w:val="center"/>
            </w:pPr>
            <w:r>
              <w:rPr>
                <w:b/>
                <w:bCs/>
                <w:color w:val="FFFFFF"/>
                <w:sz w:val="17"/>
                <w:szCs w:val="17"/>
              </w:rPr>
              <w:t xml:space="preserve">Weight</w:t>
            </w:r>
          </w:p>
        </w:tc>
        <w:tc>
          <w:tcPr>
            <w:tcW w:type="dxa" w:w="2000"/>
            <w:shd w:fill="1F3864" w:val="clear"/>
            <w:tcMar>
              <w:top w:type="dxa" w:w="80"/>
              <w:left w:type="dxa" w:w="100"/>
              <w:bottom w:type="dxa" w:w="80"/>
              <w:right w:type="dxa" w:w="100"/>
            </w:tcMar>
            <w:vAlign w:val="center"/>
          </w:tcPr>
          <w:p>
            <w:pPr>
              <w:jc w:val="center"/>
            </w:pPr>
            <w:r>
              <w:rPr>
                <w:b/>
                <w:bCs/>
                <w:color w:val="FFFFFF"/>
                <w:sz w:val="17"/>
                <w:szCs w:val="17"/>
              </w:rPr>
              <w:t xml:space="preserve">Level 4 — Exemplary</w:t>
            </w:r>
          </w:p>
        </w:tc>
        <w:tc>
          <w:tcPr>
            <w:tcW w:type="dxa" w:w="2000"/>
            <w:shd w:fill="1F3864" w:val="clear"/>
            <w:tcMar>
              <w:top w:type="dxa" w:w="80"/>
              <w:left w:type="dxa" w:w="100"/>
              <w:bottom w:type="dxa" w:w="80"/>
              <w:right w:type="dxa" w:w="100"/>
            </w:tcMar>
            <w:vAlign w:val="center"/>
          </w:tcPr>
          <w:p>
            <w:pPr>
              <w:jc w:val="center"/>
            </w:pPr>
            <w:r>
              <w:rPr>
                <w:b/>
                <w:bCs/>
                <w:color w:val="FFFFFF"/>
                <w:sz w:val="17"/>
                <w:szCs w:val="17"/>
              </w:rPr>
              <w:t xml:space="preserve">Level 3 — Proficient</w:t>
            </w:r>
          </w:p>
        </w:tc>
        <w:tc>
          <w:tcPr>
            <w:tcW w:type="dxa" w:w="1750"/>
            <w:shd w:fill="1F3864" w:val="clear"/>
            <w:tcMar>
              <w:top w:type="dxa" w:w="80"/>
              <w:left w:type="dxa" w:w="100"/>
              <w:bottom w:type="dxa" w:w="80"/>
              <w:right w:type="dxa" w:w="100"/>
            </w:tcMar>
            <w:vAlign w:val="center"/>
          </w:tcPr>
          <w:p>
            <w:pPr>
              <w:jc w:val="center"/>
            </w:pPr>
            <w:r>
              <w:rPr>
                <w:b/>
                <w:bCs/>
                <w:color w:val="FFFFFF"/>
                <w:sz w:val="17"/>
                <w:szCs w:val="17"/>
              </w:rPr>
              <w:t xml:space="preserve">Level 2 — Developing</w:t>
            </w:r>
          </w:p>
        </w:tc>
        <w:tc>
          <w:tcPr>
            <w:tcW w:type="dxa" w:w="1750"/>
            <w:shd w:fill="1F3864" w:val="clear"/>
            <w:tcMar>
              <w:top w:type="dxa" w:w="80"/>
              <w:left w:type="dxa" w:w="100"/>
              <w:bottom w:type="dxa" w:w="80"/>
              <w:right w:type="dxa" w:w="100"/>
            </w:tcMar>
            <w:vAlign w:val="center"/>
          </w:tcPr>
          <w:p>
            <w:pPr>
              <w:jc w:val="center"/>
            </w:pPr>
            <w:r>
              <w:rPr>
                <w:b/>
                <w:bCs/>
                <w:color w:val="FFFFFF"/>
                <w:sz w:val="17"/>
                <w:szCs w:val="17"/>
              </w:rPr>
              <w:t xml:space="preserve">Level 1 — Beginning</w:t>
            </w:r>
          </w:p>
        </w:tc>
      </w:tr>
      <w:tr>
        <w:tc>
          <w:tcPr>
            <w:tcW w:type="dxa" w:w="1400"/>
            <w:shd w:fill="F2F6FB" w:val="clear"/>
            <w:tcMar>
              <w:top w:type="dxa" w:w="80"/>
              <w:left w:type="dxa" w:w="100"/>
              <w:bottom w:type="dxa" w:w="80"/>
              <w:right w:type="dxa" w:w="100"/>
            </w:tcMar>
            <w:vAlign w:val="center"/>
          </w:tcPr>
          <w:p>
            <w:pPr>
              <w:jc w:val="center"/>
            </w:pPr>
            <w:r>
              <w:rPr>
                <w:b/>
                <w:bCs/>
                <w:color w:val="000000"/>
                <w:sz w:val="17"/>
                <w:szCs w:val="17"/>
              </w:rPr>
              <w:t xml:space="preserve">Understanding of Article</w:t>
            </w:r>
          </w:p>
        </w:tc>
        <w:tc>
          <w:tcPr>
            <w:tcW w:type="dxa" w:w="900"/>
            <w:shd w:fill="F2F6FB" w:val="clear"/>
            <w:tcMar>
              <w:top w:type="dxa" w:w="80"/>
              <w:left w:type="dxa" w:w="100"/>
              <w:bottom w:type="dxa" w:w="80"/>
              <w:right w:type="dxa" w:w="100"/>
            </w:tcMar>
            <w:vAlign w:val="center"/>
          </w:tcPr>
          <w:p>
            <w:pPr>
              <w:jc w:val="center"/>
            </w:pPr>
            <w:r>
              <w:rPr>
                <w:b w:val="false"/>
                <w:bCs w:val="false"/>
                <w:color w:val="000000"/>
                <w:sz w:val="17"/>
                <w:szCs w:val="17"/>
              </w:rPr>
              <w:t xml:space="preserve">20%</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Demonstrates clear and in-depth understanding of the article's purpose, concepts, and arguments</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Shows good understanding with minor gaps</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Partial understanding; misses key ideas</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Lacks understanding of the article</w:t>
            </w:r>
          </w:p>
        </w:tc>
      </w:tr>
      <w:tr>
        <w:tc>
          <w:tcPr>
            <w:tcW w:type="dxa" w:w="1400"/>
            <w:shd w:fill="FFFFFF" w:val="clear"/>
            <w:tcMar>
              <w:top w:type="dxa" w:w="80"/>
              <w:left w:type="dxa" w:w="100"/>
              <w:bottom w:type="dxa" w:w="80"/>
              <w:right w:type="dxa" w:w="100"/>
            </w:tcMar>
            <w:vAlign w:val="center"/>
          </w:tcPr>
          <w:p>
            <w:pPr>
              <w:jc w:val="center"/>
            </w:pPr>
            <w:r>
              <w:rPr>
                <w:b/>
                <w:bCs/>
                <w:color w:val="000000"/>
                <w:sz w:val="17"/>
                <w:szCs w:val="17"/>
              </w:rPr>
              <w:t xml:space="preserve">Summary</w:t>
            </w:r>
          </w:p>
        </w:tc>
        <w:tc>
          <w:tcPr>
            <w:tcW w:type="dxa" w:w="900"/>
            <w:shd w:fill="FFFFFF" w:val="clear"/>
            <w:tcMar>
              <w:top w:type="dxa" w:w="80"/>
              <w:left w:type="dxa" w:w="100"/>
              <w:bottom w:type="dxa" w:w="80"/>
              <w:right w:type="dxa" w:w="100"/>
            </w:tcMar>
            <w:vAlign w:val="center"/>
          </w:tcPr>
          <w:p>
            <w:pPr>
              <w:jc w:val="center"/>
            </w:pPr>
            <w:r>
              <w:rPr>
                <w:b w:val="false"/>
                <w:bCs w:val="false"/>
                <w:color w:val="000000"/>
                <w:sz w:val="17"/>
                <w:szCs w:val="17"/>
              </w:rPr>
              <w:t xml:space="preserve">20%</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Provides a concise and accurate summary highlighting all key points</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Covers most key points with minor omissions</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Incomplete or partially accurate summary</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Poor or incorrect summary</w:t>
            </w:r>
          </w:p>
        </w:tc>
      </w:tr>
      <w:tr>
        <w:tc>
          <w:tcPr>
            <w:tcW w:type="dxa" w:w="1400"/>
            <w:shd w:fill="F2F6FB" w:val="clear"/>
            <w:tcMar>
              <w:top w:type="dxa" w:w="80"/>
              <w:left w:type="dxa" w:w="100"/>
              <w:bottom w:type="dxa" w:w="80"/>
              <w:right w:type="dxa" w:w="100"/>
            </w:tcMar>
            <w:vAlign w:val="center"/>
          </w:tcPr>
          <w:p>
            <w:pPr>
              <w:jc w:val="center"/>
            </w:pPr>
            <w:r>
              <w:rPr>
                <w:b/>
                <w:bCs/>
                <w:color w:val="000000"/>
                <w:sz w:val="17"/>
                <w:szCs w:val="17"/>
              </w:rPr>
              <w:t xml:space="preserve">Critical Analysis</w:t>
            </w:r>
          </w:p>
        </w:tc>
        <w:tc>
          <w:tcPr>
            <w:tcW w:type="dxa" w:w="900"/>
            <w:shd w:fill="F2F6FB" w:val="clear"/>
            <w:tcMar>
              <w:top w:type="dxa" w:w="80"/>
              <w:left w:type="dxa" w:w="100"/>
              <w:bottom w:type="dxa" w:w="80"/>
              <w:right w:type="dxa" w:w="100"/>
            </w:tcMar>
            <w:vAlign w:val="center"/>
          </w:tcPr>
          <w:p>
            <w:pPr>
              <w:jc w:val="center"/>
            </w:pPr>
            <w:r>
              <w:rPr>
                <w:b w:val="false"/>
                <w:bCs w:val="false"/>
                <w:color w:val="000000"/>
                <w:sz w:val="17"/>
                <w:szCs w:val="17"/>
              </w:rPr>
              <w:t xml:space="preserve">25%</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Provides insightful critique with strong reasoning and evaluation</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Provides reasonable analysis with some justification</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Superficial analysis; limited evaluation</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No meaningful analysis</w:t>
            </w:r>
          </w:p>
        </w:tc>
      </w:tr>
      <w:tr>
        <w:tc>
          <w:tcPr>
            <w:tcW w:type="dxa" w:w="1400"/>
            <w:shd w:fill="FFFFFF" w:val="clear"/>
            <w:tcMar>
              <w:top w:type="dxa" w:w="80"/>
              <w:left w:type="dxa" w:w="100"/>
              <w:bottom w:type="dxa" w:w="80"/>
              <w:right w:type="dxa" w:w="100"/>
            </w:tcMar>
            <w:vAlign w:val="center"/>
          </w:tcPr>
          <w:p>
            <w:pPr>
              <w:jc w:val="center"/>
            </w:pPr>
            <w:r>
              <w:rPr>
                <w:b/>
                <w:bCs/>
                <w:color w:val="000000"/>
                <w:sz w:val="17"/>
                <w:szCs w:val="17"/>
              </w:rPr>
              <w:t xml:space="preserve">Use of Evidence</w:t>
            </w:r>
          </w:p>
        </w:tc>
        <w:tc>
          <w:tcPr>
            <w:tcW w:type="dxa" w:w="900"/>
            <w:shd w:fill="FFFFFF" w:val="clear"/>
            <w:tcMar>
              <w:top w:type="dxa" w:w="80"/>
              <w:left w:type="dxa" w:w="100"/>
              <w:bottom w:type="dxa" w:w="80"/>
              <w:right w:type="dxa" w:w="100"/>
            </w:tcMar>
            <w:vAlign w:val="center"/>
          </w:tcPr>
          <w:p>
            <w:pPr>
              <w:jc w:val="center"/>
            </w:pPr>
            <w:r>
              <w:rPr>
                <w:b w:val="false"/>
                <w:bCs w:val="false"/>
                <w:color w:val="000000"/>
                <w:sz w:val="17"/>
                <w:szCs w:val="17"/>
              </w:rPr>
              <w:t xml:space="preserve">15%</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Effectively uses examples, data, or references to support the review</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Uses some supporting evidence with minor gaps</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Limited or weak supporting evidence</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17"/>
                <w:szCs w:val="17"/>
              </w:rPr>
              <w:t xml:space="preserve">No supporting evidence provided</w:t>
            </w:r>
          </w:p>
        </w:tc>
      </w:tr>
      <w:tr>
        <w:tc>
          <w:tcPr>
            <w:tcW w:type="dxa" w:w="1400"/>
            <w:shd w:fill="F2F6FB" w:val="clear"/>
            <w:tcMar>
              <w:top w:type="dxa" w:w="80"/>
              <w:left w:type="dxa" w:w="100"/>
              <w:bottom w:type="dxa" w:w="80"/>
              <w:right w:type="dxa" w:w="100"/>
            </w:tcMar>
            <w:vAlign w:val="center"/>
          </w:tcPr>
          <w:p>
            <w:pPr>
              <w:jc w:val="center"/>
            </w:pPr>
            <w:r>
              <w:rPr>
                <w:b/>
                <w:bCs/>
                <w:color w:val="000000"/>
                <w:sz w:val="17"/>
                <w:szCs w:val="17"/>
              </w:rPr>
              <w:t xml:space="preserve">Organization</w:t>
            </w:r>
          </w:p>
        </w:tc>
        <w:tc>
          <w:tcPr>
            <w:tcW w:type="dxa" w:w="900"/>
            <w:shd w:fill="F2F6FB" w:val="clear"/>
            <w:tcMar>
              <w:top w:type="dxa" w:w="80"/>
              <w:left w:type="dxa" w:w="100"/>
              <w:bottom w:type="dxa" w:w="80"/>
              <w:right w:type="dxa" w:w="100"/>
            </w:tcMar>
            <w:vAlign w:val="center"/>
          </w:tcPr>
          <w:p>
            <w:pPr>
              <w:jc w:val="center"/>
            </w:pPr>
            <w:r>
              <w:rPr>
                <w:b w:val="false"/>
                <w:bCs w:val="false"/>
                <w:color w:val="000000"/>
                <w:sz w:val="17"/>
                <w:szCs w:val="17"/>
              </w:rPr>
              <w:t xml:space="preserve">20%</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Well-structured, clear, and coherent writing with proper language and flow</w:t>
            </w:r>
          </w:p>
        </w:tc>
        <w:tc>
          <w:tcPr>
            <w:tcW w:type="dxa" w:w="200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Generally clear with minor issues</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Poor organization; lacks clarity</w:t>
            </w:r>
          </w:p>
        </w:tc>
        <w:tc>
          <w:tcPr>
            <w:tcW w:type="dxa" w:w="1750"/>
            <w:shd w:fill="F2F6FB" w:val="clear"/>
            <w:tcMar>
              <w:top w:type="dxa" w:w="80"/>
              <w:left w:type="dxa" w:w="100"/>
              <w:bottom w:type="dxa" w:w="80"/>
              <w:right w:type="dxa" w:w="100"/>
            </w:tcMar>
            <w:vAlign w:val="center"/>
          </w:tcPr>
          <w:p>
            <w:pPr>
              <w:jc w:val="left"/>
            </w:pPr>
            <w:r>
              <w:rPr>
                <w:b w:val="false"/>
                <w:bCs w:val="false"/>
                <w:color w:val="000000"/>
                <w:sz w:val="17"/>
                <w:szCs w:val="17"/>
              </w:rPr>
              <w:t xml:space="preserve">Disorganized and difficult to understand</w:t>
            </w:r>
          </w:p>
        </w:tc>
      </w:tr>
    </w:tbl>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7B7" w:sz="4" w:space="4"/>
      </w:pBdr>
      <w:jc w:val="right"/>
    </w:pPr>
    <w:r>
      <w:rPr>
        <w:color w:val="595959"/>
        <w:sz w:val="16"/>
        <w:szCs w:val="16"/>
      </w:rPr>
      <w:t xml:space="preserve">CSA17 — Article Review | Annexure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2026-08-23T07:28:11.917Z</dcterms:created>
  <dcterms:modified xsi:type="dcterms:W3CDTF">2026-08-23T07:28:11.918Z</dcterms:modified>
</cp:coreProperties>
</file>

<file path=docProps/custom.xml><?xml version="1.0" encoding="utf-8"?>
<Properties xmlns="http://schemas.openxmlformats.org/officeDocument/2006/custom-properties" xmlns:vt="http://schemas.openxmlformats.org/officeDocument/2006/docPropsVTypes"/>
</file>