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Philippine Parking Statutory Discount Local Ordinances</w:t>
      </w:r>
    </w:p>
    <w:p>
      <w:pPr>
        <w:jc w:val="center"/>
      </w:pPr>
      <w:r>
        <w:rPr>
          <w:i/>
          <w:sz w:val="20"/>
        </w:rPr>
        <w:t>Detailed List by LGU, Beneficiary Type, Residency Scope, and ExitPass Configuration Status</w:t>
      </w:r>
    </w:p>
    <w:p>
      <w:r>
        <w:rPr>
          <w:b/>
        </w:rPr>
        <w:t xml:space="preserve">Prepared for: </w:t>
      </w:r>
      <w:r>
        <w:t>ExitPass / Professional Parking Group statutory discount policy configuration</w:t>
      </w:r>
    </w:p>
    <w:p>
      <w:r>
        <w:rPr>
          <w:b/>
        </w:rPr>
        <w:t xml:space="preserve">Prepared on: </w:t>
      </w:r>
      <w:r>
        <w:t>May 30, 2026</w:t>
      </w:r>
    </w:p>
    <w:p>
      <w:pPr>
        <w:pStyle w:val="Heading1"/>
      </w:pPr>
      <w:r>
        <w:t>1. Purpose and Scope</w:t>
      </w:r>
    </w:p>
    <w:p>
      <w:r>
        <w:rPr>
          <w:b w:val="0"/>
        </w:rPr>
        <w:t xml:space="preserve">This document consolidates the parking-specific local ordinances and local measures identified during the scan of Metro Manila, Rizal, Laguna, Bulacan, Metro Cebu, and Metro Davao. </w:t>
      </w:r>
      <w:r>
        <w:t>It focuses only on local statutory parking benefits, especially free parking, initial-rate exemptions, or free parking periods for Senior Citizens and/or Persons with Disability (PWDs).</w:t>
      </w:r>
    </w:p>
    <w:p>
      <w:r>
        <w:rPr>
          <w:b/>
        </w:rPr>
        <w:t xml:space="preserve">Important caveat: </w:t>
      </w:r>
      <w:r>
        <w:t>This is an operational research document, not a legal opinion. Ordinance text must be obtained and reviewed before production configuration. Public reports, social posts, and ordinance indexes are treated as leads unless the official ordinance PDF or LGU publication has been reviewed.</w:t>
      </w:r>
    </w:p>
    <w:p>
      <w:pPr>
        <w:pStyle w:val="Heading1"/>
      </w:pPr>
      <w:r>
        <w:t>2. Detailed LGU Matrix</w:t>
      </w:r>
    </w:p>
    <w:tbl>
      <w:tblPr>
        <w:tblStyle w:val="TableGrid"/>
        <w:tblW w:type="auto" w:w="0"/>
        <w:jc w:val="center"/>
        <w:tblLook w:firstColumn="1" w:firstRow="1" w:lastColumn="0" w:lastRow="0" w:noHBand="0" w:noVBand="1" w:val="04A0"/>
      </w:tblPr>
      <w:tblGrid>
        <w:gridCol w:w="1936"/>
        <w:gridCol w:w="1936"/>
        <w:gridCol w:w="1936"/>
        <w:gridCol w:w="1936"/>
        <w:gridCol w:w="1936"/>
        <w:gridCol w:w="1936"/>
        <w:gridCol w:w="1936"/>
        <w:gridCol w:w="1936"/>
        <w:gridCol w:w="1936"/>
      </w:tblGrid>
      <w:tr>
        <w:trPr>
          <w:tblHeader w:val="true"/>
          <w:cantSplit/>
        </w:trPr>
        <w:tc>
          <w:tcPr>
            <w:tcW w:type="dxa" w:w="1080"/>
            <w:shd w:fill="D9EAF7"/>
            <w:vAlign w:val="center"/>
          </w:tcPr>
          <w:p>
            <w:pPr>
              <w:jc w:val="left"/>
            </w:pPr>
            <w:r/>
            <w:r>
              <w:rPr>
                <w:b/>
                <w:sz w:val="14"/>
              </w:rPr>
              <w:t>Area</w:t>
            </w:r>
          </w:p>
        </w:tc>
        <w:tc>
          <w:tcPr>
            <w:tcW w:type="dxa" w:w="1440"/>
            <w:shd w:fill="D9EAF7"/>
            <w:vAlign w:val="center"/>
          </w:tcPr>
          <w:p>
            <w:pPr>
              <w:jc w:val="left"/>
            </w:pPr>
            <w:r/>
            <w:r>
              <w:rPr>
                <w:b/>
                <w:sz w:val="14"/>
              </w:rPr>
              <w:t>LGU</w:t>
            </w:r>
          </w:p>
        </w:tc>
        <w:tc>
          <w:tcPr>
            <w:tcW w:type="dxa" w:w="2232"/>
            <w:shd w:fill="D9EAF7"/>
            <w:vAlign w:val="center"/>
          </w:tcPr>
          <w:p>
            <w:pPr>
              <w:jc w:val="left"/>
            </w:pPr>
            <w:r/>
            <w:r>
              <w:rPr>
                <w:b/>
                <w:sz w:val="14"/>
              </w:rPr>
              <w:t>Ordinance / local measure</w:t>
            </w:r>
          </w:p>
        </w:tc>
        <w:tc>
          <w:tcPr>
            <w:tcW w:type="dxa" w:w="792"/>
            <w:shd w:fill="D9EAF7"/>
            <w:vAlign w:val="center"/>
          </w:tcPr>
          <w:p>
            <w:pPr>
              <w:jc w:val="left"/>
            </w:pPr>
            <w:r/>
            <w:r>
              <w:rPr>
                <w:b/>
                <w:sz w:val="14"/>
              </w:rPr>
              <w:t>Senior Citizen</w:t>
            </w:r>
          </w:p>
        </w:tc>
        <w:tc>
          <w:tcPr>
            <w:tcW w:type="dxa" w:w="792"/>
            <w:shd w:fill="D9EAF7"/>
            <w:vAlign w:val="center"/>
          </w:tcPr>
          <w:p>
            <w:pPr>
              <w:jc w:val="left"/>
            </w:pPr>
            <w:r/>
            <w:r>
              <w:rPr>
                <w:b/>
                <w:sz w:val="14"/>
              </w:rPr>
              <w:t>PWD</w:t>
            </w:r>
          </w:p>
        </w:tc>
        <w:tc>
          <w:tcPr>
            <w:tcW w:type="dxa" w:w="2376"/>
            <w:shd w:fill="D9EAF7"/>
            <w:vAlign w:val="center"/>
          </w:tcPr>
          <w:p>
            <w:pPr>
              <w:jc w:val="left"/>
            </w:pPr>
            <w:r/>
            <w:r>
              <w:rPr>
                <w:b/>
                <w:sz w:val="14"/>
              </w:rPr>
              <w:t>Residency / coverage</w:t>
            </w:r>
          </w:p>
        </w:tc>
        <w:tc>
          <w:tcPr>
            <w:tcW w:type="dxa" w:w="2880"/>
            <w:shd w:fill="D9EAF7"/>
            <w:vAlign w:val="center"/>
          </w:tcPr>
          <w:p>
            <w:pPr>
              <w:jc w:val="left"/>
            </w:pPr>
            <w:r/>
            <w:r>
              <w:rPr>
                <w:b/>
                <w:sz w:val="14"/>
              </w:rPr>
              <w:t>Parking benefit</w:t>
            </w:r>
          </w:p>
        </w:tc>
        <w:tc>
          <w:tcPr>
            <w:tcW w:type="dxa" w:w="2736"/>
            <w:shd w:fill="D9EAF7"/>
            <w:vAlign w:val="center"/>
          </w:tcPr>
          <w:p>
            <w:pPr>
              <w:jc w:val="left"/>
            </w:pPr>
            <w:r/>
            <w:r>
              <w:rPr>
                <w:b/>
                <w:sz w:val="14"/>
              </w:rPr>
              <w:t>ExitPass treatment</w:t>
            </w:r>
          </w:p>
        </w:tc>
        <w:tc>
          <w:tcPr>
            <w:tcW w:type="dxa" w:w="2088"/>
            <w:shd w:fill="D9EAF7"/>
            <w:vAlign w:val="center"/>
          </w:tcPr>
          <w:p>
            <w:pPr>
              <w:jc w:val="left"/>
            </w:pPr>
            <w:r/>
            <w:r>
              <w:rPr>
                <w:b/>
                <w:sz w:val="14"/>
              </w:rPr>
              <w:t>Source note</w:t>
            </w:r>
          </w:p>
        </w:tc>
      </w:tr>
      <w:tr>
        <w:trPr>
          <w:cantSplit/>
        </w:trPr>
        <w:tc>
          <w:tcPr>
            <w:tcW w:type="dxa" w:w="1080"/>
            <w:vAlign w:val="top"/>
          </w:tcPr>
          <w:p>
            <w:pPr>
              <w:jc w:val="left"/>
            </w:pPr>
            <w:r/>
            <w:r>
              <w:rPr>
                <w:b w:val="0"/>
                <w:sz w:val="13"/>
              </w:rPr>
              <w:t>Metro Manila</w:t>
            </w:r>
          </w:p>
        </w:tc>
        <w:tc>
          <w:tcPr>
            <w:tcW w:type="dxa" w:w="1440"/>
            <w:vAlign w:val="top"/>
          </w:tcPr>
          <w:p>
            <w:pPr>
              <w:jc w:val="left"/>
            </w:pPr>
            <w:r/>
            <w:r>
              <w:rPr>
                <w:b w:val="0"/>
                <w:sz w:val="13"/>
              </w:rPr>
              <w:t>Quezon City</w:t>
            </w:r>
          </w:p>
        </w:tc>
        <w:tc>
          <w:tcPr>
            <w:tcW w:type="dxa" w:w="2232"/>
            <w:vAlign w:val="top"/>
          </w:tcPr>
          <w:p>
            <w:pPr>
              <w:jc w:val="left"/>
            </w:pPr>
            <w:r/>
            <w:r>
              <w:rPr>
                <w:b w:val="0"/>
                <w:sz w:val="13"/>
              </w:rPr>
              <w:t>SP-2472, S-2015 / related senior parking ordinance; SP-3234, S-2023 for PWDs</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PWD resident-only. Senior appears QC senior-focused / likely resident-only, pending official implementation copy.</w:t>
            </w:r>
          </w:p>
        </w:tc>
        <w:tc>
          <w:tcPr>
            <w:tcW w:type="dxa" w:w="2880"/>
            <w:vAlign w:val="top"/>
          </w:tcPr>
          <w:p>
            <w:pPr>
              <w:jc w:val="left"/>
            </w:pPr>
            <w:r/>
            <w:r>
              <w:rPr>
                <w:b w:val="0"/>
                <w:sz w:val="13"/>
              </w:rPr>
              <w:t>Initial parking fee exemption. PWD scope appears limited to city government-owned parking facilities; senior rule applies to listed establishments/parking areas per prior sources.</w:t>
            </w:r>
          </w:p>
        </w:tc>
        <w:tc>
          <w:tcPr>
            <w:tcW w:type="dxa" w:w="2736"/>
            <w:vAlign w:val="top"/>
          </w:tcPr>
          <w:p>
            <w:pPr>
              <w:jc w:val="left"/>
            </w:pPr>
            <w:r/>
            <w:r>
              <w:rPr>
                <w:b w:val="0"/>
                <w:sz w:val="13"/>
              </w:rPr>
              <w:t>Configure only with separate Senior and PWD policy rows; verify final scope before production.</w:t>
            </w:r>
          </w:p>
        </w:tc>
        <w:tc>
          <w:tcPr>
            <w:tcW w:type="dxa" w:w="2088"/>
            <w:vAlign w:val="top"/>
          </w:tcPr>
          <w:p>
            <w:pPr>
              <w:jc w:val="left"/>
            </w:pPr>
            <w:r/>
            <w:r>
              <w:rPr>
                <w:b w:val="0"/>
                <w:sz w:val="13"/>
              </w:rPr>
              <w:t>Quezon City public materials / QC ordinance references.</w:t>
            </w:r>
          </w:p>
        </w:tc>
      </w:tr>
      <w:tr>
        <w:trPr>
          <w:cantSplit/>
        </w:trPr>
        <w:tc>
          <w:tcPr>
            <w:tcW w:type="dxa" w:w="1080"/>
            <w:vAlign w:val="top"/>
          </w:tcPr>
          <w:p>
            <w:pPr>
              <w:jc w:val="left"/>
            </w:pPr>
            <w:r/>
            <w:r>
              <w:rPr>
                <w:b w:val="0"/>
                <w:sz w:val="13"/>
              </w:rPr>
              <w:t>Metro Manila</w:t>
            </w:r>
          </w:p>
        </w:tc>
        <w:tc>
          <w:tcPr>
            <w:tcW w:type="dxa" w:w="1440"/>
            <w:vAlign w:val="top"/>
          </w:tcPr>
          <w:p>
            <w:pPr>
              <w:jc w:val="left"/>
            </w:pPr>
            <w:r/>
            <w:r>
              <w:rPr>
                <w:b w:val="0"/>
                <w:sz w:val="13"/>
              </w:rPr>
              <w:t>City of Manila</w:t>
            </w:r>
          </w:p>
        </w:tc>
        <w:tc>
          <w:tcPr>
            <w:tcW w:type="dxa" w:w="2232"/>
            <w:vAlign w:val="top"/>
          </w:tcPr>
          <w:p>
            <w:pPr>
              <w:jc w:val="left"/>
            </w:pPr>
            <w:r/>
            <w:r>
              <w:rPr>
                <w:b w:val="0"/>
                <w:sz w:val="13"/>
              </w:rPr>
              <w:t>Ordinance No. 8559, S-2019</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Not clearly resident-only. Available wording points to persons within Manila, not Manila residents only.</w:t>
            </w:r>
          </w:p>
        </w:tc>
        <w:tc>
          <w:tcPr>
            <w:tcW w:type="dxa" w:w="2880"/>
            <w:vAlign w:val="top"/>
          </w:tcPr>
          <w:p>
            <w:pPr>
              <w:jc w:val="left"/>
            </w:pPr>
            <w:r/>
            <w:r>
              <w:rPr>
                <w:b w:val="0"/>
                <w:sz w:val="13"/>
              </w:rPr>
              <w:t>Free initial parking rate. Public summaries note overnight parking exclusion and driver/passenger condition.</w:t>
            </w:r>
          </w:p>
        </w:tc>
        <w:tc>
          <w:tcPr>
            <w:tcW w:type="dxa" w:w="2736"/>
            <w:vAlign w:val="top"/>
          </w:tcPr>
          <w:p>
            <w:pPr>
              <w:jc w:val="left"/>
            </w:pPr>
            <w:r/>
            <w:r>
              <w:rPr>
                <w:b w:val="0"/>
                <w:sz w:val="13"/>
              </w:rPr>
              <w:t>Production candidate after ordinance copy review.</w:t>
            </w:r>
          </w:p>
        </w:tc>
        <w:tc>
          <w:tcPr>
            <w:tcW w:type="dxa" w:w="2088"/>
            <w:vAlign w:val="top"/>
          </w:tcPr>
          <w:p>
            <w:pPr>
              <w:jc w:val="left"/>
            </w:pPr>
            <w:r/>
            <w:r>
              <w:rPr>
                <w:b w:val="0"/>
                <w:sz w:val="13"/>
              </w:rPr>
              <w:t>City Council of Manila ordinance page and public reporting.</w:t>
            </w:r>
          </w:p>
        </w:tc>
      </w:tr>
      <w:tr>
        <w:trPr>
          <w:cantSplit/>
        </w:trPr>
        <w:tc>
          <w:tcPr>
            <w:tcW w:type="dxa" w:w="1080"/>
            <w:vAlign w:val="top"/>
          </w:tcPr>
          <w:p>
            <w:pPr>
              <w:jc w:val="left"/>
            </w:pPr>
            <w:r/>
            <w:r>
              <w:rPr>
                <w:b w:val="0"/>
                <w:sz w:val="13"/>
              </w:rPr>
              <w:t>Metro Manila</w:t>
            </w:r>
          </w:p>
        </w:tc>
        <w:tc>
          <w:tcPr>
            <w:tcW w:type="dxa" w:w="1440"/>
            <w:vAlign w:val="top"/>
          </w:tcPr>
          <w:p>
            <w:pPr>
              <w:jc w:val="left"/>
            </w:pPr>
            <w:r/>
            <w:r>
              <w:rPr>
                <w:b w:val="0"/>
                <w:sz w:val="13"/>
              </w:rPr>
              <w:t>Mandaluyong City</w:t>
            </w:r>
          </w:p>
        </w:tc>
        <w:tc>
          <w:tcPr>
            <w:tcW w:type="dxa" w:w="2232"/>
            <w:vAlign w:val="top"/>
          </w:tcPr>
          <w:p>
            <w:pPr>
              <w:jc w:val="left"/>
            </w:pPr>
            <w:r/>
            <w:r>
              <w:rPr>
                <w:b w:val="0"/>
                <w:sz w:val="13"/>
              </w:rPr>
              <w:t>Ordinance No. 726, S-2019; Ordinance No. 738, S-2019</w:t>
            </w:r>
          </w:p>
        </w:tc>
        <w:tc>
          <w:tcPr>
            <w:tcW w:type="dxa" w:w="792"/>
            <w:vAlign w:val="top"/>
          </w:tcPr>
          <w:p>
            <w:pPr>
              <w:jc w:val="left"/>
            </w:pPr>
            <w:r/>
            <w:r>
              <w:rPr>
                <w:b w:val="0"/>
                <w:sz w:val="13"/>
              </w:rPr>
              <w:t>Yes</w:t>
            </w:r>
          </w:p>
        </w:tc>
        <w:tc>
          <w:tcPr>
            <w:tcW w:type="dxa" w:w="792"/>
            <w:vAlign w:val="top"/>
          </w:tcPr>
          <w:p>
            <w:pPr>
              <w:jc w:val="left"/>
            </w:pPr>
            <w:r/>
            <w:r>
              <w:rPr>
                <w:b w:val="0"/>
                <w:sz w:val="13"/>
              </w:rPr>
              <w:t>Not confirmed</w:t>
            </w:r>
          </w:p>
        </w:tc>
        <w:tc>
          <w:tcPr>
            <w:tcW w:type="dxa" w:w="2376"/>
            <w:vAlign w:val="top"/>
          </w:tcPr>
          <w:p>
            <w:pPr>
              <w:jc w:val="left"/>
            </w:pPr>
            <w:r/>
            <w:r>
              <w:rPr>
                <w:b w:val="0"/>
                <w:sz w:val="13"/>
              </w:rPr>
              <w:t>Mixed. Ordinance 726 appears broader; Ordinance 738 appears Mandaluyong-resident focused.</w:t>
            </w:r>
          </w:p>
        </w:tc>
        <w:tc>
          <w:tcPr>
            <w:tcW w:type="dxa" w:w="2880"/>
            <w:vAlign w:val="top"/>
          </w:tcPr>
          <w:p>
            <w:pPr>
              <w:jc w:val="left"/>
            </w:pPr>
            <w:r/>
            <w:r>
              <w:rPr>
                <w:b w:val="0"/>
                <w:sz w:val="13"/>
              </w:rPr>
              <w:t>Parking fee exemption for Senior Citizens in business establishments, malls, hospitals, or similar places.</w:t>
            </w:r>
          </w:p>
        </w:tc>
        <w:tc>
          <w:tcPr>
            <w:tcW w:type="dxa" w:w="2736"/>
            <w:vAlign w:val="top"/>
          </w:tcPr>
          <w:p>
            <w:pPr>
              <w:jc w:val="left"/>
            </w:pPr>
            <w:r/>
            <w:r>
              <w:rPr>
                <w:b w:val="0"/>
                <w:sz w:val="13"/>
              </w:rPr>
              <w:t>Configure Senior only. Treat resident coverage as mixed until legal confirms whether 738 amended/narrowed 726.</w:t>
            </w:r>
          </w:p>
        </w:tc>
        <w:tc>
          <w:tcPr>
            <w:tcW w:type="dxa" w:w="2088"/>
            <w:vAlign w:val="top"/>
          </w:tcPr>
          <w:p>
            <w:pPr>
              <w:jc w:val="left"/>
            </w:pPr>
            <w:r/>
            <w:r>
              <w:rPr>
                <w:b w:val="0"/>
                <w:sz w:val="13"/>
              </w:rPr>
              <w:t>Mandaluyong City ordinance downloads.</w:t>
            </w:r>
          </w:p>
        </w:tc>
      </w:tr>
      <w:tr>
        <w:trPr>
          <w:cantSplit/>
        </w:trPr>
        <w:tc>
          <w:tcPr>
            <w:tcW w:type="dxa" w:w="1080"/>
            <w:vAlign w:val="top"/>
          </w:tcPr>
          <w:p>
            <w:pPr>
              <w:jc w:val="left"/>
            </w:pPr>
            <w:r/>
            <w:r>
              <w:rPr>
                <w:b w:val="0"/>
                <w:sz w:val="13"/>
              </w:rPr>
              <w:t>Metro Manila</w:t>
            </w:r>
          </w:p>
        </w:tc>
        <w:tc>
          <w:tcPr>
            <w:tcW w:type="dxa" w:w="1440"/>
            <w:vAlign w:val="top"/>
          </w:tcPr>
          <w:p>
            <w:pPr>
              <w:jc w:val="left"/>
            </w:pPr>
            <w:r/>
            <w:r>
              <w:rPr>
                <w:b w:val="0"/>
                <w:sz w:val="13"/>
              </w:rPr>
              <w:t>Las Piñas City</w:t>
            </w:r>
          </w:p>
        </w:tc>
        <w:tc>
          <w:tcPr>
            <w:tcW w:type="dxa" w:w="2232"/>
            <w:vAlign w:val="top"/>
          </w:tcPr>
          <w:p>
            <w:pPr>
              <w:jc w:val="left"/>
            </w:pPr>
            <w:r/>
            <w:r>
              <w:rPr>
                <w:b w:val="0"/>
                <w:sz w:val="13"/>
              </w:rPr>
              <w:t>City Ordinance No. 1623-19, S-2019</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Likely resident-only based on city wording referring to Senior Citizens and PWDs of Las Piñas; verify ordinance text.</w:t>
            </w:r>
          </w:p>
        </w:tc>
        <w:tc>
          <w:tcPr>
            <w:tcW w:type="dxa" w:w="2880"/>
            <w:vAlign w:val="top"/>
          </w:tcPr>
          <w:p>
            <w:pPr>
              <w:jc w:val="left"/>
            </w:pPr>
            <w:r/>
            <w:r>
              <w:rPr>
                <w:b w:val="0"/>
                <w:sz w:val="13"/>
              </w:rPr>
              <w:t>Free initial parking, commonly first 3 hours; flat-rate parking reported free if stay does not exceed 4 hours. Applies when Senior/PWD is driving or onboard.</w:t>
            </w:r>
          </w:p>
        </w:tc>
        <w:tc>
          <w:tcPr>
            <w:tcW w:type="dxa" w:w="2736"/>
            <w:vAlign w:val="top"/>
          </w:tcPr>
          <w:p>
            <w:pPr>
              <w:jc w:val="left"/>
            </w:pPr>
            <w:r/>
            <w:r>
              <w:rPr>
                <w:b w:val="0"/>
                <w:sz w:val="13"/>
              </w:rPr>
              <w:t>Production candidate after ordinance copy review.</w:t>
            </w:r>
          </w:p>
        </w:tc>
        <w:tc>
          <w:tcPr>
            <w:tcW w:type="dxa" w:w="2088"/>
            <w:vAlign w:val="top"/>
          </w:tcPr>
          <w:p>
            <w:pPr>
              <w:jc w:val="left"/>
            </w:pPr>
            <w:r/>
            <w:r>
              <w:rPr>
                <w:b w:val="0"/>
                <w:sz w:val="13"/>
              </w:rPr>
              <w:t>Las Piñas City public article on free parking for Senior Citizens and PWDs.</w:t>
            </w:r>
          </w:p>
        </w:tc>
      </w:tr>
      <w:tr>
        <w:trPr>
          <w:cantSplit/>
        </w:trPr>
        <w:tc>
          <w:tcPr>
            <w:tcW w:type="dxa" w:w="1080"/>
            <w:vAlign w:val="top"/>
          </w:tcPr>
          <w:p>
            <w:pPr>
              <w:jc w:val="left"/>
            </w:pPr>
            <w:r/>
            <w:r>
              <w:rPr>
                <w:b w:val="0"/>
                <w:sz w:val="13"/>
              </w:rPr>
              <w:t>Metro Manila</w:t>
            </w:r>
          </w:p>
        </w:tc>
        <w:tc>
          <w:tcPr>
            <w:tcW w:type="dxa" w:w="1440"/>
            <w:vAlign w:val="top"/>
          </w:tcPr>
          <w:p>
            <w:pPr>
              <w:jc w:val="left"/>
            </w:pPr>
            <w:r/>
            <w:r>
              <w:rPr>
                <w:b w:val="0"/>
                <w:sz w:val="13"/>
              </w:rPr>
              <w:t>Muntinlupa City</w:t>
            </w:r>
          </w:p>
        </w:tc>
        <w:tc>
          <w:tcPr>
            <w:tcW w:type="dxa" w:w="2232"/>
            <w:vAlign w:val="top"/>
          </w:tcPr>
          <w:p>
            <w:pPr>
              <w:jc w:val="left"/>
            </w:pPr>
            <w:r/>
            <w:r>
              <w:rPr>
                <w:b w:val="0"/>
                <w:sz w:val="13"/>
              </w:rPr>
              <w:t>Ordinance No. 17-050, amended by Ordinance No. 2022-022 and Ordinance No. 2023-129</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Appears not resident-only. Available ordinance text accepts valid SC/PWD ID issued by any government agency/office.</w:t>
            </w:r>
          </w:p>
        </w:tc>
        <w:tc>
          <w:tcPr>
            <w:tcW w:type="dxa" w:w="2880"/>
            <w:vAlign w:val="top"/>
          </w:tcPr>
          <w:p>
            <w:pPr>
              <w:jc w:val="left"/>
            </w:pPr>
            <w:r/>
            <w:r>
              <w:rPr>
                <w:b w:val="0"/>
                <w:sz w:val="13"/>
              </w:rPr>
              <w:t>Free parking / minimum free parking period with exclusions, including overnight parking; amendment covers dropped-off and picked-up Seniors/PWDs.</w:t>
            </w:r>
          </w:p>
        </w:tc>
        <w:tc>
          <w:tcPr>
            <w:tcW w:type="dxa" w:w="2736"/>
            <w:vAlign w:val="top"/>
          </w:tcPr>
          <w:p>
            <w:pPr>
              <w:jc w:val="left"/>
            </w:pPr>
            <w:r/>
            <w:r>
              <w:rPr>
                <w:b w:val="0"/>
                <w:sz w:val="13"/>
              </w:rPr>
              <w:t>Strong production candidate after ordinance copy review.</w:t>
            </w:r>
          </w:p>
        </w:tc>
        <w:tc>
          <w:tcPr>
            <w:tcW w:type="dxa" w:w="2088"/>
            <w:vAlign w:val="top"/>
          </w:tcPr>
          <w:p>
            <w:pPr>
              <w:jc w:val="left"/>
            </w:pPr>
            <w:r/>
            <w:r>
              <w:rPr>
                <w:b w:val="0"/>
                <w:sz w:val="13"/>
              </w:rPr>
              <w:t>Muntinlupa City ordinance PDFs and public reports.</w:t>
            </w:r>
          </w:p>
        </w:tc>
      </w:tr>
      <w:tr>
        <w:trPr>
          <w:cantSplit/>
        </w:trPr>
        <w:tc>
          <w:tcPr>
            <w:tcW w:type="dxa" w:w="1080"/>
            <w:vAlign w:val="top"/>
          </w:tcPr>
          <w:p>
            <w:pPr>
              <w:jc w:val="left"/>
            </w:pPr>
            <w:r/>
            <w:r>
              <w:rPr>
                <w:b w:val="0"/>
                <w:sz w:val="13"/>
              </w:rPr>
              <w:t>Metro Manila</w:t>
            </w:r>
          </w:p>
        </w:tc>
        <w:tc>
          <w:tcPr>
            <w:tcW w:type="dxa" w:w="1440"/>
            <w:vAlign w:val="top"/>
          </w:tcPr>
          <w:p>
            <w:pPr>
              <w:jc w:val="left"/>
            </w:pPr>
            <w:r/>
            <w:r>
              <w:rPr>
                <w:b w:val="0"/>
                <w:sz w:val="13"/>
              </w:rPr>
              <w:t>Parañaque City</w:t>
            </w:r>
          </w:p>
        </w:tc>
        <w:tc>
          <w:tcPr>
            <w:tcW w:type="dxa" w:w="2232"/>
            <w:vAlign w:val="top"/>
          </w:tcPr>
          <w:p>
            <w:pPr>
              <w:jc w:val="left"/>
            </w:pPr>
            <w:r/>
            <w:r>
              <w:rPr>
                <w:b w:val="0"/>
                <w:sz w:val="13"/>
              </w:rPr>
              <w:t>City Ordinance No. 48</w:t>
            </w:r>
          </w:p>
        </w:tc>
        <w:tc>
          <w:tcPr>
            <w:tcW w:type="dxa" w:w="792"/>
            <w:vAlign w:val="top"/>
          </w:tcPr>
          <w:p>
            <w:pPr>
              <w:jc w:val="left"/>
            </w:pPr>
            <w:r/>
            <w:r>
              <w:rPr>
                <w:b w:val="0"/>
                <w:sz w:val="13"/>
              </w:rPr>
              <w:t>No / not found</w:t>
            </w:r>
          </w:p>
        </w:tc>
        <w:tc>
          <w:tcPr>
            <w:tcW w:type="dxa" w:w="792"/>
            <w:vAlign w:val="top"/>
          </w:tcPr>
          <w:p>
            <w:pPr>
              <w:jc w:val="left"/>
            </w:pPr>
            <w:r/>
            <w:r>
              <w:rPr>
                <w:b w:val="0"/>
                <w:sz w:val="13"/>
              </w:rPr>
              <w:t>Yes</w:t>
            </w:r>
          </w:p>
        </w:tc>
        <w:tc>
          <w:tcPr>
            <w:tcW w:type="dxa" w:w="2376"/>
            <w:vAlign w:val="top"/>
          </w:tcPr>
          <w:p>
            <w:pPr>
              <w:jc w:val="left"/>
            </w:pPr>
            <w:r/>
            <w:r>
              <w:rPr>
                <w:b w:val="0"/>
                <w:sz w:val="13"/>
              </w:rPr>
              <w:t>PWD residents only based on available public reports.</w:t>
            </w:r>
          </w:p>
        </w:tc>
        <w:tc>
          <w:tcPr>
            <w:tcW w:type="dxa" w:w="2880"/>
            <w:vAlign w:val="top"/>
          </w:tcPr>
          <w:p>
            <w:pPr>
              <w:jc w:val="left"/>
            </w:pPr>
            <w:r/>
            <w:r>
              <w:rPr>
                <w:b w:val="0"/>
                <w:sz w:val="13"/>
              </w:rPr>
              <w:t>Free parking for PWDs in commercial establishments.</w:t>
            </w:r>
          </w:p>
        </w:tc>
        <w:tc>
          <w:tcPr>
            <w:tcW w:type="dxa" w:w="2736"/>
            <w:vAlign w:val="top"/>
          </w:tcPr>
          <w:p>
            <w:pPr>
              <w:jc w:val="left"/>
            </w:pPr>
            <w:r/>
            <w:r>
              <w:rPr>
                <w:b w:val="0"/>
                <w:sz w:val="13"/>
              </w:rPr>
              <w:t>Configure only after obtaining official ordinance copy. PWD-specific only unless Senior coverage is proven.</w:t>
            </w:r>
          </w:p>
        </w:tc>
        <w:tc>
          <w:tcPr>
            <w:tcW w:type="dxa" w:w="2088"/>
            <w:vAlign w:val="top"/>
          </w:tcPr>
          <w:p>
            <w:pPr>
              <w:jc w:val="left"/>
            </w:pPr>
            <w:r/>
            <w:r>
              <w:rPr>
                <w:b w:val="0"/>
                <w:sz w:val="13"/>
              </w:rPr>
              <w:t>Public reports describing Parañaque free parking for PWD residents.</w:t>
            </w:r>
          </w:p>
        </w:tc>
      </w:tr>
      <w:tr>
        <w:trPr>
          <w:cantSplit/>
        </w:trPr>
        <w:tc>
          <w:tcPr>
            <w:tcW w:type="dxa" w:w="1080"/>
            <w:vAlign w:val="top"/>
          </w:tcPr>
          <w:p>
            <w:pPr>
              <w:jc w:val="left"/>
            </w:pPr>
            <w:r/>
            <w:r>
              <w:rPr>
                <w:b w:val="0"/>
                <w:sz w:val="13"/>
              </w:rPr>
              <w:t>Metro Manila</w:t>
            </w:r>
          </w:p>
        </w:tc>
        <w:tc>
          <w:tcPr>
            <w:tcW w:type="dxa" w:w="1440"/>
            <w:vAlign w:val="top"/>
          </w:tcPr>
          <w:p>
            <w:pPr>
              <w:jc w:val="left"/>
            </w:pPr>
            <w:r/>
            <w:r>
              <w:rPr>
                <w:b w:val="0"/>
                <w:sz w:val="13"/>
              </w:rPr>
              <w:t>Marikina City</w:t>
            </w:r>
          </w:p>
        </w:tc>
        <w:tc>
          <w:tcPr>
            <w:tcW w:type="dxa" w:w="2232"/>
            <w:vAlign w:val="top"/>
          </w:tcPr>
          <w:p>
            <w:pPr>
              <w:jc w:val="left"/>
            </w:pPr>
            <w:r/>
            <w:r>
              <w:rPr>
                <w:b w:val="0"/>
                <w:sz w:val="13"/>
              </w:rPr>
              <w:t>City Ordinance No. 028, S-2026</w:t>
            </w:r>
          </w:p>
        </w:tc>
        <w:tc>
          <w:tcPr>
            <w:tcW w:type="dxa" w:w="792"/>
            <w:vAlign w:val="top"/>
          </w:tcPr>
          <w:p>
            <w:pPr>
              <w:jc w:val="left"/>
            </w:pPr>
            <w:r/>
            <w:r>
              <w:rPr>
                <w:b w:val="0"/>
                <w:sz w:val="13"/>
              </w:rPr>
              <w:t>Yes</w:t>
            </w:r>
          </w:p>
        </w:tc>
        <w:tc>
          <w:tcPr>
            <w:tcW w:type="dxa" w:w="792"/>
            <w:vAlign w:val="top"/>
          </w:tcPr>
          <w:p>
            <w:pPr>
              <w:jc w:val="left"/>
            </w:pPr>
            <w:r/>
            <w:r>
              <w:rPr>
                <w:b w:val="0"/>
                <w:sz w:val="13"/>
              </w:rPr>
              <w:t>No / not found</w:t>
            </w:r>
          </w:p>
        </w:tc>
        <w:tc>
          <w:tcPr>
            <w:tcW w:type="dxa" w:w="2376"/>
            <w:vAlign w:val="top"/>
          </w:tcPr>
          <w:p>
            <w:pPr>
              <w:jc w:val="left"/>
            </w:pPr>
            <w:r/>
            <w:r>
              <w:rPr>
                <w:b w:val="0"/>
                <w:sz w:val="13"/>
              </w:rPr>
              <w:t>Resident-only for Marikina senior citizen residents.</w:t>
            </w:r>
          </w:p>
        </w:tc>
        <w:tc>
          <w:tcPr>
            <w:tcW w:type="dxa" w:w="2880"/>
            <w:vAlign w:val="top"/>
          </w:tcPr>
          <w:p>
            <w:pPr>
              <w:jc w:val="left"/>
            </w:pPr>
            <w:r/>
            <w:r>
              <w:rPr>
                <w:b w:val="0"/>
                <w:sz w:val="13"/>
              </w:rPr>
              <w:t>Reported 2-hour free parking in Marikina malls.</w:t>
            </w:r>
          </w:p>
        </w:tc>
        <w:tc>
          <w:tcPr>
            <w:tcW w:type="dxa" w:w="2736"/>
            <w:vAlign w:val="top"/>
          </w:tcPr>
          <w:p>
            <w:pPr>
              <w:jc w:val="left"/>
            </w:pPr>
            <w:r/>
            <w:r>
              <w:rPr>
                <w:b w:val="0"/>
                <w:sz w:val="13"/>
              </w:rPr>
              <w:t>Verification-needed due to recent ordinance and source availability; Senior only.</w:t>
            </w:r>
          </w:p>
        </w:tc>
        <w:tc>
          <w:tcPr>
            <w:tcW w:type="dxa" w:w="2088"/>
            <w:vAlign w:val="top"/>
          </w:tcPr>
          <w:p>
            <w:pPr>
              <w:jc w:val="left"/>
            </w:pPr>
            <w:r/>
            <w:r>
              <w:rPr>
                <w:b w:val="0"/>
                <w:sz w:val="13"/>
              </w:rPr>
              <w:t>Marikina City Council public post referencing official copy.</w:t>
            </w:r>
          </w:p>
        </w:tc>
      </w:tr>
      <w:tr>
        <w:trPr>
          <w:cantSplit/>
        </w:trPr>
        <w:tc>
          <w:tcPr>
            <w:tcW w:type="dxa" w:w="1080"/>
            <w:vAlign w:val="top"/>
          </w:tcPr>
          <w:p>
            <w:pPr>
              <w:jc w:val="left"/>
            </w:pPr>
            <w:r/>
            <w:r>
              <w:rPr>
                <w:b w:val="0"/>
                <w:sz w:val="13"/>
              </w:rPr>
              <w:t>Rizal</w:t>
            </w:r>
          </w:p>
        </w:tc>
        <w:tc>
          <w:tcPr>
            <w:tcW w:type="dxa" w:w="1440"/>
            <w:vAlign w:val="top"/>
          </w:tcPr>
          <w:p>
            <w:pPr>
              <w:jc w:val="left"/>
            </w:pPr>
            <w:r/>
            <w:r>
              <w:rPr>
                <w:b w:val="0"/>
                <w:sz w:val="13"/>
              </w:rPr>
              <w:t>Antipolo City</w:t>
            </w:r>
          </w:p>
        </w:tc>
        <w:tc>
          <w:tcPr>
            <w:tcW w:type="dxa" w:w="2232"/>
            <w:vAlign w:val="top"/>
          </w:tcPr>
          <w:p>
            <w:pPr>
              <w:jc w:val="left"/>
            </w:pPr>
            <w:r/>
            <w:r>
              <w:rPr>
                <w:b w:val="0"/>
                <w:sz w:val="13"/>
              </w:rPr>
              <w:t>City Ordinance 2019-917 / City Ordinance No. 2023-1089</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Unverified.</w:t>
            </w:r>
          </w:p>
        </w:tc>
        <w:tc>
          <w:tcPr>
            <w:tcW w:type="dxa" w:w="2880"/>
            <w:vAlign w:val="top"/>
          </w:tcPr>
          <w:p>
            <w:pPr>
              <w:jc w:val="left"/>
            </w:pPr>
            <w:r/>
            <w:r>
              <w:rPr>
                <w:b w:val="0"/>
                <w:sz w:val="13"/>
              </w:rPr>
              <w:t>Free parking for Senior Citizens and PWDs, based on public references.</w:t>
            </w:r>
          </w:p>
        </w:tc>
        <w:tc>
          <w:tcPr>
            <w:tcW w:type="dxa" w:w="2736"/>
            <w:vAlign w:val="top"/>
          </w:tcPr>
          <w:p>
            <w:pPr>
              <w:jc w:val="left"/>
            </w:pPr>
            <w:r/>
            <w:r>
              <w:rPr>
                <w:b w:val="0"/>
                <w:sz w:val="13"/>
              </w:rPr>
              <w:t>Strong lead; do not auto-apply until official text is obtained.</w:t>
            </w:r>
          </w:p>
        </w:tc>
        <w:tc>
          <w:tcPr>
            <w:tcW w:type="dxa" w:w="2088"/>
            <w:vAlign w:val="top"/>
          </w:tcPr>
          <w:p>
            <w:pPr>
              <w:jc w:val="left"/>
            </w:pPr>
            <w:r/>
            <w:r>
              <w:rPr>
                <w:b w:val="0"/>
                <w:sz w:val="13"/>
              </w:rPr>
              <w:t>Public posts referencing Antipolo city ordinances.</w:t>
            </w:r>
          </w:p>
        </w:tc>
      </w:tr>
      <w:tr>
        <w:trPr>
          <w:cantSplit/>
        </w:trPr>
        <w:tc>
          <w:tcPr>
            <w:tcW w:type="dxa" w:w="1080"/>
            <w:vAlign w:val="top"/>
          </w:tcPr>
          <w:p>
            <w:pPr>
              <w:jc w:val="left"/>
            </w:pPr>
            <w:r/>
            <w:r>
              <w:rPr>
                <w:b w:val="0"/>
                <w:sz w:val="13"/>
              </w:rPr>
              <w:t>Rizal</w:t>
            </w:r>
          </w:p>
        </w:tc>
        <w:tc>
          <w:tcPr>
            <w:tcW w:type="dxa" w:w="1440"/>
            <w:vAlign w:val="top"/>
          </w:tcPr>
          <w:p>
            <w:pPr>
              <w:jc w:val="left"/>
            </w:pPr>
            <w:r/>
            <w:r>
              <w:rPr>
                <w:b w:val="0"/>
                <w:sz w:val="13"/>
              </w:rPr>
              <w:t>Taytay</w:t>
            </w:r>
          </w:p>
        </w:tc>
        <w:tc>
          <w:tcPr>
            <w:tcW w:type="dxa" w:w="2232"/>
            <w:vAlign w:val="top"/>
          </w:tcPr>
          <w:p>
            <w:pPr>
              <w:jc w:val="left"/>
            </w:pPr>
            <w:r/>
            <w:r>
              <w:rPr>
                <w:b w:val="0"/>
                <w:sz w:val="13"/>
              </w:rPr>
              <w:t>Local free-parking measure reported; ordinance number not verified</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Unverified.</w:t>
            </w:r>
          </w:p>
        </w:tc>
        <w:tc>
          <w:tcPr>
            <w:tcW w:type="dxa" w:w="2880"/>
            <w:vAlign w:val="top"/>
          </w:tcPr>
          <w:p>
            <w:pPr>
              <w:jc w:val="left"/>
            </w:pPr>
            <w:r/>
            <w:r>
              <w:rPr>
                <w:b w:val="0"/>
                <w:sz w:val="13"/>
              </w:rPr>
              <w:t>Free parking reported for Senior Citizens and PWDs.</w:t>
            </w:r>
          </w:p>
        </w:tc>
        <w:tc>
          <w:tcPr>
            <w:tcW w:type="dxa" w:w="2736"/>
            <w:vAlign w:val="top"/>
          </w:tcPr>
          <w:p>
            <w:pPr>
              <w:jc w:val="left"/>
            </w:pPr>
            <w:r/>
            <w:r>
              <w:rPr>
                <w:b w:val="0"/>
                <w:sz w:val="13"/>
              </w:rPr>
              <w:t>Manual-review only until official ordinance number/text is obtained.</w:t>
            </w:r>
          </w:p>
        </w:tc>
        <w:tc>
          <w:tcPr>
            <w:tcW w:type="dxa" w:w="2088"/>
            <w:vAlign w:val="top"/>
          </w:tcPr>
          <w:p>
            <w:pPr>
              <w:jc w:val="left"/>
            </w:pPr>
            <w:r/>
            <w:r>
              <w:rPr>
                <w:b w:val="0"/>
                <w:sz w:val="13"/>
              </w:rPr>
              <w:t>Public/social post lead only.</w:t>
            </w:r>
          </w:p>
        </w:tc>
      </w:tr>
      <w:tr>
        <w:trPr>
          <w:cantSplit/>
        </w:trPr>
        <w:tc>
          <w:tcPr>
            <w:tcW w:type="dxa" w:w="1080"/>
            <w:vAlign w:val="top"/>
          </w:tcPr>
          <w:p>
            <w:pPr>
              <w:jc w:val="left"/>
            </w:pPr>
            <w:r/>
            <w:r>
              <w:rPr>
                <w:b w:val="0"/>
                <w:sz w:val="13"/>
              </w:rPr>
              <w:t>Laguna</w:t>
            </w:r>
          </w:p>
        </w:tc>
        <w:tc>
          <w:tcPr>
            <w:tcW w:type="dxa" w:w="1440"/>
            <w:vAlign w:val="top"/>
          </w:tcPr>
          <w:p>
            <w:pPr>
              <w:jc w:val="left"/>
            </w:pPr>
            <w:r/>
            <w:r>
              <w:rPr>
                <w:b w:val="0"/>
                <w:sz w:val="13"/>
              </w:rPr>
              <w:t>Santa Rosa City</w:t>
            </w:r>
          </w:p>
        </w:tc>
        <w:tc>
          <w:tcPr>
            <w:tcW w:type="dxa" w:w="2232"/>
            <w:vAlign w:val="top"/>
          </w:tcPr>
          <w:p>
            <w:pPr>
              <w:jc w:val="left"/>
            </w:pPr>
            <w:r/>
            <w:r>
              <w:rPr>
                <w:b w:val="0"/>
                <w:sz w:val="13"/>
              </w:rPr>
              <w:t>Ordinance No. 2202, S-2023</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Non-residents allowed. Public city post says it includes visitors, foreign guests, and tourists.</w:t>
            </w:r>
          </w:p>
        </w:tc>
        <w:tc>
          <w:tcPr>
            <w:tcW w:type="dxa" w:w="2880"/>
            <w:vAlign w:val="top"/>
          </w:tcPr>
          <w:p>
            <w:pPr>
              <w:jc w:val="left"/>
            </w:pPr>
            <w:r/>
            <w:r>
              <w:rPr>
                <w:b w:val="0"/>
                <w:sz w:val="13"/>
              </w:rPr>
              <w:t>Free parking for Senior Citizens and PWDs in malls, business establishments, hospitals, and similar places; exclusions include overnight parking, valet parking, standalone parking businesses, and buildings devoted solely to parking.</w:t>
            </w:r>
          </w:p>
        </w:tc>
        <w:tc>
          <w:tcPr>
            <w:tcW w:type="dxa" w:w="2736"/>
            <w:vAlign w:val="top"/>
          </w:tcPr>
          <w:p>
            <w:pPr>
              <w:jc w:val="left"/>
            </w:pPr>
            <w:r/>
            <w:r>
              <w:rPr>
                <w:b w:val="0"/>
                <w:sz w:val="13"/>
              </w:rPr>
              <w:t>Strong production candidate after ordinance copy review.</w:t>
            </w:r>
          </w:p>
        </w:tc>
        <w:tc>
          <w:tcPr>
            <w:tcW w:type="dxa" w:w="2088"/>
            <w:vAlign w:val="top"/>
          </w:tcPr>
          <w:p>
            <w:pPr>
              <w:jc w:val="left"/>
            </w:pPr>
            <w:r/>
            <w:r>
              <w:rPr>
                <w:b w:val="0"/>
                <w:sz w:val="13"/>
              </w:rPr>
              <w:t>Santa Rosa City public post and public reports.</w:t>
            </w:r>
          </w:p>
        </w:tc>
      </w:tr>
      <w:tr>
        <w:trPr>
          <w:cantSplit/>
        </w:trPr>
        <w:tc>
          <w:tcPr>
            <w:tcW w:type="dxa" w:w="1080"/>
            <w:vAlign w:val="top"/>
          </w:tcPr>
          <w:p>
            <w:pPr>
              <w:jc w:val="left"/>
            </w:pPr>
            <w:r/>
            <w:r>
              <w:rPr>
                <w:b w:val="0"/>
                <w:sz w:val="13"/>
              </w:rPr>
              <w:t>Bulacan</w:t>
            </w:r>
          </w:p>
        </w:tc>
        <w:tc>
          <w:tcPr>
            <w:tcW w:type="dxa" w:w="1440"/>
            <w:vAlign w:val="top"/>
          </w:tcPr>
          <w:p>
            <w:pPr>
              <w:jc w:val="left"/>
            </w:pPr>
            <w:r/>
            <w:r>
              <w:rPr>
                <w:b w:val="0"/>
                <w:sz w:val="13"/>
              </w:rPr>
              <w:t>Marilao</w:t>
            </w:r>
          </w:p>
        </w:tc>
        <w:tc>
          <w:tcPr>
            <w:tcW w:type="dxa" w:w="2232"/>
            <w:vAlign w:val="top"/>
          </w:tcPr>
          <w:p>
            <w:pPr>
              <w:jc w:val="left"/>
            </w:pPr>
            <w:r/>
            <w:r>
              <w:rPr>
                <w:b w:val="0"/>
                <w:sz w:val="13"/>
              </w:rPr>
              <w:t>Municipal Ordinance No. 1085-2026</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Not clearly resident-only from visible public index; verify ordinance text.</w:t>
            </w:r>
          </w:p>
        </w:tc>
        <w:tc>
          <w:tcPr>
            <w:tcW w:type="dxa" w:w="2880"/>
            <w:vAlign w:val="top"/>
          </w:tcPr>
          <w:p>
            <w:pPr>
              <w:jc w:val="left"/>
            </w:pPr>
            <w:r/>
            <w:r>
              <w:rPr>
                <w:b w:val="0"/>
                <w:sz w:val="13"/>
              </w:rPr>
              <w:t>Free parking in establishments within Marilao, based on public index/post references.</w:t>
            </w:r>
          </w:p>
        </w:tc>
        <w:tc>
          <w:tcPr>
            <w:tcW w:type="dxa" w:w="2736"/>
            <w:vAlign w:val="top"/>
          </w:tcPr>
          <w:p>
            <w:pPr>
              <w:jc w:val="left"/>
            </w:pPr>
            <w:r/>
            <w:r>
              <w:rPr>
                <w:b w:val="0"/>
                <w:sz w:val="13"/>
              </w:rPr>
              <w:t>Strong lead; do not auto-apply until official ordinance copy is reviewed.</w:t>
            </w:r>
          </w:p>
        </w:tc>
        <w:tc>
          <w:tcPr>
            <w:tcW w:type="dxa" w:w="2088"/>
            <w:vAlign w:val="top"/>
          </w:tcPr>
          <w:p>
            <w:pPr>
              <w:jc w:val="left"/>
            </w:pPr>
            <w:r/>
            <w:r>
              <w:rPr>
                <w:b w:val="0"/>
                <w:sz w:val="13"/>
              </w:rPr>
              <w:t>Marilao ordinance index and public posts.</w:t>
            </w:r>
          </w:p>
        </w:tc>
      </w:tr>
      <w:tr>
        <w:trPr>
          <w:cantSplit/>
        </w:trPr>
        <w:tc>
          <w:tcPr>
            <w:tcW w:type="dxa" w:w="1080"/>
            <w:vAlign w:val="top"/>
          </w:tcPr>
          <w:p>
            <w:pPr>
              <w:jc w:val="left"/>
            </w:pPr>
            <w:r/>
            <w:r>
              <w:rPr>
                <w:b w:val="0"/>
                <w:sz w:val="13"/>
              </w:rPr>
              <w:t>Bulacan</w:t>
            </w:r>
          </w:p>
        </w:tc>
        <w:tc>
          <w:tcPr>
            <w:tcW w:type="dxa" w:w="1440"/>
            <w:vAlign w:val="top"/>
          </w:tcPr>
          <w:p>
            <w:pPr>
              <w:jc w:val="left"/>
            </w:pPr>
            <w:r/>
            <w:r>
              <w:rPr>
                <w:b w:val="0"/>
                <w:sz w:val="13"/>
              </w:rPr>
              <w:t>Malolos City</w:t>
            </w:r>
          </w:p>
        </w:tc>
        <w:tc>
          <w:tcPr>
            <w:tcW w:type="dxa" w:w="2232"/>
            <w:vAlign w:val="top"/>
          </w:tcPr>
          <w:p>
            <w:pPr>
              <w:jc w:val="left"/>
            </w:pPr>
            <w:r/>
            <w:r>
              <w:rPr>
                <w:b w:val="0"/>
                <w:sz w:val="13"/>
              </w:rPr>
              <w:t>Resolution / ordinance index item involving Robinsons Place Malolos parking fees</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Unverified.</w:t>
            </w:r>
          </w:p>
        </w:tc>
        <w:tc>
          <w:tcPr>
            <w:tcW w:type="dxa" w:w="2880"/>
            <w:vAlign w:val="top"/>
          </w:tcPr>
          <w:p>
            <w:pPr>
              <w:jc w:val="left"/>
            </w:pPr>
            <w:r/>
            <w:r>
              <w:rPr>
                <w:b w:val="0"/>
                <w:sz w:val="13"/>
              </w:rPr>
              <w:t>Parking-fee-related measure involving Robinsons Place Malolos, Senior Citizens, and PWDs; not confirmed citywide.</w:t>
            </w:r>
          </w:p>
        </w:tc>
        <w:tc>
          <w:tcPr>
            <w:tcW w:type="dxa" w:w="2736"/>
            <w:vAlign w:val="top"/>
          </w:tcPr>
          <w:p>
            <w:pPr>
              <w:jc w:val="left"/>
            </w:pPr>
            <w:r/>
            <w:r>
              <w:rPr>
                <w:b w:val="0"/>
                <w:sz w:val="13"/>
              </w:rPr>
              <w:t>Do not configure as citywide rule until official text confirms scope.</w:t>
            </w:r>
          </w:p>
        </w:tc>
        <w:tc>
          <w:tcPr>
            <w:tcW w:type="dxa" w:w="2088"/>
            <w:vAlign w:val="top"/>
          </w:tcPr>
          <w:p>
            <w:pPr>
              <w:jc w:val="left"/>
            </w:pPr>
            <w:r/>
            <w:r>
              <w:rPr>
                <w:b w:val="0"/>
                <w:sz w:val="13"/>
              </w:rPr>
              <w:t>Malolos City resolution/ordinance index lead.</w:t>
            </w:r>
          </w:p>
        </w:tc>
      </w:tr>
      <w:tr>
        <w:trPr>
          <w:cantSplit/>
        </w:trPr>
        <w:tc>
          <w:tcPr>
            <w:tcW w:type="dxa" w:w="1080"/>
            <w:vAlign w:val="top"/>
          </w:tcPr>
          <w:p>
            <w:pPr>
              <w:jc w:val="left"/>
            </w:pPr>
            <w:r/>
            <w:r>
              <w:rPr>
                <w:b w:val="0"/>
                <w:sz w:val="13"/>
              </w:rPr>
              <w:t>Metro Cebu</w:t>
            </w:r>
          </w:p>
        </w:tc>
        <w:tc>
          <w:tcPr>
            <w:tcW w:type="dxa" w:w="1440"/>
            <w:vAlign w:val="top"/>
          </w:tcPr>
          <w:p>
            <w:pPr>
              <w:jc w:val="left"/>
            </w:pPr>
            <w:r/>
            <w:r>
              <w:rPr>
                <w:b w:val="0"/>
                <w:sz w:val="13"/>
              </w:rPr>
              <w:t>Cebu City</w:t>
            </w:r>
          </w:p>
        </w:tc>
        <w:tc>
          <w:tcPr>
            <w:tcW w:type="dxa" w:w="2232"/>
            <w:vAlign w:val="top"/>
          </w:tcPr>
          <w:p>
            <w:pPr>
              <w:jc w:val="left"/>
            </w:pPr>
            <w:r/>
            <w:r>
              <w:rPr>
                <w:b w:val="0"/>
                <w:sz w:val="13"/>
              </w:rPr>
              <w:t>City Ordinance No. 2326; City Ordinance No. 2711</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Mixed. Ordinance 2326 appears broader/non-resident-inclusive; Ordinance 2711 appears resident-only for Senior Citizens.</w:t>
            </w:r>
          </w:p>
        </w:tc>
        <w:tc>
          <w:tcPr>
            <w:tcW w:type="dxa" w:w="2880"/>
            <w:vAlign w:val="top"/>
          </w:tcPr>
          <w:p>
            <w:pPr>
              <w:jc w:val="left"/>
            </w:pPr>
            <w:r/>
            <w:r>
              <w:rPr>
                <w:b w:val="0"/>
                <w:sz w:val="13"/>
              </w:rPr>
              <w:t>Parking exemption/free parking period. Earlier reports describe first 3 hours free for Senior Citizens and PWDs; later reports cite Senior Citizen parking exemption rules.</w:t>
            </w:r>
          </w:p>
        </w:tc>
        <w:tc>
          <w:tcPr>
            <w:tcW w:type="dxa" w:w="2736"/>
            <w:vAlign w:val="top"/>
          </w:tcPr>
          <w:p>
            <w:pPr>
              <w:jc w:val="left"/>
            </w:pPr>
            <w:r/>
            <w:r>
              <w:rPr>
                <w:b w:val="0"/>
                <w:sz w:val="13"/>
              </w:rPr>
              <w:t>Configure with separate policy rows per ordinance and entitlement type after legal review.</w:t>
            </w:r>
          </w:p>
        </w:tc>
        <w:tc>
          <w:tcPr>
            <w:tcW w:type="dxa" w:w="2088"/>
            <w:vAlign w:val="top"/>
          </w:tcPr>
          <w:p>
            <w:pPr>
              <w:jc w:val="left"/>
            </w:pPr>
            <w:r/>
            <w:r>
              <w:rPr>
                <w:b w:val="0"/>
                <w:sz w:val="13"/>
              </w:rPr>
              <w:t>SunStar Cebu and Cebu City public reporting.</w:t>
            </w:r>
          </w:p>
        </w:tc>
      </w:tr>
      <w:tr>
        <w:trPr>
          <w:cantSplit/>
        </w:trPr>
        <w:tc>
          <w:tcPr>
            <w:tcW w:type="dxa" w:w="1080"/>
            <w:vAlign w:val="top"/>
          </w:tcPr>
          <w:p>
            <w:pPr>
              <w:jc w:val="left"/>
            </w:pPr>
            <w:r/>
            <w:r>
              <w:rPr>
                <w:b w:val="0"/>
                <w:sz w:val="13"/>
              </w:rPr>
              <w:t>Metro Cebu</w:t>
            </w:r>
          </w:p>
        </w:tc>
        <w:tc>
          <w:tcPr>
            <w:tcW w:type="dxa" w:w="1440"/>
            <w:vAlign w:val="top"/>
          </w:tcPr>
          <w:p>
            <w:pPr>
              <w:jc w:val="left"/>
            </w:pPr>
            <w:r/>
            <w:r>
              <w:rPr>
                <w:b w:val="0"/>
                <w:sz w:val="13"/>
              </w:rPr>
              <w:t>Mandaue City</w:t>
            </w:r>
          </w:p>
        </w:tc>
        <w:tc>
          <w:tcPr>
            <w:tcW w:type="dxa" w:w="2232"/>
            <w:vAlign w:val="top"/>
          </w:tcPr>
          <w:p>
            <w:pPr>
              <w:jc w:val="left"/>
            </w:pPr>
            <w:r/>
            <w:r>
              <w:rPr>
                <w:b w:val="0"/>
                <w:sz w:val="13"/>
              </w:rPr>
              <w:t>Proposed PWD free-parking ordinance reported in 2025</w:t>
            </w:r>
          </w:p>
        </w:tc>
        <w:tc>
          <w:tcPr>
            <w:tcW w:type="dxa" w:w="792"/>
            <w:vAlign w:val="top"/>
          </w:tcPr>
          <w:p>
            <w:pPr>
              <w:jc w:val="left"/>
            </w:pPr>
            <w:r/>
            <w:r>
              <w:rPr>
                <w:b w:val="0"/>
                <w:sz w:val="13"/>
              </w:rPr>
              <w:t>No / not found</w:t>
            </w:r>
          </w:p>
        </w:tc>
        <w:tc>
          <w:tcPr>
            <w:tcW w:type="dxa" w:w="792"/>
            <w:vAlign w:val="top"/>
          </w:tcPr>
          <w:p>
            <w:pPr>
              <w:jc w:val="left"/>
            </w:pPr>
            <w:r/>
            <w:r>
              <w:rPr>
                <w:b w:val="0"/>
                <w:sz w:val="13"/>
              </w:rPr>
              <w:t>Yes, proposed only</w:t>
            </w:r>
          </w:p>
        </w:tc>
        <w:tc>
          <w:tcPr>
            <w:tcW w:type="dxa" w:w="2376"/>
            <w:vAlign w:val="top"/>
          </w:tcPr>
          <w:p>
            <w:pPr>
              <w:jc w:val="left"/>
            </w:pPr>
            <w:r/>
            <w:r>
              <w:rPr>
                <w:b w:val="0"/>
                <w:sz w:val="13"/>
              </w:rPr>
              <w:t>Not applicable until enacted and verified.</w:t>
            </w:r>
          </w:p>
        </w:tc>
        <w:tc>
          <w:tcPr>
            <w:tcW w:type="dxa" w:w="2880"/>
            <w:vAlign w:val="top"/>
          </w:tcPr>
          <w:p>
            <w:pPr>
              <w:jc w:val="left"/>
            </w:pPr>
            <w:r/>
            <w:r>
              <w:rPr>
                <w:b w:val="0"/>
                <w:sz w:val="13"/>
              </w:rPr>
              <w:t>Proposed up to 3 hours free parking for PWDs in public and private establishments.</w:t>
            </w:r>
          </w:p>
        </w:tc>
        <w:tc>
          <w:tcPr>
            <w:tcW w:type="dxa" w:w="2736"/>
            <w:vAlign w:val="top"/>
          </w:tcPr>
          <w:p>
            <w:pPr>
              <w:jc w:val="left"/>
            </w:pPr>
            <w:r/>
            <w:r>
              <w:rPr>
                <w:b w:val="0"/>
                <w:sz w:val="13"/>
              </w:rPr>
              <w:t>Monitor only. Do not configure as active ordinance unless final enacted text is obtained.</w:t>
            </w:r>
          </w:p>
        </w:tc>
        <w:tc>
          <w:tcPr>
            <w:tcW w:type="dxa" w:w="2088"/>
            <w:vAlign w:val="top"/>
          </w:tcPr>
          <w:p>
            <w:pPr>
              <w:jc w:val="left"/>
            </w:pPr>
            <w:r/>
            <w:r>
              <w:rPr>
                <w:b w:val="0"/>
                <w:sz w:val="13"/>
              </w:rPr>
              <w:t>Public reporting on proposed Mandaue PWD free parking ordinance.</w:t>
            </w:r>
          </w:p>
        </w:tc>
      </w:tr>
      <w:tr>
        <w:trPr>
          <w:cantSplit/>
        </w:trPr>
        <w:tc>
          <w:tcPr>
            <w:tcW w:type="dxa" w:w="1080"/>
            <w:vAlign w:val="top"/>
          </w:tcPr>
          <w:p>
            <w:pPr>
              <w:jc w:val="left"/>
            </w:pPr>
            <w:r/>
            <w:r>
              <w:rPr>
                <w:b w:val="0"/>
                <w:sz w:val="13"/>
              </w:rPr>
              <w:t>Metro Davao</w:t>
            </w:r>
          </w:p>
        </w:tc>
        <w:tc>
          <w:tcPr>
            <w:tcW w:type="dxa" w:w="1440"/>
            <w:vAlign w:val="top"/>
          </w:tcPr>
          <w:p>
            <w:pPr>
              <w:jc w:val="left"/>
            </w:pPr>
            <w:r/>
            <w:r>
              <w:rPr>
                <w:b w:val="0"/>
                <w:sz w:val="13"/>
              </w:rPr>
              <w:t>Tagum City</w:t>
            </w:r>
          </w:p>
        </w:tc>
        <w:tc>
          <w:tcPr>
            <w:tcW w:type="dxa" w:w="2232"/>
            <w:vAlign w:val="top"/>
          </w:tcPr>
          <w:p>
            <w:pPr>
              <w:jc w:val="left"/>
            </w:pPr>
            <w:r/>
            <w:r>
              <w:rPr>
                <w:b w:val="0"/>
                <w:sz w:val="13"/>
              </w:rPr>
              <w:t>City Ordinance No. 736, S-2016</w:t>
            </w:r>
          </w:p>
        </w:tc>
        <w:tc>
          <w:tcPr>
            <w:tcW w:type="dxa" w:w="792"/>
            <w:vAlign w:val="top"/>
          </w:tcPr>
          <w:p>
            <w:pPr>
              <w:jc w:val="left"/>
            </w:pPr>
            <w:r/>
            <w:r>
              <w:rPr>
                <w:b w:val="0"/>
                <w:sz w:val="13"/>
              </w:rPr>
              <w:t>Yes</w:t>
            </w:r>
          </w:p>
        </w:tc>
        <w:tc>
          <w:tcPr>
            <w:tcW w:type="dxa" w:w="792"/>
            <w:vAlign w:val="top"/>
          </w:tcPr>
          <w:p>
            <w:pPr>
              <w:jc w:val="left"/>
            </w:pPr>
            <w:r/>
            <w:r>
              <w:rPr>
                <w:b w:val="0"/>
                <w:sz w:val="13"/>
              </w:rPr>
              <w:t>Yes</w:t>
            </w:r>
          </w:p>
        </w:tc>
        <w:tc>
          <w:tcPr>
            <w:tcW w:type="dxa" w:w="2376"/>
            <w:vAlign w:val="top"/>
          </w:tcPr>
          <w:p>
            <w:pPr>
              <w:jc w:val="left"/>
            </w:pPr>
            <w:r/>
            <w:r>
              <w:rPr>
                <w:b w:val="0"/>
                <w:sz w:val="13"/>
              </w:rPr>
              <w:t>Unclear; visible title does not show resident-only limitation, but official text must be reviewed.</w:t>
            </w:r>
          </w:p>
        </w:tc>
        <w:tc>
          <w:tcPr>
            <w:tcW w:type="dxa" w:w="2880"/>
            <w:vAlign w:val="top"/>
          </w:tcPr>
          <w:p>
            <w:pPr>
              <w:jc w:val="left"/>
            </w:pPr>
            <w:r/>
            <w:r>
              <w:rPr>
                <w:b w:val="0"/>
                <w:sz w:val="13"/>
              </w:rPr>
              <w:t>Strong lead for no-fee privilege for Senior Citizens and PWDs; exact parking wording needs review.</w:t>
            </w:r>
          </w:p>
        </w:tc>
        <w:tc>
          <w:tcPr>
            <w:tcW w:type="dxa" w:w="2736"/>
            <w:vAlign w:val="top"/>
          </w:tcPr>
          <w:p>
            <w:pPr>
              <w:jc w:val="left"/>
            </w:pPr>
            <w:r/>
            <w:r>
              <w:rPr>
                <w:b w:val="0"/>
                <w:sz w:val="13"/>
              </w:rPr>
              <w:t>Do not auto-apply until official PDF/text is obtained and parking scope is confirmed.</w:t>
            </w:r>
          </w:p>
        </w:tc>
        <w:tc>
          <w:tcPr>
            <w:tcW w:type="dxa" w:w="2088"/>
            <w:vAlign w:val="top"/>
          </w:tcPr>
          <w:p>
            <w:pPr>
              <w:jc w:val="left"/>
            </w:pPr>
            <w:r/>
            <w:r>
              <w:rPr>
                <w:b w:val="0"/>
                <w:sz w:val="13"/>
              </w:rPr>
              <w:t>Tagum City SP ordinance PDF/index lead.</w:t>
            </w:r>
          </w:p>
        </w:tc>
      </w:tr>
    </w:tbl>
    <w:p>
      <w:pPr>
        <w:pStyle w:val="Heading1"/>
      </w:pPr>
      <w:r>
        <w:t>3. Clean Grouping by Beneficiary Type</w:t>
      </w:r>
    </w:p>
    <w:tbl>
      <w:tblPr>
        <w:tblStyle w:val="TableGrid"/>
        <w:tblW w:type="auto" w:w="0"/>
        <w:tblLook w:firstColumn="1" w:firstRow="1" w:lastColumn="0" w:lastRow="0" w:noHBand="0" w:noVBand="1" w:val="04A0"/>
      </w:tblPr>
      <w:tblGrid>
        <w:gridCol w:w="8712"/>
        <w:gridCol w:w="8712"/>
      </w:tblGrid>
      <w:tr>
        <w:trPr>
          <w:cantSplit/>
        </w:trPr>
        <w:tc>
          <w:tcPr>
            <w:tcW w:type="dxa" w:w="8712"/>
            <w:shd w:fill="D9EAF7"/>
          </w:tcPr>
          <w:p>
            <w:pPr>
              <w:jc w:val="left"/>
            </w:pPr>
            <w:r/>
            <w:r>
              <w:rPr>
                <w:b/>
                <w:sz w:val="18"/>
              </w:rPr>
              <w:t>Applies to</w:t>
            </w:r>
          </w:p>
        </w:tc>
        <w:tc>
          <w:tcPr>
            <w:tcW w:type="dxa" w:w="8712"/>
            <w:shd w:fill="D9EAF7"/>
          </w:tcPr>
          <w:p>
            <w:pPr>
              <w:jc w:val="left"/>
            </w:pPr>
            <w:r/>
            <w:r>
              <w:rPr>
                <w:b/>
                <w:sz w:val="18"/>
              </w:rPr>
              <w:t>LGUs</w:t>
            </w:r>
          </w:p>
        </w:tc>
      </w:tr>
      <w:tr>
        <w:trPr>
          <w:cantSplit/>
        </w:trPr>
        <w:tc>
          <w:tcPr>
            <w:tcW w:type="dxa" w:w="8712"/>
          </w:tcPr>
          <w:p>
            <w:pPr>
              <w:jc w:val="left"/>
            </w:pPr>
            <w:r/>
            <w:r>
              <w:rPr>
                <w:b w:val="0"/>
                <w:sz w:val="18"/>
              </w:rPr>
              <w:t>Senior Citizen and PWD</w:t>
            </w:r>
          </w:p>
        </w:tc>
        <w:tc>
          <w:tcPr>
            <w:tcW w:type="dxa" w:w="8712"/>
          </w:tcPr>
          <w:p>
            <w:pPr>
              <w:jc w:val="left"/>
            </w:pPr>
            <w:r/>
            <w:r>
              <w:rPr>
                <w:b w:val="0"/>
                <w:sz w:val="18"/>
              </w:rPr>
              <w:t>Quezon City, Manila, Las Piñas, Muntinlupa, Antipolo, Taytay, Santa Rosa, Marilao, Malolos, Cebu City, Tagum</w:t>
            </w:r>
          </w:p>
        </w:tc>
      </w:tr>
      <w:tr>
        <w:trPr>
          <w:cantSplit/>
        </w:trPr>
        <w:tc>
          <w:tcPr>
            <w:tcW w:type="dxa" w:w="8712"/>
          </w:tcPr>
          <w:p>
            <w:pPr>
              <w:jc w:val="left"/>
            </w:pPr>
            <w:r/>
            <w:r>
              <w:rPr>
                <w:b w:val="0"/>
                <w:sz w:val="18"/>
              </w:rPr>
              <w:t>Senior Citizen only, based on available sources</w:t>
            </w:r>
          </w:p>
        </w:tc>
        <w:tc>
          <w:tcPr>
            <w:tcW w:type="dxa" w:w="8712"/>
          </w:tcPr>
          <w:p>
            <w:pPr>
              <w:jc w:val="left"/>
            </w:pPr>
            <w:r/>
            <w:r>
              <w:rPr>
                <w:b w:val="0"/>
                <w:sz w:val="18"/>
              </w:rPr>
              <w:t>Mandaluyong, Marikina</w:t>
            </w:r>
          </w:p>
        </w:tc>
      </w:tr>
      <w:tr>
        <w:trPr>
          <w:cantSplit/>
        </w:trPr>
        <w:tc>
          <w:tcPr>
            <w:tcW w:type="dxa" w:w="8712"/>
          </w:tcPr>
          <w:p>
            <w:pPr>
              <w:jc w:val="left"/>
            </w:pPr>
            <w:r/>
            <w:r>
              <w:rPr>
                <w:b w:val="0"/>
                <w:sz w:val="18"/>
              </w:rPr>
              <w:t>PWD only, based on available sources</w:t>
            </w:r>
          </w:p>
        </w:tc>
        <w:tc>
          <w:tcPr>
            <w:tcW w:type="dxa" w:w="8712"/>
          </w:tcPr>
          <w:p>
            <w:pPr>
              <w:jc w:val="left"/>
            </w:pPr>
            <w:r/>
            <w:r>
              <w:rPr>
                <w:b w:val="0"/>
                <w:sz w:val="18"/>
              </w:rPr>
              <w:t>Parañaque</w:t>
            </w:r>
          </w:p>
        </w:tc>
      </w:tr>
      <w:tr>
        <w:trPr>
          <w:cantSplit/>
        </w:trPr>
        <w:tc>
          <w:tcPr>
            <w:tcW w:type="dxa" w:w="8712"/>
          </w:tcPr>
          <w:p>
            <w:pPr>
              <w:jc w:val="left"/>
            </w:pPr>
            <w:r/>
            <w:r>
              <w:rPr>
                <w:b w:val="0"/>
                <w:sz w:val="18"/>
              </w:rPr>
              <w:t>PWD proposed only</w:t>
            </w:r>
          </w:p>
        </w:tc>
        <w:tc>
          <w:tcPr>
            <w:tcW w:type="dxa" w:w="8712"/>
          </w:tcPr>
          <w:p>
            <w:pPr>
              <w:jc w:val="left"/>
            </w:pPr>
            <w:r/>
            <w:r>
              <w:rPr>
                <w:b w:val="0"/>
                <w:sz w:val="18"/>
              </w:rPr>
              <w:t>Mandaue City</w:t>
            </w:r>
          </w:p>
        </w:tc>
      </w:tr>
    </w:tbl>
    <w:p>
      <w:pPr>
        <w:pStyle w:val="Heading1"/>
      </w:pPr>
      <w:r>
        <w:t>4. Clean Grouping by Residency Scope</w:t>
      </w:r>
    </w:p>
    <w:tbl>
      <w:tblPr>
        <w:tblStyle w:val="TableGrid"/>
        <w:tblW w:type="auto" w:w="0"/>
        <w:tblLook w:firstColumn="1" w:firstRow="1" w:lastColumn="0" w:lastRow="0" w:noHBand="0" w:noVBand="1" w:val="04A0"/>
      </w:tblPr>
      <w:tblGrid>
        <w:gridCol w:w="8712"/>
        <w:gridCol w:w="8712"/>
      </w:tblGrid>
      <w:tr>
        <w:trPr>
          <w:cantSplit/>
        </w:trPr>
        <w:tc>
          <w:tcPr>
            <w:tcW w:type="dxa" w:w="8712"/>
            <w:shd w:fill="D9EAF7"/>
          </w:tcPr>
          <w:p>
            <w:pPr>
              <w:jc w:val="left"/>
            </w:pPr>
            <w:r/>
            <w:r>
              <w:rPr>
                <w:b/>
                <w:sz w:val="18"/>
              </w:rPr>
              <w:t>Classification</w:t>
            </w:r>
          </w:p>
        </w:tc>
        <w:tc>
          <w:tcPr>
            <w:tcW w:type="dxa" w:w="8712"/>
            <w:shd w:fill="D9EAF7"/>
          </w:tcPr>
          <w:p>
            <w:pPr>
              <w:jc w:val="left"/>
            </w:pPr>
            <w:r/>
            <w:r>
              <w:rPr>
                <w:b/>
                <w:sz w:val="18"/>
              </w:rPr>
              <w:t>LGUs</w:t>
            </w:r>
          </w:p>
        </w:tc>
      </w:tr>
      <w:tr>
        <w:trPr>
          <w:cantSplit/>
        </w:trPr>
        <w:tc>
          <w:tcPr>
            <w:tcW w:type="dxa" w:w="8712"/>
          </w:tcPr>
          <w:p>
            <w:pPr>
              <w:jc w:val="left"/>
            </w:pPr>
            <w:r/>
            <w:r>
              <w:rPr>
                <w:b w:val="0"/>
                <w:sz w:val="18"/>
              </w:rPr>
              <w:t>Resident-only / likely resident-only</w:t>
            </w:r>
          </w:p>
        </w:tc>
        <w:tc>
          <w:tcPr>
            <w:tcW w:type="dxa" w:w="8712"/>
          </w:tcPr>
          <w:p>
            <w:pPr>
              <w:jc w:val="left"/>
            </w:pPr>
            <w:r/>
            <w:r>
              <w:rPr>
                <w:b w:val="0"/>
                <w:sz w:val="18"/>
              </w:rPr>
              <w:t>Quezon City, Las Piñas, Parañaque, Marikina</w:t>
            </w:r>
          </w:p>
        </w:tc>
      </w:tr>
      <w:tr>
        <w:trPr>
          <w:cantSplit/>
        </w:trPr>
        <w:tc>
          <w:tcPr>
            <w:tcW w:type="dxa" w:w="8712"/>
          </w:tcPr>
          <w:p>
            <w:pPr>
              <w:jc w:val="left"/>
            </w:pPr>
            <w:r/>
            <w:r>
              <w:rPr>
                <w:b w:val="0"/>
                <w:sz w:val="18"/>
              </w:rPr>
              <w:t>Not clearly resident-only / likely open to non-residents with valid ID</w:t>
            </w:r>
          </w:p>
        </w:tc>
        <w:tc>
          <w:tcPr>
            <w:tcW w:type="dxa" w:w="8712"/>
          </w:tcPr>
          <w:p>
            <w:pPr>
              <w:jc w:val="left"/>
            </w:pPr>
            <w:r/>
            <w:r>
              <w:rPr>
                <w:b w:val="0"/>
                <w:sz w:val="18"/>
              </w:rPr>
              <w:t>Manila, Muntinlupa, Marilao, Tagum</w:t>
            </w:r>
          </w:p>
        </w:tc>
      </w:tr>
      <w:tr>
        <w:trPr>
          <w:cantSplit/>
        </w:trPr>
        <w:tc>
          <w:tcPr>
            <w:tcW w:type="dxa" w:w="8712"/>
          </w:tcPr>
          <w:p>
            <w:pPr>
              <w:jc w:val="left"/>
            </w:pPr>
            <w:r/>
            <w:r>
              <w:rPr>
                <w:b w:val="0"/>
                <w:sz w:val="18"/>
              </w:rPr>
              <w:t>Clearly includes non-residents / visitors</w:t>
            </w:r>
          </w:p>
        </w:tc>
        <w:tc>
          <w:tcPr>
            <w:tcW w:type="dxa" w:w="8712"/>
          </w:tcPr>
          <w:p>
            <w:pPr>
              <w:jc w:val="left"/>
            </w:pPr>
            <w:r/>
            <w:r>
              <w:rPr>
                <w:b w:val="0"/>
                <w:sz w:val="18"/>
              </w:rPr>
              <w:t>Santa Rosa City, Laguna</w:t>
            </w:r>
          </w:p>
        </w:tc>
      </w:tr>
      <w:tr>
        <w:trPr>
          <w:cantSplit/>
        </w:trPr>
        <w:tc>
          <w:tcPr>
            <w:tcW w:type="dxa" w:w="8712"/>
          </w:tcPr>
          <w:p>
            <w:pPr>
              <w:jc w:val="left"/>
            </w:pPr>
            <w:r/>
            <w:r>
              <w:rPr>
                <w:b w:val="0"/>
                <w:sz w:val="18"/>
              </w:rPr>
              <w:t>Mixed or conflicting ordinance basis</w:t>
            </w:r>
          </w:p>
        </w:tc>
        <w:tc>
          <w:tcPr>
            <w:tcW w:type="dxa" w:w="8712"/>
          </w:tcPr>
          <w:p>
            <w:pPr>
              <w:jc w:val="left"/>
            </w:pPr>
            <w:r/>
            <w:r>
              <w:rPr>
                <w:b w:val="0"/>
                <w:sz w:val="18"/>
              </w:rPr>
              <w:t>Mandaluyong, Cebu City</w:t>
            </w:r>
          </w:p>
        </w:tc>
      </w:tr>
      <w:tr>
        <w:trPr>
          <w:cantSplit/>
        </w:trPr>
        <w:tc>
          <w:tcPr>
            <w:tcW w:type="dxa" w:w="8712"/>
          </w:tcPr>
          <w:p>
            <w:pPr>
              <w:jc w:val="left"/>
            </w:pPr>
            <w:r/>
            <w:r>
              <w:rPr>
                <w:b w:val="0"/>
                <w:sz w:val="18"/>
              </w:rPr>
              <w:t>Unverified coverage</w:t>
            </w:r>
          </w:p>
        </w:tc>
        <w:tc>
          <w:tcPr>
            <w:tcW w:type="dxa" w:w="8712"/>
          </w:tcPr>
          <w:p>
            <w:pPr>
              <w:jc w:val="left"/>
            </w:pPr>
            <w:r/>
            <w:r>
              <w:rPr>
                <w:b w:val="0"/>
                <w:sz w:val="18"/>
              </w:rPr>
              <w:t>Antipolo, Taytay, Malolos</w:t>
            </w:r>
          </w:p>
        </w:tc>
      </w:tr>
      <w:tr>
        <w:trPr>
          <w:cantSplit/>
        </w:trPr>
        <w:tc>
          <w:tcPr>
            <w:tcW w:type="dxa" w:w="8712"/>
          </w:tcPr>
          <w:p>
            <w:pPr>
              <w:jc w:val="left"/>
            </w:pPr>
            <w:r/>
            <w:r>
              <w:rPr>
                <w:b w:val="0"/>
                <w:sz w:val="18"/>
              </w:rPr>
              <w:t>Proposed only, not active</w:t>
            </w:r>
          </w:p>
        </w:tc>
        <w:tc>
          <w:tcPr>
            <w:tcW w:type="dxa" w:w="8712"/>
          </w:tcPr>
          <w:p>
            <w:pPr>
              <w:jc w:val="left"/>
            </w:pPr>
            <w:r/>
            <w:r>
              <w:rPr>
                <w:b w:val="0"/>
                <w:sz w:val="18"/>
              </w:rPr>
              <w:t>Mandaue City</w:t>
            </w:r>
          </w:p>
        </w:tc>
      </w:tr>
    </w:tbl>
    <w:p>
      <w:pPr>
        <w:pStyle w:val="Heading1"/>
      </w:pPr>
      <w:r>
        <w:t>5. ExitPass Policy Registry Recommendation</w:t>
      </w:r>
    </w:p>
    <w:p>
      <w:pPr/>
      <w:r>
        <w:t>ExitPass should not implement a generic Senior Citizen/PWD free parking rule nationwide. The statutory parking benefit must be resolved by site jurisdiction and active local policy.</w:t>
      </w:r>
    </w:p>
    <w:p>
      <w:pPr/>
      <w:r>
        <w:t>Each ordinance should be stored as a separate policy row per entitlement type because some LGUs cover both Senior Citizens and PWDs, some cover only Senior Citizens, some cover only PWDs, and some have different residency or facility-scope rules by entitlement type.</w:t>
      </w:r>
    </w:p>
    <w:p>
      <w:pPr/>
      <w:r>
        <w:t>Recommended fields: jurisdiction_lgu, ordinance_reference, entitlement_type, beneficiary_residency_scope, parking_benefit_type, free_duration_minutes, initial_rate_exempt_flag, full_fee_exempt_flag, overnight_excluded_flag, valet_excluded_flag, standalone_parking_excluded_flag, driver_or_passenger_required_flag, evidence_requirement, verification_status, effective_date, source_reference, reviewed_by, reviewed_at.</w:t>
      </w:r>
    </w:p>
    <w:p>
      <w:pPr/>
      <w:r>
        <w:t>Suggested verification statuses: VERIFIED_OFFICIAL, VERIFIED_SECONDARY, LEAD_UNVERIFIED, PROPOSED, and NO_LOCAL_RULE_FOUND.</w:t>
      </w:r>
    </w:p>
    <w:p>
      <w:pPr>
        <w:pStyle w:val="Heading1"/>
      </w:pPr>
      <w:r>
        <w:t>6. Production Configuration Position</w:t>
      </w:r>
    </w:p>
    <w:p>
      <w:r>
        <w:rPr>
          <w:b/>
        </w:rPr>
        <w:t xml:space="preserve">Strict production candidates after ordinance copy review: </w:t>
      </w:r>
      <w:r>
        <w:t>Quezon City, Manila, Mandaluyong, Las Piñas, Muntinlupa, Parañaque, Santa Rosa, and Cebu City.</w:t>
      </w:r>
    </w:p>
    <w:p>
      <w:r>
        <w:rPr>
          <w:b/>
        </w:rPr>
        <w:t xml:space="preserve">Verification-needed before auto-application: </w:t>
      </w:r>
      <w:r>
        <w:t>Marikina, Antipolo, Taytay, Marilao, Malolos, Mandaue, and Tagum.</w:t>
      </w:r>
    </w:p>
    <w:p>
      <w:r>
        <w:rPr>
          <w:b/>
        </w:rPr>
        <w:t xml:space="preserve">Strong recommendation: </w:t>
      </w:r>
      <w:r>
        <w:t>Do not auto-apply local parking statutory benefits unless the LGU ordinance copy has been reviewed and encoded into the policy registry. For unverified leads, route the request to manual review or apply only the site-approved fallback policy.</w:t>
      </w:r>
    </w:p>
    <w:sectPr w:rsidR="00FC693F" w:rsidRPr="0006063C" w:rsidSect="00034616">
      <w:footerReference w:type="default" r:id="rId9"/>
      <w:pgSz w:w="1872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Philippine Parking Statutory Discount Local Ordinances - Detailed 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Philippine Parking Statutory Discount Local Ordinances - Detailed List</dc:title>
  <dc:subject>Parking-specific local statutory discount ordinances for Senior Citizens and PWDs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