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Исходная матрица: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</w:tbl>
    <w:p>
      <w:r>
        <w:br/>
        <w:t>Номер столбца с максимальной суммой: 2</w:t>
      </w:r>
    </w:p>
    <w:p>
      <w:r>
        <w:t>Отфильтрованный массив:</w:t>
      </w:r>
    </w:p>
    <w:p>
      <w:r>
        <w:t>28, 34, 52, 47, 66, 65, 39, 37, 36, 32, 45, 42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