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Traduction AR (deepl)</w:t>
      </w:r>
    </w:p>
    <w:p>
      <w:r>
        <w:t>قبل البدء :</w:t>
      </w:r>
    </w:p>
    <w:p>
      <w:r>
        <w:t>يجب غسل اليدين بالماء الفاتر والصابون.</w:t>
      </w:r>
    </w:p>
    <w:p>
      <w:r>
        <w:t>يجب تجفيف اليدين جيدًا.</w:t>
      </w:r>
    </w:p>
    <w:p>
      <w:r>
        <w:t>انتباه : لا تستخدم الكحول ولا الكريم على يديك</w:t>
      </w:r>
    </w:p>
    <w:p>
      <w:r>
        <w:t>كيف يتم وخز الإصبع ؟</w:t>
      </w:r>
    </w:p>
    <w:p>
      <w:r>
        <w:t>عند أخذ عينة من الدم، يجب تدليك الإصبع الذي ستقوم بوخزه.</w:t>
      </w:r>
    </w:p>
    <w:p>
      <w:r>
        <w:t>أين يتم الوخز ؟</w:t>
      </w:r>
    </w:p>
    <w:p>
      <w:r>
        <w:t>لا تقم بوخز الإبهام و</w:t>
      </w:r>
    </w:p>
    <w:p>
      <w:r>
        <w:t>لا تقم بوخز السبابة</w:t>
      </w:r>
    </w:p>
    <w:p>
      <w:r>
        <w:t>لا تقم بوخز طرف الإصبع ولا في وسط الإصبع</w:t>
      </w:r>
    </w:p>
    <w:p>
      <w:r>
        <w:t>يجب الوخز على جانب الإصبع.</w:t>
      </w:r>
    </w:p>
    <w:p>
      <w:r>
        <w:t>يجب تغيير الإصبع ومكان الوخز في كل مرة.</w:t>
      </w:r>
    </w:p>
    <w:p>
      <w:r>
        <w:t>انتباه : استخدم إبرة جديدة في كل مرة تأخذ فيها عينة دم. يجب استعمال الإبرة مرة واحدة فقط.</w:t>
      </w:r>
    </w:p>
    <w:p>
      <w:r>
        <w:t>متى يتم إجراء الفحص ؟</w:t>
      </w:r>
    </w:p>
    <w:p>
      <w:r>
        <w:t>يجب إجراء 6 فحوصات في اليوم :</w:t>
      </w:r>
    </w:p>
    <w:p>
      <w:r>
        <w:t>في الصباح : عند الاستيقاظ مباشرة، قبل الأكل أو الشرب.</w:t>
      </w:r>
    </w:p>
    <w:p>
      <w:r>
        <w:t>بعد الإفطار : بعد ساعتين من بداية الوجبة.</w:t>
      </w:r>
    </w:p>
    <w:p>
      <w:r>
        <w:t>قبل وجبة الغداء.</w:t>
      </w:r>
    </w:p>
    <w:p>
      <w:r>
        <w:t>بعد وجبة الغداء : بعد ساعتين من بداية الوجبة.</w:t>
      </w:r>
    </w:p>
    <w:p>
      <w:r>
        <w:t>قبل وجبة العشاء.</w:t>
      </w:r>
    </w:p>
    <w:p>
      <w:r>
        <w:t>بعد وجبة العشاء : بعد ساعتين من بداية الوجبة.</w:t>
      </w:r>
    </w:p>
    <w:p>
      <w:r>
        <w:t>النتائج:</w:t>
      </w:r>
    </w:p>
    <w:p>
      <w:r>
        <w:t>من المهم تسجيل النتائج.</w:t>
      </w:r>
    </w:p>
    <w:p>
      <w:r>
        <w:t>قبل الوجبات: يجب أن يكون الرقم أقل من 95 ملغ/ديسيلتر</w:t>
      </w:r>
    </w:p>
    <w:p>
      <w:r>
        <w:t>بعد الوجبات بساعتين: يجب أن يكون الرقم أقل من 120 ملغ/ديسيلتر</w:t>
      </w:r>
    </w:p>
    <w:p/>
    <w:p>
      <w:r>
        <w:br w:type="page"/>
      </w:r>
    </w:p>
    <w:p>
      <w:pPr>
        <w:pStyle w:val="Heading1"/>
      </w:pPr>
      <w:r>
        <w:t>صور من المستند الأصلي</w:t>
      </w:r>
    </w:p>
    <w:p>
      <w:r>
        <w:t>surveillance_docx_1.png</w:t>
      </w:r>
    </w:p>
    <w:p>
      <w:r>
        <w:drawing>
          <wp:inline xmlns:a="http://schemas.openxmlformats.org/drawingml/2006/main" xmlns:pic="http://schemas.openxmlformats.org/drawingml/2006/picture">
            <wp:extent cx="5029200" cy="5401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rveillance_docx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401733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