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Traduction RU (deepl)</w:t>
      </w:r>
    </w:p>
    <w:p>
      <w:r>
        <w:t xml:space="preserve">Хорошо вымойте руки теплой водой с мылом. Хорошо высушите руки. Не используйте спирт или крем. Помассируйте палец. Не делайте укол в большой и указательный палец, а также в подушечку пальца. Делайте укол сбоку, а не в указательный палец или большой палец. </w:t>
      </w:r>
    </w:p>
    <w:p>
      <w:r>
        <w:t>Поворачивайте вокруг пальца 🖐 ВНИМАНИЕ: меняйте ланцет каждый раз, он предназначен для однократного использования 6 проверок в день - Утром натощак</w:t>
      </w:r>
    </w:p>
    <w:p>
      <w:r>
        <w:t xml:space="preserve">             - Через 2 часа после начала завтрака - Перед обедом - Через 2 часа после начала обеда - Перед ужином - Через 2 часа после начала ужина Результаты Не более 0,95 г/л перед едой Не более 120 через 2 часа после еды</w:t>
      </w:r>
    </w:p>
    <w:p>
      <w:r>
        <w:t>QR аудиоплеера:</w:t>
      </w:r>
    </w:p>
    <w:p>
      <w:r>
        <w:drawing>
          <wp:inline xmlns:a="http://schemas.openxmlformats.org/drawingml/2006/main" xmlns:pic="http://schemas.openxmlformats.org/drawingml/2006/picture">
            <wp:extent cx="13716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ru_deep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Ссылка на аудиоплеер: https://daryazdr.github.io/Gestion-de-projet-M1-IDL-UGA/player/surveillance_ru_deepl.html</w:t>
      </w:r>
    </w:p>
    <w:p>
      <w:r>
        <w:br w:type="page"/>
      </w:r>
    </w:p>
    <w:p>
      <w:pPr>
        <w:pStyle w:val="Heading1"/>
      </w:pPr>
      <w:r>
        <w:t>Images du document source</w:t>
      </w:r>
    </w:p>
    <w:p>
      <w:r>
        <w:t>surveillance_docx_1.png</w:t>
      </w:r>
    </w:p>
    <w:p>
      <w:r>
        <w:drawing>
          <wp:inline xmlns:a="http://schemas.openxmlformats.org/drawingml/2006/main" xmlns:pic="http://schemas.openxmlformats.org/drawingml/2006/picture">
            <wp:extent cx="5029200" cy="54017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rveillance_docx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40173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