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85823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au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8582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72"/>
          </w:tcPr>
          <w:p>
            <w:pPr>
              <w:jc w:val="right"/>
            </w:pPr>
            <w:r/>
            <w:r>
              <w:rPr>
                <w:b/>
                <w:color w:val="8C0000"/>
                <w:sz w:val="32"/>
              </w:rPr>
              <w:t>POLICY &amp; PROCEDURE</w:t>
              <w:br/>
            </w:r>
            <w:r>
              <w:rPr>
                <w:b/>
                <w:sz w:val="20"/>
              </w:rPr>
              <w:t>PP-004 - Fatigue Management Procedure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Document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Fatigue Management Procedure</w:t>
            </w:r>
          </w:p>
        </w:tc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Document No.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PP-004</w:t>
            </w:r>
          </w:p>
        </w:tc>
      </w:tr>
      <w:tr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Company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Austen Landscaping &amp; Earthmoving</w:t>
            </w:r>
          </w:p>
        </w:tc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Revision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1.0</w:t>
            </w:r>
          </w:p>
        </w:tc>
      </w:tr>
      <w:tr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Prepared By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John Austen</w:t>
            </w:r>
          </w:p>
        </w:tc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Date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15/05/2026</w:t>
            </w:r>
          </w:p>
        </w:tc>
      </w:tr>
      <w:tr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Project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WR1773121 MILC Millchester Substation Civil Works</w:t>
            </w:r>
          </w:p>
        </w:tc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Status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Approved for use / Uncontrolled when printed</w:t>
            </w:r>
          </w:p>
        </w:tc>
      </w:tr>
    </w:tbl>
    <w:p>
      <w:r>
        <w:rPr>
          <w:b/>
          <w:color w:val="8C0000"/>
          <w:sz w:val="26"/>
        </w:rPr>
        <w:t>PURPOSE</w:t>
      </w:r>
    </w:p>
    <w:p>
      <w:r>
        <w:rPr>
          <w:b w:val="0"/>
          <w:sz w:val="17"/>
        </w:rPr>
        <w:t>To manage fatigue risks that may affect worker health, decision making, plant operation, driving and high-risk construction work.</w:t>
      </w:r>
    </w:p>
    <w:p>
      <w:r>
        <w:rPr>
          <w:b/>
          <w:color w:val="8C0000"/>
          <w:sz w:val="26"/>
        </w:rPr>
        <w:t>SCOPE</w:t>
      </w:r>
    </w:p>
    <w:p>
      <w:r>
        <w:rPr>
          <w:b w:val="0"/>
          <w:sz w:val="17"/>
        </w:rPr>
        <w:t>Applies to all workers performing physical work, driving, operating plant, spotting, working near live assets or undertaking safety-critical activities.</w:t>
      </w:r>
    </w:p>
    <w:p>
      <w:r>
        <w:rPr>
          <w:b/>
          <w:color w:val="8C0000"/>
          <w:sz w:val="26"/>
        </w:rPr>
        <w:t>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vAlign w:val="center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5472"/>
            <w:vAlign w:val="center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Responsibility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Management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Plan workloads, travel and rosters to minimise fatigue risk.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Supervisors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Monitor workers for fatigue and adjust work, breaks or duties where required.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Workers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Report fatigue early and do not perform safety-critical work if unfit.</w:t>
            </w:r>
          </w:p>
        </w:tc>
      </w:tr>
    </w:tbl>
    <w:p>
      <w:r>
        <w:rPr>
          <w:b/>
          <w:color w:val="8C0000"/>
          <w:sz w:val="26"/>
        </w:rPr>
        <w:t>PROCEDURE / REQUIREMENTS</w:t>
      </w:r>
    </w:p>
    <w:p>
      <w:pPr>
        <w:pStyle w:val="ListBullet"/>
      </w:pPr>
      <w:r>
        <w:rPr>
          <w:sz w:val="17"/>
        </w:rPr>
        <w:t>Discuss fatigue at daily pre-starts, especially during hot weather, long shifts, travel or physically demanding work.</w:t>
      </w:r>
    </w:p>
    <w:p>
      <w:pPr>
        <w:pStyle w:val="ListBullet"/>
      </w:pPr>
      <w:r>
        <w:rPr>
          <w:sz w:val="17"/>
        </w:rPr>
        <w:t>Workers must present rested and fit for work.</w:t>
      </w:r>
    </w:p>
    <w:p>
      <w:pPr>
        <w:pStyle w:val="ListBullet"/>
      </w:pPr>
      <w:r>
        <w:rPr>
          <w:sz w:val="17"/>
        </w:rPr>
        <w:t>Workers affected by fatigue must not operate plant, drive long distances, work near live services or perform high-risk tasks.</w:t>
      </w:r>
    </w:p>
    <w:p>
      <w:pPr>
        <w:pStyle w:val="ListBullet"/>
      </w:pPr>
      <w:r>
        <w:rPr>
          <w:sz w:val="17"/>
        </w:rPr>
        <w:t>Use rest breaks, job rotation, hydration and task planning to reduce fatigue risk.</w:t>
      </w:r>
    </w:p>
    <w:p>
      <w:pPr>
        <w:pStyle w:val="ListBullet"/>
      </w:pPr>
      <w:r>
        <w:rPr>
          <w:sz w:val="17"/>
        </w:rPr>
        <w:t>Supervisor may stand down, reassign or restrict a worker if fatigue creates a safety risk.</w:t>
      </w:r>
    </w:p>
    <w:p>
      <w:pPr>
        <w:pStyle w:val="ListBullet"/>
      </w:pPr>
      <w:r>
        <w:rPr>
          <w:sz w:val="17"/>
        </w:rPr>
        <w:t>Driving fatigue must be considered before and after long or hot shifts.</w:t>
      </w:r>
    </w:p>
    <w:p>
      <w:r>
        <w:rPr>
          <w:b/>
          <w:color w:val="8C0000"/>
          <w:sz w:val="26"/>
        </w:rPr>
        <w:t>RECORDS / FORMS</w:t>
      </w:r>
    </w:p>
    <w:p>
      <w:pPr>
        <w:pStyle w:val="ListBullet"/>
      </w:pPr>
      <w:r>
        <w:rPr>
          <w:sz w:val="17"/>
        </w:rPr>
        <w:t>MLCH-12 Heat Stress, Remote Conditions &amp; Fitness for Work</w:t>
      </w:r>
    </w:p>
    <w:p>
      <w:pPr>
        <w:pStyle w:val="ListBullet"/>
      </w:pPr>
      <w:r>
        <w:rPr>
          <w:sz w:val="17"/>
        </w:rPr>
        <w:t>Daily Pre-Start SMEAC Form</w:t>
      </w:r>
    </w:p>
    <w:p>
      <w:pPr>
        <w:pStyle w:val="ListBullet"/>
      </w:pPr>
      <w:r>
        <w:rPr>
          <w:sz w:val="17"/>
        </w:rPr>
        <w:t>Incident Report Form</w:t>
      </w:r>
    </w:p>
    <w:p>
      <w:r>
        <w:rPr>
          <w:b/>
          <w:color w:val="8C0000"/>
          <w:sz w:val="26"/>
        </w:rPr>
        <w:t>REVIEW</w:t>
      </w:r>
    </w:p>
    <w:p>
      <w:r>
        <w:rPr>
          <w:b w:val="0"/>
          <w:sz w:val="17"/>
        </w:rPr>
        <w:t>This document shall be reviewed annually, following an incident, when work activities change, when legislation or client requirements change, or when the document is identified as no longer effective.</w:t>
      </w:r>
    </w:p>
    <w:p/>
    <w:p>
      <w:pPr>
        <w:jc w:val="center"/>
      </w:pPr>
      <w:r>
        <w:rPr>
          <w:b/>
          <w:color w:val="8C0000"/>
          <w:sz w:val="20"/>
        </w:rPr>
        <w:t>THINK SAFE - WORK SAFE - GO HOME SAFE</w:t>
      </w:r>
    </w:p>
    <w:p>
      <w:pPr>
        <w:jc w:val="center"/>
      </w:pPr>
      <w:r>
        <w:rPr>
          <w:sz w:val="14"/>
        </w:rPr>
        <w:t>Austen Landscaping &amp; Earthmoving | ABN 30 643 517 350 | Phone: 0407 763 435 | Email: kathieshome@westnet.com.au | Uncontrolled when printed</w:t>
      </w:r>
    </w:p>
    <w:sectPr w:rsidR="00FC693F" w:rsidRPr="0006063C" w:rsidSect="00034616"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