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PP-017 - Bullying, Harassment and Equal Opportunity Policy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Bullying, Harassment and Equal Opportunity Policy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PP-017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provide a respectful, safe and inclusive workplace that is free from bullying, harassment, discrimination, victimisation and unfair treatment.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all Austen Landscaping &amp; Earthmoving employees, contractors, subcontractors, suppliers, visitors and any person working on, or representing, Austen worksites and project activities.</w:t>
      </w:r>
    </w:p>
    <w:p>
      <w:r>
        <w:rPr>
          <w:b/>
          <w:color w:val="8C0000"/>
          <w:sz w:val="26"/>
        </w:rPr>
        <w:t>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Bullying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Repeated and unreasonable behaviour directed toward a worker or group of workers that creates a risk to health and safety.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Harassment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Unwelcome behaviour that offends, humiliates, intimidates or creates a hostile work environment.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Discrimination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Treating a person less favourably because of a protected attribute such as age, sex, race, disability, religion, family responsibilities or other protected grounds.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Victimisation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Treating a person unfairly because they raised a complaint, supported another person or participated in an investigation.</w:t>
            </w:r>
          </w:p>
        </w:tc>
      </w:tr>
    </w:tbl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 a workplace free from bullying, harassment and discrimination; take reports seriously; act fairly and promptly.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 the expected standard of behaviour, address unacceptable conduct early and escalate matters where required.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 and Contractors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Treat others with respect, follow this policy, report concerns and cooperate with investigations or resolution processes.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Visitors and Suppliers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Comply with site behaviour expectations and directions from Austen management or supervisors.</w:t>
            </w:r>
          </w:p>
        </w:tc>
      </w:tr>
    </w:tbl>
    <w:p>
      <w:r>
        <w:rPr>
          <w:b/>
          <w:color w:val="8C0000"/>
          <w:sz w:val="26"/>
        </w:rPr>
        <w:t>POLICY REQUIREMENTS</w:t>
      </w:r>
    </w:p>
    <w:p>
      <w:pPr>
        <w:pStyle w:val="ListBullet"/>
      </w:pPr>
      <w:r>
        <w:rPr>
          <w:sz w:val="17"/>
        </w:rPr>
        <w:t>All workers must treat others with respect, dignity and fairness.</w:t>
      </w:r>
    </w:p>
    <w:p>
      <w:pPr>
        <w:pStyle w:val="ListBullet"/>
      </w:pPr>
      <w:r>
        <w:rPr>
          <w:sz w:val="17"/>
        </w:rPr>
        <w:t>Bullying, harassment, sexual harassment, discrimination, victimisation, threats, abuse and intimidating behaviour are not permitted.</w:t>
      </w:r>
    </w:p>
    <w:p>
      <w:pPr>
        <w:pStyle w:val="ListBullet"/>
      </w:pPr>
      <w:r>
        <w:rPr>
          <w:sz w:val="17"/>
        </w:rPr>
        <w:t>Equal opportunity must be provided in recruitment, task allocation, training, supervision and workplace treatment.</w:t>
      </w:r>
    </w:p>
    <w:p>
      <w:pPr>
        <w:pStyle w:val="ListBullet"/>
      </w:pPr>
      <w:r>
        <w:rPr>
          <w:sz w:val="17"/>
        </w:rPr>
        <w:t>Workplace decisions must be based on merit, competency, safety, conduct and business/project requirements.</w:t>
      </w:r>
    </w:p>
    <w:p>
      <w:pPr>
        <w:pStyle w:val="ListBullet"/>
      </w:pPr>
      <w:r>
        <w:rPr>
          <w:sz w:val="17"/>
        </w:rPr>
        <w:t>Inappropriate jokes, slurs, offensive language, unwanted comments, exclusion, intimidation or aggressive conduct are not acceptable.</w:t>
      </w:r>
    </w:p>
    <w:p>
      <w:pPr>
        <w:pStyle w:val="ListBullet"/>
      </w:pPr>
      <w:r>
        <w:rPr>
          <w:sz w:val="17"/>
        </w:rPr>
        <w:t>Reasonable management action carried out in a reasonable way is not workplace bullying.</w:t>
      </w:r>
    </w:p>
    <w:p>
      <w:pPr>
        <w:pStyle w:val="ListBullet"/>
      </w:pPr>
      <w:r>
        <w:rPr>
          <w:sz w:val="17"/>
        </w:rPr>
        <w:t>All workers are encouraged to speak up early if behaviour is unsafe, disrespectful or inappropriate.</w:t>
      </w:r>
    </w:p>
    <w:p>
      <w:pPr>
        <w:pStyle w:val="ListBullet"/>
      </w:pPr>
      <w:r>
        <w:rPr>
          <w:sz w:val="17"/>
        </w:rPr>
        <w:t>Breaches of this policy may result in corrective action, removal from site, disciplinary action or contract review.</w:t>
      </w:r>
    </w:p>
    <w:p>
      <w:r>
        <w:rPr>
          <w:b/>
          <w:color w:val="8C0000"/>
          <w:sz w:val="26"/>
        </w:rPr>
        <w:t>REPORTING AND RESOLUTION PROCESS</w:t>
      </w:r>
    </w:p>
    <w:p>
      <w:pPr>
        <w:pStyle w:val="ListBullet"/>
      </w:pPr>
      <w:r>
        <w:rPr>
          <w:sz w:val="17"/>
        </w:rPr>
        <w:t>If safe and appropriate, the affected person may tell the person that the behaviour is unwelcome and ask them to stop.</w:t>
      </w:r>
    </w:p>
    <w:p>
      <w:pPr>
        <w:pStyle w:val="ListBullet"/>
      </w:pPr>
      <w:r>
        <w:rPr>
          <w:sz w:val="17"/>
        </w:rPr>
        <w:t>Reports may be made to John Austen / Site Supervisor, management, or the principal contractor where project requirements apply.</w:t>
      </w:r>
    </w:p>
    <w:p>
      <w:pPr>
        <w:pStyle w:val="ListBullet"/>
      </w:pPr>
      <w:r>
        <w:rPr>
          <w:sz w:val="17"/>
        </w:rPr>
        <w:t>Immediate risks, threats, violence, serious harassment or repeated conduct must be escalated immediately.</w:t>
      </w:r>
    </w:p>
    <w:p>
      <w:pPr>
        <w:pStyle w:val="ListBullet"/>
      </w:pPr>
      <w:r>
        <w:rPr>
          <w:sz w:val="17"/>
        </w:rPr>
        <w:t>Management will assess the report, determine required action and where appropriate conduct a fair investigation.</w:t>
      </w:r>
    </w:p>
    <w:p>
      <w:pPr>
        <w:pStyle w:val="ListBullet"/>
      </w:pPr>
      <w:r>
        <w:rPr>
          <w:sz w:val="17"/>
        </w:rPr>
        <w:t>Corrective actions may include discussion, mediation, training, supervision changes, formal warning, removal from site or contract action.</w:t>
      </w:r>
    </w:p>
    <w:p>
      <w:pPr>
        <w:pStyle w:val="ListBullet"/>
      </w:pPr>
      <w:r>
        <w:rPr>
          <w:sz w:val="17"/>
        </w:rPr>
        <w:t>Serious matters may be referred to external authorities or the principal contractor where required.</w:t>
      </w:r>
    </w:p>
    <w:p>
      <w:r>
        <w:rPr>
          <w:b/>
          <w:color w:val="8C0000"/>
          <w:sz w:val="26"/>
        </w:rPr>
        <w:t>CONFIDENTIALITY AND FAIR TREATMENT</w:t>
      </w:r>
    </w:p>
    <w:p>
      <w:pPr>
        <w:pStyle w:val="ListBullet"/>
      </w:pPr>
      <w:r>
        <w:rPr>
          <w:sz w:val="17"/>
        </w:rPr>
        <w:t>Reports will be managed confidentially as far as reasonably practicable and only shared with persons who need to know.</w:t>
      </w:r>
    </w:p>
    <w:p>
      <w:pPr>
        <w:pStyle w:val="ListBullet"/>
      </w:pPr>
      <w:r>
        <w:rPr>
          <w:sz w:val="17"/>
        </w:rPr>
        <w:t>All parties will be treated fairly and given an opportunity to provide relevant information.</w:t>
      </w:r>
    </w:p>
    <w:p>
      <w:pPr>
        <w:pStyle w:val="ListBullet"/>
      </w:pPr>
      <w:r>
        <w:rPr>
          <w:sz w:val="17"/>
        </w:rPr>
        <w:t>Retaliation, victimisation or adverse treatment because a person raises a concern is not permitted.</w:t>
      </w:r>
    </w:p>
    <w:p>
      <w:pPr>
        <w:pStyle w:val="ListBullet"/>
      </w:pPr>
      <w:r>
        <w:rPr>
          <w:sz w:val="17"/>
        </w:rPr>
        <w:t>False or malicious reports may result in disciplinary action; however, a report made honestly will not be treated as misconduct simply because it is not substantiated.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Incident / Injury / Near Miss Report Form</w:t>
      </w:r>
    </w:p>
    <w:p>
      <w:pPr>
        <w:pStyle w:val="ListBullet"/>
      </w:pPr>
      <w:r>
        <w:rPr>
          <w:sz w:val="17"/>
        </w:rPr>
        <w:t>Toolbox Talk / Safety Meeting Record</w:t>
      </w:r>
    </w:p>
    <w:p>
      <w:pPr>
        <w:pStyle w:val="ListBullet"/>
      </w:pPr>
      <w:r>
        <w:rPr>
          <w:sz w:val="17"/>
        </w:rPr>
        <w:t>Daily Pre-Start SMEAC Form where a general reminder is given</w:t>
      </w:r>
    </w:p>
    <w:p>
      <w:pPr>
        <w:pStyle w:val="ListBullet"/>
      </w:pPr>
      <w:r>
        <w:rPr>
          <w:sz w:val="17"/>
        </w:rPr>
        <w:t>Training and induction records</w:t>
      </w:r>
    </w:p>
    <w:p>
      <w:pPr>
        <w:pStyle w:val="ListBullet"/>
      </w:pPr>
      <w:r>
        <w:rPr>
          <w:sz w:val="17"/>
        </w:rPr>
        <w:t>Investigation and corrective action records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policy shall be reviewed annually, after any workplace complaint or incident, when legislative or client requirements change, or when the policy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