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PP-003 - Drug and Alcohol Policy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Drug and Alcohol Policy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PP-003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workers are fit for work and not impaired by alcohol, drugs, medication or other substances while performing work.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Austen workers, subcontractors, operators, visitors and any person undertaking work on Austen-controlled worksites.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 expectations, enforce fitness-for-work requirements and take action where impairment is suspected.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 workers for signs of impairment and remove affected workers from safety-critical tasks.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 fit for work and advise the supervisor if medication, illness or fatigue may affect safety.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No worker may attend site or perform work while affected by alcohol, illegal drugs, non-prescribed substances or medication that impairs safe work.</w:t>
      </w:r>
    </w:p>
    <w:p>
      <w:pPr>
        <w:pStyle w:val="ListBullet"/>
      </w:pPr>
      <w:r>
        <w:rPr>
          <w:sz w:val="17"/>
        </w:rPr>
        <w:t>Workers must notify the supervisor if prescribed or over-the-counter medication may affect alertness, coordination or judgement.</w:t>
      </w:r>
    </w:p>
    <w:p>
      <w:pPr>
        <w:pStyle w:val="ListBullet"/>
      </w:pPr>
      <w:r>
        <w:rPr>
          <w:sz w:val="17"/>
        </w:rPr>
        <w:t>A worker suspected of impairment must be removed from high-risk work and assessed by the supervisor.</w:t>
      </w:r>
    </w:p>
    <w:p>
      <w:pPr>
        <w:pStyle w:val="ListBullet"/>
      </w:pPr>
      <w:r>
        <w:rPr>
          <w:sz w:val="17"/>
        </w:rPr>
        <w:t>Alcohol and drug use is prohibited on site unless specifically authorised for a lawful purpose.</w:t>
      </w:r>
    </w:p>
    <w:p>
      <w:pPr>
        <w:pStyle w:val="ListBullet"/>
      </w:pPr>
      <w:r>
        <w:rPr>
          <w:sz w:val="17"/>
        </w:rPr>
        <w:t>Refusal to comply with a lawful fitness-for-work direction may result in removal from site.</w:t>
      </w:r>
    </w:p>
    <w:p>
      <w:pPr>
        <w:pStyle w:val="ListBullet"/>
      </w:pPr>
      <w:r>
        <w:rPr>
          <w:sz w:val="17"/>
        </w:rPr>
        <w:t>Incidents involving suspected impairment must be reported and investigated.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Incident Report Form</w:t>
      </w:r>
    </w:p>
    <w:p>
      <w:pPr>
        <w:pStyle w:val="ListBullet"/>
      </w:pPr>
      <w:r>
        <w:rPr>
          <w:sz w:val="17"/>
        </w:rPr>
        <w:t>Fitness-for-work notes / supervisor records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