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PP-012 - Training and Competency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Training and Competency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PP-012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workers are competent, inducted and authorised to perform assigned tasks safely.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employees, subcontractors, operators and workers performing high risk or task-specific work.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Maintain training and competency records.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Verify worker competency, licences, VOCs and inductions before work starts.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evidence of competency and only perform work they are competent/authorised to do.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Workers must hold a General Construction Induction Card where required.</w:t>
      </w:r>
    </w:p>
    <w:p>
      <w:pPr>
        <w:pStyle w:val="ListBullet"/>
      </w:pPr>
      <w:r>
        <w:rPr>
          <w:sz w:val="17"/>
        </w:rPr>
        <w:t>Site-specific induction must be completed before starting work.</w:t>
      </w:r>
    </w:p>
    <w:p>
      <w:pPr>
        <w:pStyle w:val="ListBullet"/>
      </w:pPr>
      <w:r>
        <w:rPr>
          <w:sz w:val="17"/>
        </w:rPr>
        <w:t>Plant operators must hold relevant licences, competencies or VOCs.</w:t>
      </w:r>
    </w:p>
    <w:p>
      <w:pPr>
        <w:pStyle w:val="ListBullet"/>
      </w:pPr>
      <w:r>
        <w:rPr>
          <w:sz w:val="17"/>
        </w:rPr>
        <w:t>Task-specific training must be provided for SWMS, tools, electrical risk, traffic, silica, heat stress, environmental controls and emergency response where applicable.</w:t>
      </w:r>
    </w:p>
    <w:p>
      <w:pPr>
        <w:pStyle w:val="ListBullet"/>
      </w:pPr>
      <w:r>
        <w:rPr>
          <w:sz w:val="17"/>
        </w:rPr>
        <w:t>Workers must not perform work outside their competency.</w:t>
      </w:r>
    </w:p>
    <w:p>
      <w:pPr>
        <w:pStyle w:val="ListBullet"/>
      </w:pPr>
      <w:r>
        <w:rPr>
          <w:sz w:val="17"/>
        </w:rPr>
        <w:t>Training and competency records shall be maintained and made available where required.</w:t>
      </w:r>
    </w:p>
    <w:p>
      <w:pPr>
        <w:pStyle w:val="ListBullet"/>
      </w:pPr>
      <w:r>
        <w:rPr>
          <w:sz w:val="17"/>
        </w:rPr>
        <w:t>Toolbox talks and daily pre-starts are used to communicate task requirements.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Training register</w:t>
      </w:r>
    </w:p>
    <w:p>
      <w:pPr>
        <w:pStyle w:val="ListBullet"/>
      </w:pPr>
      <w:r>
        <w:rPr>
          <w:sz w:val="17"/>
        </w:rPr>
        <w:t>Induction record</w:t>
      </w:r>
    </w:p>
    <w:p>
      <w:pPr>
        <w:pStyle w:val="ListBullet"/>
      </w:pPr>
      <w:r>
        <w:rPr>
          <w:sz w:val="17"/>
        </w:rPr>
        <w:t>SWMS sign-on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Toolbox Talk Record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