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80"/>
        <w:gridCol w:w="4160"/>
        <w:tblGridChange w:id="0">
          <w:tblGrid>
            <w:gridCol w:w="10380"/>
            <w:gridCol w:w="4160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50, 51, 55, 56, 60, 61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Саме цей варіант закриває усі границі: 50 (граничне для «без реакції»), 51 (вхід у попередження), 55 (вхід у штраф), 56 (всередині штрафу), 60 (вхід у «штраф+бал»), 61 (всередині «штраф+бал»).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≤ 50 - немає реакції</w:t>
              <w:br w:type="textWrapping"/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51–54 - попередження</w:t>
              <w:br w:type="textWrapping"/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55–59 - штраф</w:t>
              <w:br w:type="textWrapping"/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≥ 60 -  штраф + бал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 1000 кроків включно – “Житель дивана”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1000 до 2000 кроків включно – “Лежибока”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2000 до 4000 кроків включно – “Рухай тілом!”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4000 до 6000 кроків включно – “Непогано!”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більше 6000 – “Молодець, так тримати!”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0, 1000, 2000, 3000, 4000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1000, 2001, 4000, 4001, 6000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123, 2345, 3456, 4567, 5678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666, 999, 2222, 5555, 6666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Нам потрібно покрити 5 класів: Потрібно покрити 5 класів: 1) ≤1000, 2) 1000–2000, 3) 2000–4000, 4) 4000–6000, 5) &gt;6000.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240" w:before="24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1"/>
            <w:commentRangeStart w:id="2"/>
            <w:commentRangeStart w:id="3"/>
            <w:commentRangeStart w:id="4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Судячи з варіантів, які тут є, то жоден із них не покриває всі 5 класів.</w:t>
            </w:r>
            <w:commentRangeEnd w:id="1"/>
            <w:r w:rsidDel="00000000" w:rsidR="00000000" w:rsidRPr="00000000">
              <w:commentReference w:id="1"/>
            </w:r>
            <w:commentRangeEnd w:id="2"/>
            <w:r w:rsidDel="00000000" w:rsidR="00000000" w:rsidRPr="00000000">
              <w:commentReference w:id="2"/>
            </w:r>
            <w:commentRangeEnd w:id="3"/>
            <w:r w:rsidDel="00000000" w:rsidR="00000000" w:rsidRPr="00000000">
              <w:commentReference w:id="3"/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after="240" w:before="240"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Варіант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A покриває класи 1–4, але не має &gt;6000. D покриває класи 1, 3, 4, 5, але не має 1000–2000.</w:t>
              <w:br w:type="textWrapping"/>
              <w:t xml:space="preserve">Отже, обидва дають 4 з 5 класів.</w:t>
              <w:br w:type="textWrapping"/>
              <w:t xml:space="preserve"> Якщо орієнтуватися на граничні значення - краще обрати було б A.</w:t>
              <w:br w:type="textWrapping"/>
              <w:t xml:space="preserve"> Якщо нам важливе покриття випадку &gt;6000 -  краще обрати тоді варіант 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commentRangeStart w:id="5"/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2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240" w:before="24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Щоб повністю перевірити систему, потрібно, щоб у тестах була представлена хоча б одна перевірка з кожного класу. У наведених тестах ми вже маємо приклади для часу менше 3 годин у поєднанні з дуже низькою інтенсивністю, а також приклад для часу понад 6 годин із середньою інтенсивністю. Це означає, що два класи часу вже покриті, і дві категорії інтенсивності також. Проте залишається неперевіреним клас часу від 3 до 6 годин, а також інтенсивності “низька” і “висока”.</w:t>
            </w:r>
          </w:p>
          <w:p w:rsidR="00000000" w:rsidDel="00000000" w:rsidP="00000000" w:rsidRDefault="00000000" w:rsidRPr="00000000" w14:paraId="00000046">
            <w:pPr>
              <w:widowControl w:val="0"/>
              <w:spacing w:after="240" w:before="24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Щоб покрити всі класи, достатньо двох нових тестів: один із часом у межах від 3 до 6 годин та інтенсивністю «низька», і ще один із часом у тих самих межах, але з інтенсивністю «висока». Так ми закриємо всі пропущені класи еквівалентності. Тому мінімальна кількість додаткових тест-кейсів 2.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commentRangeStart w:id="6"/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</w:t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 цьому випадку ми маємо чітко визначений набір підтримуваних роздільностей: 640×480, 1280×720, 1600×1200 та 1920×1080. Кожна з цих роздільностей утворює свій власний клас еквівалентності, адже застосунок або працює на них, або ні. Тобто, щоб повністю перевірити всі класи, нам потрібно протестувати застосунок на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кожній із чотирьох роздільностей окремо, тому в повній перевірці нам буде необхідно виконати 4 тест-кейси.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Yevgenia German" w:id="1" w:date="2025-09-29T17:59:21Z"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Тобі треба обрати варіант з найкращим покриттям згідно завдання. Це не означає, що він ідеальний, але кращий з запропонованих.</w:t>
      </w:r>
    </w:p>
  </w:comment>
  <w:comment w:author="Дарина Ткачук" w:id="2" w:date="2025-09-29T18:31:22Z"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Серед запропонованих варіантів A є найбільш доречним, бо містить ключові граничні значення (0, 1000, 2000, 4000), тобто перевіряє самі межі інтервалів, а не дублює значення в одному класі (як у D).</w:t>
      </w:r>
    </w:p>
  </w:comment>
  <w:comment w:author="Yevgenia German" w:id="3" w:date="2025-09-29T18:39:31Z"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питання не про покриття границь у завданні. 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Переглянь вправу з кондиціонером з заняття.</w:t>
      </w:r>
    </w:p>
  </w:comment>
  <w:comment w:author="Дарина Ткачук" w:id="4" w:date="2025-09-29T19:33:36Z"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Ага, тепер зрозуміла. Якщо брати саме класи еквівалентності, то правильніше тоді буде D, бо він покриває і 6000. Я ж орієнтувалась на межі, тому вибрала А.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реакція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2025-09-29 19:37 пп користувач Yevgenia German зреагував так: 👍</w:t>
      </w:r>
    </w:p>
  </w:comment>
  <w:comment w:id="0" w:date="2025-09-29T17:58:43Z"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реакція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2025-09-29 17:58 пп користувач Yevgenia German зреагував так: 👍</w:t>
      </w:r>
    </w:p>
  </w:comment>
  <w:comment w:id="5" w:date="2025-09-29T17:59:30Z"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реакція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2025-09-29 17:59 пп користувач Yevgenia German зреагував так: 👍</w:t>
      </w:r>
    </w:p>
  </w:comment>
  <w:comment w:id="6" w:date="2025-09-29T17:59:38Z"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реакція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2025-09-29 17:59 пп користувач Yevgenia German зреагував так: 👍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