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Income Areas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Scottsdale North, AZ Urban Cluster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Union township (Porter County), IN Urban Cluster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Key Biscayne, FL Urban Cluster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Rancho Murieta, CA Urban Cluster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Aspen, CO Urban Cluster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Vail, CO Urban Cluster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Park City, UT Urban Cluster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Half Moon Bay, CA Urban Cluster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Hightstown, NJ Urbanized Area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Bridgeport—Stamford, CT—NY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Washington-Arlington-Alexandria, D.C-Virginia-Maryland MSA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Boston–Worcester–Lawrence, Massachusetts–New Hampshire–Maine–Connecticut CMSA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San Jose-Santa Clara-Sunnyvale, California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Minneapolis-St. Paul-Bloomington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Honolulu, Hawaii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Medium Income Areas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Chesterbrook, Pennsylvania (Philadelphia)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Holly Hills, Colorado (Denver Small)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Lumberton, North Carolina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Penn Wynne, Pennsylvania (Philadelphia)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Carmel, Indiana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Inverness, Florida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Blacksburg, VA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Charleston, West Virginia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Brookline, Massachusetts (Boston)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Okemos, Michigan (Lansing)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Los Alamos, New Mexico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Ardmore, Pennsylvania (Philadelphia)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Clarendon Hills, Illinois (Chicago)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Richmond Heights, Missouri (St. Louis)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Morrisville, North Carolina (Raleigh)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Stone Ridge, Virginia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Swarthmore, Pennsylvania (Philadelphia)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Clayton, Missouri (St. Louis)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South Kensington, Maryland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Low-Income Areas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Detroit, Michigan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Cleveland, Ohio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Cincinnati, Ohio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Miami, Florida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Fresno, California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Buffalo, New York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Newark, New Jersey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Toledo, Ohio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Milwaukee, Wisconsin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St. Louis, Missouri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Baldwin, Michigan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Franklin, Georgia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Highland Park, Michigan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Warrenton, Georgia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Selma, Alabama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South Tucson, Arizona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Clearlake, California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Willimantic, Connecticut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Brownsville, Florida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Rupert, Idaho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Floyd/Christiansburg, VA</w:t>
      </w:r>
    </w:p>
    <w:p w:rsidR="00000000" w:rsidDel="00000000" w:rsidP="00000000" w:rsidRDefault="00000000" w:rsidRPr="00000000" w14:paraId="0000003B">
      <w:pPr>
        <w:rPr>
          <w:color w:val="202122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122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02122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2"/>
          <w:sz w:val="20"/>
          <w:szCs w:val="20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</w:rPr>
        <w:drawing>
          <wp:inline distB="114300" distT="114300" distL="114300" distR="114300">
            <wp:extent cx="5957888" cy="622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U.S. Census Bureau. “U.S. Median Household Income Up in 2018 From 2017.” </w:t>
      </w:r>
      <w:r w:rsidDel="00000000" w:rsidR="00000000" w:rsidRPr="00000000">
        <w:rPr>
          <w:i w:val="1"/>
          <w:color w:val="202122"/>
          <w:sz w:val="20"/>
          <w:szCs w:val="20"/>
          <w:shd w:fill="f8f9fa" w:val="clear"/>
          <w:rtl w:val="0"/>
        </w:rPr>
        <w:t xml:space="preserve">The United States Census Bureau</w:t>
      </w: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, 29 Oct. 2019,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shd w:fill="f8f9fa" w:val="clear"/>
            <w:rtl w:val="0"/>
          </w:rPr>
          <w:t xml:space="preserve">www.census.gov/library/stories/2019/09/us-median-household-income-up-in-2018-from-2017.html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02122"/>
          <w:sz w:val="20"/>
          <w:szCs w:val="20"/>
          <w:u w:val="none"/>
          <w:shd w:fill="f8f9fa" w:val="clear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shd w:fill="f8f9fa" w:val="clear"/>
            <w:rtl w:val="0"/>
          </w:rPr>
          <w:t xml:space="preserve">https://www.niche.com/places-to-live/search/best-suburbs/</w:t>
        </w:r>
      </w:hyperlink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02122"/>
          <w:sz w:val="20"/>
          <w:szCs w:val="20"/>
          <w:u w:val="none"/>
          <w:shd w:fill="f8f9fa" w:val="clear"/>
        </w:rPr>
      </w:pPr>
      <w:r w:rsidDel="00000000" w:rsidR="00000000" w:rsidRPr="00000000">
        <w:rPr>
          <w:color w:val="202122"/>
          <w:sz w:val="20"/>
          <w:szCs w:val="20"/>
          <w:shd w:fill="f8f9fa" w:val="clear"/>
          <w:rtl w:val="0"/>
        </w:rPr>
        <w:t xml:space="preserve">https://www.niche.com/places-to-live/search/best-suburbs/?costOfLiving=affordable&amp;costOfLiving=expensive</w:t>
      </w:r>
    </w:p>
    <w:p w:rsidR="00000000" w:rsidDel="00000000" w:rsidP="00000000" w:rsidRDefault="00000000" w:rsidRPr="00000000" w14:paraId="00000042">
      <w:pPr>
        <w:rPr>
          <w:color w:val="202122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census.gov/library/stories/2019/09/us-median-household-income-up-in-2018-from-2017.html" TargetMode="External"/><Relationship Id="rId8" Type="http://schemas.openxmlformats.org/officeDocument/2006/relationships/hyperlink" Target="https://www.niche.com/places-to-live/search/best-subur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