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2E75B6"/>
          <w:sz w:val="24"/>
        </w:rPr>
        <w:t>FUNCTIONAL REQUIREMENTS DOCUMENT</w:t>
      </w:r>
    </w:p>
    <w:p>
      <w:pPr>
        <w:jc w:val="center"/>
      </w:pPr>
      <w:r>
        <w:rPr>
          <w:b/>
          <w:color w:val="1B3A5C"/>
          <w:sz w:val="56"/>
        </w:rPr>
        <w:t>SWES Private Markets Stress Lens</w:t>
      </w:r>
    </w:p>
    <w:p>
      <w:pPr>
        <w:jc w:val="center"/>
      </w:pPr>
      <w:r>
        <w:rPr>
          <w:color w:val="666666"/>
          <w:sz w:val="28"/>
        </w:rPr>
        <w:t>Multi-Agent System-Wide Liquidity &amp; Credit Stress Simulator</w:t>
      </w:r>
    </w:p>
    <w:p/>
    <w:p/>
    <w:p/>
    <w:p>
      <w:pPr>
        <w:jc w:val="center"/>
      </w:pPr>
      <w:r>
        <w:rPr>
          <w:color w:val="2E75B6"/>
          <w:sz w:val="22"/>
        </w:rPr>
        <w:t>Proof of Concept — Build Specification  |  Version 1.0</w:t>
      </w:r>
    </w:p>
    <w:p>
      <w:pPr>
        <w:jc w:val="center"/>
      </w:pPr>
      <w:r>
        <w:rPr>
          <w:color w:val="999999"/>
          <w:sz w:val="20"/>
        </w:rPr>
        <w:t>February 13, 2026  |  CONFIDENTIAL</w:t>
      </w:r>
    </w:p>
    <w:p>
      <w:r>
        <w:br w:type="page"/>
      </w:r>
    </w:p>
    <w:p>
      <w:pPr>
        <w:pStyle w:val="Heading1"/>
      </w:pPr>
      <w:r>
        <w:t>1. Executive Summary &amp; Objectives</w:t>
      </w:r>
    </w:p>
    <w:p>
      <w:r>
        <w:t>This document specifies the Functional Requirements for the "SWES Private Markets Stress Lens" (the "Tool"), a proof-of-concept interactive stress testing application for the Bank of England's second SWES exercise focused on private markets. The Tool adapts the Van den End (2009) DNB Liquidity Stress-Tester framework from a homogeneous banking system to a heterogeneous multi-agent private markets ecosystem.</w:t>
      </w:r>
    </w:p>
    <w:p>
      <w:pPr>
        <w:pStyle w:val="Heading3"/>
      </w:pPr>
      <w:r>
        <w:t>Product Vision</w:t>
      </w:r>
    </w:p>
    <w:p>
      <w:r>
        <w:t>An interactive Streamlit application demonstrating how a severe macroeconomic downturn propagates through the private markets ecosystem — from direct portfolio impacts to system-wide behavioural feedback effects — showing that rational individual actions by banks, AAMs, and institutional investors collectively amplify the initial shock.</w:t>
      </w:r>
    </w:p>
    <w:p>
      <w:pPr>
        <w:pStyle w:val="Heading3"/>
      </w:pPr>
      <w:r>
        <w:t>Key Objectives</w:t>
      </w:r>
    </w:p>
    <w:p>
      <w:r>
        <w:t>1. Demonstrate understanding of the SWES exercise's system-wide behavioural focus, distinguishing it from conventional single-entity stress testing.</w:t>
        <w:br/>
        <w:t>2. Show a working multi-agent stress model where agents (bank, AAM, pension fund) respond to a common shock and their responses feed back on each other.</w:t>
        <w:br/>
        <w:t>3. Quantify the "amplification ratio" — the gap between naive direct-stress losses and system-aware losses.</w:t>
        <w:br/>
        <w:t>4. Use real public data for portfolio construction; calibrate behavioural parameters to published SWES 1 findings.</w:t>
        <w:br/>
        <w:t>5. Create a reusable analytical engine that compounds in value with each client engagement.</w:t>
      </w:r>
    </w:p>
    <w:p>
      <w:pPr>
        <w:pStyle w:val="Heading3"/>
      </w:pPr>
      <w:r>
        <w:t>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3120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3120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Deliverable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Internal Demo (v0.1)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Week 2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Core engine + Streamlit UI, synthetic data</w:t>
            </w:r>
          </w:p>
        </w:tc>
      </w:tr>
      <w:tr>
        <w:tc>
          <w:tcPr>
            <w:tcW w:type="dxa" w:w="312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Data Integration</w:t>
            </w:r>
          </w:p>
        </w:tc>
        <w:tc>
          <w:tcPr>
            <w:tcW w:type="dxa" w:w="312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Week 3</w:t>
            </w:r>
          </w:p>
        </w:tc>
        <w:tc>
          <w:tcPr>
            <w:tcW w:type="dxa" w:w="312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Real public data, SWES 1 calibration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Client Demo (v1.0)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Week 4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Polished UI, dual narrative (bank + AAM)</w:t>
            </w:r>
          </w:p>
        </w:tc>
      </w:tr>
      <w:tr>
        <w:tc>
          <w:tcPr>
            <w:tcW w:type="dxa" w:w="312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Enhancement</w:t>
            </w:r>
          </w:p>
        </w:tc>
        <w:tc>
          <w:tcPr>
            <w:tcW w:type="dxa" w:w="312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Week 5-6</w:t>
            </w:r>
          </w:p>
        </w:tc>
        <w:tc>
          <w:tcPr>
            <w:tcW w:type="dxa" w:w="312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VM simulator, agent deepening, React eval</w:t>
            </w:r>
          </w:p>
        </w:tc>
      </w:tr>
    </w:tbl>
    <w:p>
      <w:r>
        <w:br w:type="page"/>
      </w:r>
    </w:p>
    <w:p>
      <w:pPr>
        <w:pStyle w:val="Heading1"/>
      </w:pPr>
      <w:r>
        <w:t>2. Theoretical Foundation</w:t>
      </w:r>
    </w:p>
    <w:p>
      <w:pPr>
        <w:pStyle w:val="Heading2"/>
      </w:pPr>
      <w:r>
        <w:t>2.1 SWES Exercise Context</w:t>
      </w:r>
    </w:p>
    <w:p>
      <w:r>
        <w:t>The Bank of England's SWES exercise asks: "When multiple firms act rationally in their own self-interest during a stress, do their collective actions amplify the shock?" The first SWES (2023-2024) demonstrated they do. The second SWES focuses on private markets: PE, private credit, leveraged loans, CLOs, and high-yield bonds. Scenario phase launching early 2026, final report early 2027.</w:t>
      </w:r>
    </w:p>
    <w:p>
      <w:pPr>
        <w:pStyle w:val="Heading3"/>
      </w:pPr>
      <w:r>
        <w:t>SWES 1 Calibration Anchors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3120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Quantitative Detail</w:t>
            </w:r>
          </w:p>
        </w:tc>
        <w:tc>
          <w:tcPr>
            <w:tcW w:type="dxa" w:w="3120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Model Relevance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Aggregate NBFI margin calls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~£94 billion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Liquidity drain magnitude</w:t>
            </w:r>
          </w:p>
        </w:tc>
      </w:tr>
      <w:tr>
        <w:tc>
          <w:tcPr>
            <w:tcW w:type="dxa" w:w="312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LDI recapitalisation requests</w:t>
            </w:r>
          </w:p>
        </w:tc>
        <w:tc>
          <w:tcPr>
            <w:tcW w:type="dxa" w:w="312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£16.5 billion to pension schemes</w:t>
            </w:r>
          </w:p>
        </w:tc>
        <w:tc>
          <w:tcPr>
            <w:tcW w:type="dxa" w:w="312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Cross-agent capital call dynamics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NBFI gilt sales under stress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~£4.7 billion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Selling pressure calibration</w:t>
            </w:r>
          </w:p>
        </w:tc>
      </w:tr>
      <w:tr>
        <w:tc>
          <w:tcPr>
            <w:tcW w:type="dxa" w:w="312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Bank capacity consumed</w:t>
            </w:r>
          </w:p>
        </w:tc>
        <w:tc>
          <w:tcPr>
            <w:tcW w:type="dxa" w:w="312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70%; +£0.5bn long gilts exhausts it</w:t>
            </w:r>
          </w:p>
        </w:tc>
        <w:tc>
          <w:tcPr>
            <w:tcW w:type="dxa" w:w="312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Bank tightening threshold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Repo financing mismatch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&gt;1/3 of NBFIs refused by all banks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Financing withdrawal severity</w:t>
            </w:r>
          </w:p>
        </w:tc>
      </w:tr>
      <w:tr>
        <w:tc>
          <w:tcPr>
            <w:tcW w:type="dxa" w:w="312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IM estimation error</w:t>
            </w:r>
          </w:p>
        </w:tc>
        <w:tc>
          <w:tcPr>
            <w:tcW w:type="dxa" w:w="312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Systematic overestimation by banks/NBFIs</w:t>
            </w:r>
          </w:p>
        </w:tc>
        <w:tc>
          <w:tcPr>
            <w:tcW w:type="dxa" w:w="312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Margin call uncertainty</w:t>
            </w:r>
          </w:p>
        </w:tc>
      </w:tr>
    </w:tbl>
    <w:p>
      <w:pPr>
        <w:pStyle w:val="Heading3"/>
      </w:pPr>
      <w:r>
        <w:t>SWES 2 Sizing Data</w:t>
      </w:r>
    </w:p>
    <w:p>
      <w:r>
        <w:t>Global PE/PC AUM: ~$11 trillion (from $3T a decade ago). UK PE-sponsored corporates: up to 15% of UK corporate debt, 10% of UK private sector employment (&gt;2 million jobs). Over 80% of PE-sponsored corporate debt is in alternative credit lines vs. 30% for UK corporates broadly.</w:t>
      </w:r>
    </w:p>
    <w:p>
      <w:pPr>
        <w:pStyle w:val="Heading2"/>
      </w:pPr>
      <w:r>
        <w:t>2.2 Van den End Framework</w:t>
      </w:r>
    </w:p>
    <w:p>
      <w:r>
        <w:t>Van den End (2009) developed a liquidity stress-testing model at DNB with first-round and second-round (feedback) effects, including behavioural reactions and reputation effects. Applied to 82 Dutch banks. Three-stage architecture: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2340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340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Key Equation</w:t>
            </w:r>
          </w:p>
        </w:tc>
        <w:tc>
          <w:tcPr>
            <w:tcW w:type="dxa" w:w="2340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1: First Round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Direct scenario impact via stressed haircuts and run-off rates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B₁ = B₀ − E₁, where E₁ = Σ Iᵢ × w₁,ᵢ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Buffer after shock (B₁)</w:t>
            </w:r>
          </w:p>
        </w:tc>
      </w:tr>
      <w:tr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2: Reactions</w:t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Agents with buffer decline &gt; threshold θ take mitigating actions</w:t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RIᵢ = (B₀ − B₁) × (Iᵢ / ΣIⱼ)</w:t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Buffer after reactions (B₂)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3: Feedback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Collective reactions + reputation risk create second-round stress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w₂ = f(w₁, Σq, similarity, s); w*₂ = w₂ × √s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Final buffer (B₃)</w:t>
            </w:r>
          </w:p>
        </w:tc>
      </w:tr>
    </w:tbl>
    <w:p>
      <w:r>
        <w:t>Key finding: In the credit crisis scenario, first round erased 13% of buffer. After second round: 39% total. Amplification ratio ~3.0x. Second round effects were 2x the first round. More than half of second round impact on reacting banks was reputation risk.</w:t>
      </w:r>
    </w:p>
    <w:p>
      <w:pPr>
        <w:pStyle w:val="Heading2"/>
      </w:pPr>
      <w:r>
        <w:t>2.3 Our Adaptation</w:t>
      </w:r>
    </w:p>
    <w:p>
      <w:r>
        <w:t>We extend Van den End in three ways:</w:t>
        <w:br/>
        <w:t>(a) Heterogeneous agent types: Bank, AAM, Pension Fund (not homogeneous banks).</w:t>
        <w:br/>
        <w:t>(b) Cross-agent contagion channels: bank→AAM (lending withdrawal), AAM→PF (valuation markdowns), PF→AAM (commitment reductions), all→credit markets.</w:t>
        <w:br/>
        <w:t>(c) Prolonged downturn scenario (not 10-day market shock): credit deterioration → default cascades → financing withdrawal.</w:t>
      </w:r>
    </w:p>
    <w:p>
      <w:r>
        <w:br w:type="page"/>
      </w:r>
    </w:p>
    <w:p>
      <w:pPr>
        <w:pStyle w:val="Heading1"/>
      </w:pPr>
      <w:r>
        <w:t>3. System Architecture</w:t>
      </w:r>
    </w:p>
    <w:p>
      <w:pPr>
        <w:pStyle w:val="Heading2"/>
      </w:pPr>
      <w:r>
        <w:t>3.1 Module Decomposition</w:t>
      </w:r>
    </w:p>
    <w:p>
      <w:pPr>
        <w:ind w:left="288"/>
        <w:shd w:fill="F5F5F5" w:val="clear"/>
      </w:pPr>
      <w:r>
        <w:rPr>
          <w:rFonts w:ascii="Consolas" w:hAnsi="Consolas"/>
          <w:sz w:val="17"/>
        </w:rPr>
        <w:br/>
        <w:t>Data Flow: data_loader → agents → scenario_engine → feedback_loop → visualisation → Streamlit UI</w:t>
        <w:br/>
        <w:br/>
        <w:t>Modules:</w:t>
        <w:br/>
        <w:t>│ data_loader.py      │ Load portfolio CSV, scenario JSON, calibration anchors</w:t>
        <w:br/>
        <w:t>│ agents.py            │ Agent archetypes, balance sheets, thresholds, reactions</w:t>
        <w:br/>
        <w:t>│ scenario_engine.py   │ Macro scenario → company stress → Stage 1 impacts</w:t>
        <w:br/>
        <w:t>│ feedback_loop.py     │ Stage 2 reactions, Stage 3 feedback, reputation risk</w:t>
        <w:br/>
        <w:t>│ visualisation.py     │ Plotly charts and dashboard components</w:t>
        <w:br/>
        <w:t>│ app.py               │ Streamlit entry point, UI layout, demo flow</w:t>
        <w:br/>
      </w:r>
    </w:p>
    <w:p>
      <w:r>
        <w:br w:type="page"/>
      </w:r>
    </w:p>
    <w:p>
      <w:pPr>
        <w:pStyle w:val="Heading1"/>
      </w:pPr>
      <w:r>
        <w:t>4. Data Model &amp; Structures</w:t>
      </w:r>
    </w:p>
    <w:p>
      <w:pPr>
        <w:pStyle w:val="Heading2"/>
      </w:pPr>
      <w:r>
        <w:t>4.1 Agent Archetypes &amp; Balance Sheets</w:t>
      </w:r>
    </w:p>
    <w:p>
      <w:r>
        <w:t>Each agent has a stylized balance sheet with items relevant to private markets stress. Proportions calibrated from BoE aggregate statistics and SWES 2 sizing data.</w:t>
      </w:r>
    </w:p>
    <w:p>
      <w:pPr>
        <w:pStyle w:val="Heading3"/>
      </w:pPr>
      <w:r>
        <w:t>Agent Type 1: Bank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Balance Sheet Item</w:t>
            </w:r>
          </w:p>
        </w:tc>
        <w:tc>
          <w:tcPr>
            <w:tcW w:type="dxa" w:w="2340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340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Stress Sensitivity</w:t>
            </w:r>
          </w:p>
        </w:tc>
        <w:tc>
          <w:tcPr>
            <w:tcW w:type="dxa" w:w="2340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Leveraged Loan Book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Asset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EBITDA decline → ICR stress → PD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Core exposure; real company data</w:t>
            </w:r>
          </w:p>
        </w:tc>
      </w:tr>
      <w:tr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Subscription Credit Lines</w:t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Asset (committed)</w:t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LP drawdown risk</w:t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Drawn by PE funds for bridging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NAV Lending Facilities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Asset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Collateral (fund NAV) markdowns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Secured against fund NAV</w:t>
            </w:r>
          </w:p>
        </w:tc>
      </w:tr>
      <w:tr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CLO Tranches</w:t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Asset</w:t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Spread widening; OC test breaches</w:t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AAA through equity tranches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Revolving Credit Facilities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Asset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Drawdown by stressed corporates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Committed but undrawn</w:t>
            </w:r>
          </w:p>
        </w:tc>
      </w:tr>
      <w:tr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Wholesale Funding</w:t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Liability</w:t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Run-off rate under stress</w:t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Interbank, CP, bonds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Capital Buffer (CET1)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Equity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Absorbs credit losses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Starting CET1 ~14%</w:t>
            </w:r>
          </w:p>
        </w:tc>
      </w:tr>
    </w:tbl>
    <w:p>
      <w:pPr>
        <w:pStyle w:val="Heading3"/>
      </w:pPr>
      <w:r>
        <w:t>Agent Type 2: AAM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Balance Sheet Item</w:t>
            </w:r>
          </w:p>
        </w:tc>
        <w:tc>
          <w:tcPr>
            <w:tcW w:type="dxa" w:w="2340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340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Stress Sensitivity</w:t>
            </w:r>
          </w:p>
        </w:tc>
        <w:tc>
          <w:tcPr>
            <w:tcW w:type="dxa" w:w="2340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PE Portfolio (UK companies)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Asset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EBITDA × multiple compression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Real UK PE-backed companies</w:t>
            </w:r>
          </w:p>
        </w:tc>
      </w:tr>
      <w:tr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Private Credit Fund</w:t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Asset</w:t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Default rates, recovery rates</w:t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Loans to UK corporates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Fund-Level Leverage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Liability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Interest coverage, covenants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Sub lines, NAV lines drawn</w:t>
            </w:r>
          </w:p>
        </w:tc>
      </w:tr>
      <w:tr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Dry Powder</w:t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Asset (potential)</w:t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LP willingness to fund calls</w:t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Rescue capital capacity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LP Commitments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Liability (future)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LP default/reduction risk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Vintage-year sensitivity</w:t>
            </w:r>
          </w:p>
        </w:tc>
      </w:tr>
    </w:tbl>
    <w:p>
      <w:pPr>
        <w:pStyle w:val="Heading3"/>
      </w:pPr>
      <w:r>
        <w:t>Agent Type 3: Pension Fund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Balance Sheet Item</w:t>
            </w:r>
          </w:p>
        </w:tc>
        <w:tc>
          <w:tcPr>
            <w:tcW w:type="dxa" w:w="2340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340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Stress Sensitivity</w:t>
            </w:r>
          </w:p>
        </w:tc>
        <w:tc>
          <w:tcPr>
            <w:tcW w:type="dxa" w:w="2340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Liquid Portfolio (Gilts)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Asset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Mark-to-market on rate shock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Core liquid buffer</w:t>
            </w:r>
          </w:p>
        </w:tc>
      </w:tr>
      <w:tr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Corporate Bond Holdings</w:t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Asset</w:t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Spread widening; illiquidity</w:t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Sterling IG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PE/PC Allocation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Asset (illiquid)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NAV markdown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Cannot be liquidated quickly</w:t>
            </w:r>
          </w:p>
        </w:tc>
      </w:tr>
      <w:tr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LDI Hedge Positions</w:t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Asset/Liability</w:t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Margin calls on rate shock</w:t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Key liquidity drain channel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Capital Call Obligations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Liability (contingent)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Forced selling to fund calls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Arrives at worst time</w:t>
            </w:r>
          </w:p>
        </w:tc>
      </w:tr>
    </w:tbl>
    <w:p>
      <w:pPr>
        <w:pStyle w:val="Heading2"/>
      </w:pPr>
      <w:r>
        <w:t>4.2 Scenario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1872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Symbol</w:t>
            </w:r>
          </w:p>
        </w:tc>
        <w:tc>
          <w:tcPr>
            <w:tcW w:type="dxa" w:w="1872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872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Slider Range</w:t>
            </w:r>
          </w:p>
        </w:tc>
        <w:tc>
          <w:tcPr>
            <w:tcW w:type="dxa" w:w="1872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Calibration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GDP Decline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Δ_GDP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-3.0%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0% to -8%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GFC = -6%; BoE stress scenarios</w:t>
            </w:r>
          </w:p>
        </w:tc>
      </w:tr>
      <w:tr>
        <w:tc>
          <w:tcPr>
            <w:tcW w:type="dxa" w:w="1872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Base Rate Change</w:t>
            </w:r>
          </w:p>
        </w:tc>
        <w:tc>
          <w:tcPr>
            <w:tcW w:type="dxa" w:w="1872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Δ_rate</w:t>
            </w:r>
          </w:p>
        </w:tc>
        <w:tc>
          <w:tcPr>
            <w:tcW w:type="dxa" w:w="1872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+150 bps</w:t>
            </w:r>
          </w:p>
        </w:tc>
        <w:tc>
          <w:tcPr>
            <w:tcW w:type="dxa" w:w="1872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-100 to +300</w:t>
            </w:r>
          </w:p>
        </w:tc>
        <w:tc>
          <w:tcPr>
            <w:tcW w:type="dxa" w:w="1872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SWES 1: +115 bps gilts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IG Spread Widening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Δ_cs_ig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+130 bps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0 to +300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SWES 1: +130 bps sterling IG</w:t>
            </w:r>
          </w:p>
        </w:tc>
      </w:tr>
      <w:tr>
        <w:tc>
          <w:tcPr>
            <w:tcW w:type="dxa" w:w="1872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Lev Loan Spread</w:t>
            </w:r>
          </w:p>
        </w:tc>
        <w:tc>
          <w:tcPr>
            <w:tcW w:type="dxa" w:w="1872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Δ_cs_lev</w:t>
            </w:r>
          </w:p>
        </w:tc>
        <w:tc>
          <w:tcPr>
            <w:tcW w:type="dxa" w:w="1872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+400 bps</w:t>
            </w:r>
          </w:p>
        </w:tc>
        <w:tc>
          <w:tcPr>
            <w:tcW w:type="dxa" w:w="1872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0 to +800</w:t>
            </w:r>
          </w:p>
        </w:tc>
        <w:tc>
          <w:tcPr>
            <w:tcW w:type="dxa" w:w="1872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GFC ~+600; COVID ~+350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Equity Decline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Δ_eq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-25%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0% to -50%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SWES 1: &lt; historical max</w:t>
            </w:r>
          </w:p>
        </w:tc>
      </w:tr>
      <w:tr>
        <w:tc>
          <w:tcPr>
            <w:tcW w:type="dxa" w:w="1872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PE Multiple Compression</w:t>
            </w:r>
          </w:p>
        </w:tc>
        <w:tc>
          <w:tcPr>
            <w:tcW w:type="dxa" w:w="1872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Δ_mult</w:t>
            </w:r>
          </w:p>
        </w:tc>
        <w:tc>
          <w:tcPr>
            <w:tcW w:type="dxa" w:w="1872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-2.0x</w:t>
            </w:r>
          </w:p>
        </w:tc>
        <w:tc>
          <w:tcPr>
            <w:tcW w:type="dxa" w:w="1872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0 to -4.0x</w:t>
            </w:r>
          </w:p>
        </w:tc>
        <w:tc>
          <w:tcPr>
            <w:tcW w:type="dxa" w:w="1872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GFC: ~2-3x from peaks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Market Stress (s)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2.0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1.0 to 3.0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Van den End: VIX-calibrated</w:t>
            </w:r>
          </w:p>
        </w:tc>
      </w:tr>
    </w:tbl>
    <w:p>
      <w:pPr>
        <w:pStyle w:val="Heading2"/>
      </w:pPr>
      <w:r>
        <w:t>4.3 Contagion Channel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2340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From → To</w:t>
            </w:r>
          </w:p>
        </w:tc>
        <w:tc>
          <w:tcPr>
            <w:tcW w:type="dxa" w:w="2340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2340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SWES Evidence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C1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Scenario → All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Direct macro shock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SWES 1 scenario design</w:t>
            </w:r>
          </w:p>
        </w:tc>
      </w:tr>
      <w:tr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C2</w:t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Bank → AAM</w:t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Lending tightening, refuse new sub lines</w:t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&gt;1/3 NBFIs refused repo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C3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AAM → Portfolio Cos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Reduced support, forced restructuring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SWES 2: real economy focus</w:t>
            </w:r>
          </w:p>
        </w:tc>
      </w:tr>
      <w:tr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C4</w:t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Pension → AAM</w:t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LP reduces commitments, slows capital calls</w:t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Pension fund stress dynamics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C5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AAM → Credit Markets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Forced CLO/lev loan selling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Corp bond "jump to illiquidity"</w:t>
            </w:r>
          </w:p>
        </w:tc>
      </w:tr>
      <w:tr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C6</w:t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Credit Markets → Bank</w:t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Wider spreads, MTM losses</w:t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Banks limited risk appetite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C7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Reputation → Reacting Agent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Signalling effect (√s)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&gt;50% of 2nd round effect</w:t>
            </w:r>
          </w:p>
        </w:tc>
      </w:tr>
    </w:tbl>
    <w:p>
      <w:r>
        <w:br w:type="page"/>
      </w:r>
    </w:p>
    <w:p>
      <w:pPr>
        <w:pStyle w:val="Heading1"/>
      </w:pPr>
      <w:r>
        <w:t>5. Mathematical Model — Core Equations</w:t>
      </w:r>
    </w:p>
    <w:p>
      <w:r>
        <w:t>Adapted from Van den End (2009). Superscript a = agent type, subscript i = balance sheet item. Deterministic weights (not Monte Carlo) for POC.</w:t>
      </w:r>
    </w:p>
    <w:p>
      <w:pPr>
        <w:pStyle w:val="Heading2"/>
      </w:pPr>
      <w:r>
        <w:t>5.1 Stage 1: First Round Effects</w:t>
      </w:r>
    </w:p>
    <w:p>
      <w:pPr>
        <w:jc w:val="center"/>
      </w:pPr>
      <w:r>
        <w:rPr>
          <w:rFonts w:ascii="Cambria Math" w:hAnsi="Cambria Math"/>
          <w:i/>
          <w:sz w:val="22"/>
        </w:rPr>
        <w:t>B₀ᵃ = Σᵢ I_non_cal,iᵃ</w:t>
      </w:r>
      <w:r>
        <w:rPr>
          <w:b/>
          <w:sz w:val="20"/>
        </w:rPr>
        <w:t xml:space="preserve">    (1)</w:t>
      </w:r>
    </w:p>
    <w:p>
      <w:r>
        <w:t>Initial buffer: CET1 for bank, unrealised NAV + dry powder for AAM, liquid assets net of near-term liabilities for pension fund.</w:t>
      </w:r>
    </w:p>
    <w:p>
      <w:pPr>
        <w:jc w:val="center"/>
      </w:pPr>
      <w:r>
        <w:rPr>
          <w:rFonts w:ascii="Cambria Math" w:hAnsi="Cambria Math"/>
          <w:i/>
          <w:sz w:val="22"/>
        </w:rPr>
        <w:t>E₁ᵃ = Σᵢ Iᵢᵃ × w₁,ᵢᵃ(scenario_params)</w:t>
      </w:r>
      <w:r>
        <w:rPr>
          <w:b/>
          <w:sz w:val="20"/>
        </w:rPr>
        <w:t xml:space="preserve">    (2)</w:t>
      </w:r>
    </w:p>
    <w:p>
      <w:pPr>
        <w:jc w:val="center"/>
      </w:pPr>
      <w:r>
        <w:rPr>
          <w:rFonts w:ascii="Cambria Math" w:hAnsi="Cambria Math"/>
          <w:i/>
          <w:sz w:val="22"/>
        </w:rPr>
        <w:t>B₁ᵃ = B₀ᵃ − E₁ᵃ</w:t>
      </w:r>
      <w:r>
        <w:rPr>
          <w:b/>
          <w:sz w:val="20"/>
        </w:rPr>
        <w:t xml:space="preserve">    (3)</w:t>
      </w:r>
    </w:p>
    <w:p>
      <w:pPr>
        <w:pStyle w:val="Heading3"/>
      </w:pPr>
      <w:r>
        <w:t>Company-Level Stress Chain</w:t>
      </w:r>
    </w:p>
    <w:p>
      <w:pPr>
        <w:jc w:val="center"/>
      </w:pPr>
      <w:r>
        <w:rPr>
          <w:rFonts w:ascii="Cambria Math" w:hAnsi="Cambria Math"/>
          <w:i/>
          <w:sz w:val="22"/>
        </w:rPr>
        <w:t>EBITDA_stressed = EBITDA_base × (1 + β_sector × Δ_GDP)</w:t>
      </w:r>
      <w:r>
        <w:rPr>
          <w:b/>
          <w:sz w:val="20"/>
        </w:rPr>
        <w:t xml:space="preserve">    (2b)</w:t>
      </w:r>
    </w:p>
    <w:p>
      <w:pPr>
        <w:jc w:val="center"/>
      </w:pPr>
      <w:r>
        <w:rPr>
          <w:rFonts w:ascii="Cambria Math" w:hAnsi="Cambria Math"/>
          <w:i/>
          <w:sz w:val="22"/>
        </w:rPr>
        <w:t>Interest_stressed = Debt × (base_rate + spread + Δ_rate + Δ_cs_lev)</w:t>
      </w:r>
      <w:r>
        <w:rPr>
          <w:b/>
          <w:sz w:val="20"/>
        </w:rPr>
        <w:t xml:space="preserve">    (2d)</w:t>
      </w:r>
    </w:p>
    <w:p>
      <w:pPr>
        <w:jc w:val="center"/>
      </w:pPr>
      <w:r>
        <w:rPr>
          <w:rFonts w:ascii="Cambria Math" w:hAnsi="Cambria Math"/>
          <w:i/>
          <w:sz w:val="22"/>
        </w:rPr>
        <w:t>ICR_stressed = EBITDA_stressed / Interest_stressed</w:t>
      </w:r>
      <w:r>
        <w:rPr>
          <w:b/>
          <w:sz w:val="20"/>
        </w:rPr>
        <w:t xml:space="preserve">    (2c)</w:t>
      </w:r>
    </w:p>
    <w:p>
      <w:pPr>
        <w:jc w:val="center"/>
      </w:pPr>
      <w:r>
        <w:rPr>
          <w:rFonts w:ascii="Cambria Math" w:hAnsi="Cambria Math"/>
          <w:i/>
          <w:sz w:val="22"/>
        </w:rPr>
        <w:t>PD_stressed = Φ((ICR_trigger − ICR_stressed) / σ_ICR)</w:t>
      </w:r>
      <w:r>
        <w:rPr>
          <w:b/>
          <w:sz w:val="20"/>
        </w:rPr>
        <w:t xml:space="preserve">    (2e)</w:t>
      </w:r>
    </w:p>
    <w:p>
      <w:pPr>
        <w:jc w:val="center"/>
      </w:pPr>
      <w:r>
        <w:rPr>
          <w:rFonts w:ascii="Cambria Math" w:hAnsi="Cambria Math"/>
          <w:i/>
          <w:sz w:val="22"/>
        </w:rPr>
        <w:t>Valuation_stressed = EBITDA_stressed × (Multiple_base + Δ_mult)</w:t>
      </w:r>
      <w:r>
        <w:rPr>
          <w:b/>
          <w:sz w:val="20"/>
        </w:rPr>
        <w:t xml:space="preserve">    (2f)</w:t>
      </w:r>
    </w:p>
    <w:p>
      <w:pPr>
        <w:pStyle w:val="Heading3"/>
      </w:pPr>
      <w:r>
        <w:t>Sector GDP Elasticities (β)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Sector</w:t>
            </w:r>
          </w:p>
        </w:tc>
        <w:tc>
          <w:tcPr>
            <w:tcW w:type="dxa" w:w="3120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β (% EBITDA decline per 1% GDP decline)</w:t>
            </w:r>
          </w:p>
        </w:tc>
        <w:tc>
          <w:tcPr>
            <w:tcW w:type="dxa" w:w="3120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Technology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1.5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ONS GVA data, GFC/COVID calibration</w:t>
            </w:r>
          </w:p>
        </w:tc>
      </w:tr>
      <w:tr>
        <w:tc>
          <w:tcPr>
            <w:tcW w:type="dxa" w:w="312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Healthcare</w:t>
            </w:r>
          </w:p>
        </w:tc>
        <w:tc>
          <w:tcPr>
            <w:tcW w:type="dxa" w:w="312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0.8</w:t>
            </w:r>
          </w:p>
        </w:tc>
        <w:tc>
          <w:tcPr>
            <w:tcW w:type="dxa" w:w="312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Defensive sector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Industrials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2.5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Highly cyclical</w:t>
            </w:r>
          </w:p>
        </w:tc>
      </w:tr>
      <w:tr>
        <w:tc>
          <w:tcPr>
            <w:tcW w:type="dxa" w:w="312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Consumer Discretionary</w:t>
            </w:r>
          </w:p>
        </w:tc>
        <w:tc>
          <w:tcPr>
            <w:tcW w:type="dxa" w:w="312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3.0</w:t>
            </w:r>
          </w:p>
        </w:tc>
        <w:tc>
          <w:tcPr>
            <w:tcW w:type="dxa" w:w="312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Most cyclical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Consumer Staples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0.5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Defensive</w:t>
            </w:r>
          </w:p>
        </w:tc>
      </w:tr>
      <w:tr>
        <w:tc>
          <w:tcPr>
            <w:tcW w:type="dxa" w:w="312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Business Services</w:t>
            </w:r>
          </w:p>
        </w:tc>
        <w:tc>
          <w:tcPr>
            <w:tcW w:type="dxa" w:w="312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1.8</w:t>
            </w:r>
          </w:p>
        </w:tc>
        <w:tc>
          <w:tcPr>
            <w:tcW w:type="dxa" w:w="312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Moderately cyclical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Financial Services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2.0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Pro-cyclical</w:t>
            </w:r>
          </w:p>
        </w:tc>
      </w:tr>
      <w:tr>
        <w:tc>
          <w:tcPr>
            <w:tcW w:type="dxa" w:w="312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Energy</w:t>
            </w:r>
          </w:p>
        </w:tc>
        <w:tc>
          <w:tcPr>
            <w:tcW w:type="dxa" w:w="312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2.2</w:t>
            </w:r>
          </w:p>
        </w:tc>
        <w:tc>
          <w:tcPr>
            <w:tcW w:type="dxa" w:w="312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Commodity-sensitive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Telecom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Stable</w:t>
            </w:r>
          </w:p>
        </w:tc>
      </w:tr>
      <w:tr>
        <w:tc>
          <w:tcPr>
            <w:tcW w:type="dxa" w:w="312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Real Estate</w:t>
            </w:r>
          </w:p>
        </w:tc>
        <w:tc>
          <w:tcPr>
            <w:tcW w:type="dxa" w:w="312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2.8</w:t>
            </w:r>
          </w:p>
        </w:tc>
        <w:tc>
          <w:tcPr>
            <w:tcW w:type="dxa" w:w="312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Rate and cycle sensitive</w:t>
            </w:r>
          </w:p>
        </w:tc>
      </w:tr>
    </w:tbl>
    <w:p>
      <w:pPr>
        <w:pStyle w:val="Heading2"/>
      </w:pPr>
      <w:r>
        <w:t>5.2 Stage 2: Agent Reactions</w:t>
      </w:r>
    </w:p>
    <w:p>
      <w:pPr>
        <w:jc w:val="center"/>
      </w:pPr>
      <w:r>
        <w:rPr>
          <w:rFonts w:ascii="Cambria Math" w:hAnsi="Cambria Math"/>
          <w:i/>
          <w:sz w:val="22"/>
        </w:rPr>
        <w:t>qᵃ = 1 if (E₁ᵃ / B₀ᵃ) &gt; θᵃ, else 0</w:t>
      </w:r>
      <w:r>
        <w:rPr>
          <w:b/>
          <w:sz w:val="20"/>
        </w:rPr>
        <w:t xml:space="preserve">    (4)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Agent Type</w:t>
            </w:r>
          </w:p>
        </w:tc>
        <w:tc>
          <w:tcPr>
            <w:tcW w:type="dxa" w:w="3120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θ</w:t>
            </w:r>
          </w:p>
        </w:tc>
        <w:tc>
          <w:tcPr>
            <w:tcW w:type="dxa" w:w="3120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Bank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0.40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Van den End empirical (Dutch banks); regulatory buffer thresholds</w:t>
            </w:r>
          </w:p>
        </w:tc>
      </w:tr>
      <w:tr>
        <w:tc>
          <w:tcPr>
            <w:tcW w:type="dxa" w:w="312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AAM</w:t>
            </w:r>
          </w:p>
        </w:tc>
        <w:tc>
          <w:tcPr>
            <w:tcW w:type="dxa" w:w="312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0.25</w:t>
            </w:r>
          </w:p>
        </w:tc>
        <w:tc>
          <w:tcPr>
            <w:tcW w:type="dxa" w:w="312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Less experienced with stress; react earlier; GP reputation incentives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Pension Fund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0.50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Slower governance; fiduciary inertia; post-2022 LDI buffers improved</w:t>
            </w:r>
          </w:p>
        </w:tc>
      </w:tr>
    </w:tbl>
    <w:p>
      <w:pPr>
        <w:jc w:val="center"/>
      </w:pPr>
      <w:r>
        <w:rPr>
          <w:rFonts w:ascii="Cambria Math" w:hAnsi="Cambria Math"/>
          <w:i/>
          <w:sz w:val="22"/>
        </w:rPr>
        <w:t>RIᵢᵃ = (B₀ᵃ − B₁ᵃ) × (Iᵢᵃ / Σⱼ Iⱼᵃ)</w:t>
      </w:r>
      <w:r>
        <w:rPr>
          <w:b/>
          <w:sz w:val="20"/>
        </w:rPr>
        <w:t xml:space="preserve">    (5)</w:t>
      </w:r>
    </w:p>
    <w:p>
      <w:pPr>
        <w:jc w:val="center"/>
      </w:pPr>
      <w:r>
        <w:rPr>
          <w:rFonts w:ascii="Cambria Math" w:hAnsi="Cambria Math"/>
          <w:i/>
          <w:sz w:val="22"/>
        </w:rPr>
        <w:t>B₂ᵃ = B₁ᵃ + Σᵢ RIᵢᵃ × (1 − w₁,ᵢᵃ / 100)</w:t>
      </w:r>
      <w:r>
        <w:rPr>
          <w:b/>
          <w:sz w:val="20"/>
        </w:rPr>
        <w:t xml:space="preserve">    (6)</w:t>
      </w:r>
    </w:p>
    <w:p>
      <w:pPr>
        <w:pStyle w:val="Heading2"/>
      </w:pPr>
      <w:r>
        <w:t>5.3 Stage 3: Second Round / Feedback</w:t>
      </w:r>
    </w:p>
    <w:p>
      <w:r>
        <w:t>Decomposed into explicit cross-agent channel effects:</w:t>
      </w:r>
    </w:p>
    <w:p>
      <w:pPr>
        <w:jc w:val="center"/>
      </w:pPr>
      <w:r>
        <w:rPr>
          <w:rFonts w:ascii="Cambria Math" w:hAnsi="Cambria Math"/>
          <w:i/>
          <w:sz w:val="22"/>
        </w:rPr>
        <w:t>E₂,bank_tightening = intensity_C2 × s × (total_bank_reactions / total_PM_exposure)</w:t>
      </w:r>
      <w:r>
        <w:rPr>
          <w:b/>
          <w:sz w:val="20"/>
        </w:rPr>
        <w:t xml:space="preserve">    (7a)</w:t>
      </w:r>
    </w:p>
    <w:p>
      <w:pPr>
        <w:jc w:val="center"/>
      </w:pPr>
      <w:r>
        <w:rPr>
          <w:rFonts w:ascii="Cambria Math" w:hAnsi="Cambria Math"/>
          <w:i/>
          <w:sz w:val="22"/>
        </w:rPr>
        <w:t>E₂,market_freeze = intensity_C5 × s × (total_credit_sales / market_depth)</w:t>
      </w:r>
      <w:r>
        <w:rPr>
          <w:b/>
          <w:sz w:val="20"/>
        </w:rPr>
        <w:t xml:space="preserve">    (7b)</w:t>
      </w:r>
    </w:p>
    <w:p>
      <w:pPr>
        <w:jc w:val="center"/>
      </w:pPr>
      <w:r>
        <w:rPr>
          <w:rFonts w:ascii="Cambria Math" w:hAnsi="Cambria Math"/>
          <w:i/>
          <w:sz w:val="22"/>
        </w:rPr>
        <w:t>E₂,reputation = (w₂ − w₁) × √s    [reacting agents only, Van den End eq 7]</w:t>
      </w:r>
      <w:r>
        <w:rPr>
          <w:b/>
          <w:sz w:val="20"/>
        </w:rPr>
        <w:t xml:space="preserve">    (7c)</w:t>
      </w:r>
    </w:p>
    <w:p>
      <w:pPr>
        <w:jc w:val="center"/>
      </w:pPr>
      <w:r>
        <w:rPr>
          <w:rFonts w:ascii="Cambria Math" w:hAnsi="Cambria Math"/>
          <w:i/>
          <w:sz w:val="22"/>
        </w:rPr>
        <w:t>B₃ᵃ = B₂ᵃ − E₂ᵃ</w:t>
      </w:r>
      <w:r>
        <w:rPr>
          <w:b/>
          <w:sz w:val="20"/>
        </w:rPr>
        <w:t xml:space="preserve">    (8)</w:t>
      </w:r>
    </w:p>
    <w:p>
      <w:pPr>
        <w:pStyle w:val="Heading2"/>
      </w:pPr>
      <w:r>
        <w:t>5.4 Amplification Ratio</w:t>
      </w:r>
    </w:p>
    <w:p>
      <w:pPr>
        <w:jc w:val="center"/>
      </w:pPr>
      <w:r>
        <w:rPr>
          <w:rFonts w:ascii="Cambria Math" w:hAnsi="Cambria Math"/>
          <w:i/>
          <w:sz w:val="22"/>
        </w:rPr>
        <w:t>Amplification Ratio = (B₀ − B₃) / (B₀ − B₁)</w:t>
      </w:r>
      <w:r>
        <w:rPr>
          <w:b/>
          <w:sz w:val="20"/>
        </w:rPr>
        <w:t xml:space="preserve">    (9)</w:t>
      </w:r>
    </w:p>
    <w:p>
      <w:r>
        <w:t>Target range: 1.5–3.0x. Van den End credit crisis = ~3.0x. This is the central "aha moment" metric.</w:t>
      </w:r>
    </w:p>
    <w:p>
      <w:r>
        <w:br w:type="page"/>
      </w:r>
    </w:p>
    <w:p>
      <w:pPr>
        <w:pStyle w:val="Heading1"/>
      </w:pPr>
      <w:r>
        <w:t>6. Function Signatures &amp; Module Specifications</w:t>
      </w:r>
    </w:p>
    <w:p>
      <w:pPr>
        <w:pStyle w:val="Heading2"/>
      </w:pPr>
      <w:r>
        <w:t>6.1 data_loader.py</w:t>
      </w:r>
    </w:p>
    <w:p>
      <w:pPr>
        <w:ind w:left="288"/>
        <w:shd w:fill="F5F5F5" w:val="clear"/>
      </w:pPr>
      <w:r>
        <w:rPr>
          <w:rFonts w:ascii="Consolas" w:hAnsi="Consolas"/>
          <w:sz w:val="17"/>
        </w:rPr>
        <w:t>@dataclass</w:t>
        <w:br/>
        <w:t>class Company:</w:t>
        <w:br/>
        <w:t xml:space="preserve">    name: str</w:t>
        <w:br/>
        <w:t xml:space="preserve">    sector: str                    # SIC-based classification</w:t>
        <w:br/>
        <w:t xml:space="preserve">    pe_sponsor: str</w:t>
        <w:br/>
        <w:t xml:space="preserve">    revenue_mm: float</w:t>
        <w:br/>
        <w:t xml:space="preserve">    ebitda_mm: float</w:t>
        <w:br/>
        <w:t xml:space="preserve">    total_debt_mm: float</w:t>
        <w:br/>
        <w:t xml:space="preserve">    interest_expense_mm: float</w:t>
        <w:br/>
        <w:t xml:space="preserve">    employee_count: int</w:t>
        <w:br/>
        <w:t xml:space="preserve">    debt_ebitda: float             # Derived</w:t>
        <w:br/>
        <w:t xml:space="preserve">    icr: float                     # Derived</w:t>
        <w:br/>
        <w:t xml:space="preserve">    maturity_years: float</w:t>
        <w:br/>
        <w:t xml:space="preserve">    is_floating_rate: bool         # Default True for LBO debt</w:t>
        <w:br/>
        <w:t xml:space="preserve">    covenant_icr_trigger: float    # Default 1.25</w:t>
        <w:br/>
        <w:br/>
        <w:t>@dataclass</w:t>
        <w:br/>
        <w:t>class ScenarioParams:</w:t>
        <w:br/>
        <w:t xml:space="preserve">    gdp_decline_pct: float         # e.g., -3.0</w:t>
        <w:br/>
        <w:t xml:space="preserve">    base_rate_change_bps: float    # e.g., 150</w:t>
        <w:br/>
        <w:t xml:space="preserve">    ig_spread_widen_bps: float     # e.g., 130</w:t>
        <w:br/>
        <w:t xml:space="preserve">    lev_loan_spread_widen_bps: float  # e.g., 400</w:t>
        <w:br/>
        <w:t xml:space="preserve">    equity_decline_pct: float      # e.g., -25.0</w:t>
        <w:br/>
        <w:t xml:space="preserve">    pe_multiple_compression: float # e.g., -2.0</w:t>
        <w:br/>
        <w:t xml:space="preserve">    market_stress_s: float         # 1.0-3.0</w:t>
        <w:br/>
        <w:br/>
        <w:t>SECTOR_ELASTICITIES = {</w:t>
        <w:br/>
        <w:t xml:space="preserve">    'Technology': 1.5, 'Healthcare': 0.8, 'Industrials': 2.5,</w:t>
        <w:br/>
        <w:t xml:space="preserve">    'Consumer_Discretionary': 3.0, 'Consumer_Staples': 0.5,</w:t>
        <w:br/>
        <w:t xml:space="preserve">    'Business_Services': 1.8, 'Financial_Services': 2.0,</w:t>
        <w:br/>
        <w:t xml:space="preserve">    'Energy': 2.2, 'Telecom': 1.0, 'Real_Estate': 2.8,</w:t>
        <w:br/>
        <w:t>}</w:t>
        <w:br/>
        <w:br/>
        <w:t>def load_companies(csv_path: str) -&gt; List[Company]: ...</w:t>
        <w:br/>
        <w:t>def load_default_scenario() -&gt; ScenarioParams: ...</w:t>
      </w:r>
    </w:p>
    <w:p>
      <w:pPr>
        <w:pStyle w:val="Heading2"/>
      </w:pPr>
      <w:r>
        <w:t>6.2 agents.py</w:t>
      </w:r>
    </w:p>
    <w:p>
      <w:pPr>
        <w:ind w:left="288"/>
        <w:shd w:fill="F5F5F5" w:val="clear"/>
      </w:pPr>
      <w:r>
        <w:rPr>
          <w:rFonts w:ascii="Consolas" w:hAnsi="Consolas"/>
          <w:sz w:val="17"/>
        </w:rPr>
        <w:t>class AgentType(Enum):</w:t>
        <w:br/>
        <w:t xml:space="preserve">    BANK = "bank"</w:t>
        <w:br/>
        <w:t xml:space="preserve">    AAM = "aam"</w:t>
        <w:br/>
        <w:t xml:space="preserve">    PENSION_FUND = "pension_fund"</w:t>
        <w:br/>
        <w:br/>
        <w:t>@dataclass</w:t>
        <w:br/>
        <w:t>class BalanceSheetItem:</w:t>
        <w:br/>
        <w:t xml:space="preserve">    name: str</w:t>
        <w:br/>
        <w:t xml:space="preserve">    category: str        # 'asset', 'liability', 'equity', 'contingent'</w:t>
        <w:br/>
        <w:t xml:space="preserve">    amount_mm: float</w:t>
        <w:br/>
        <w:t xml:space="preserve">    w1: float = 0.0      # First-round stress weight (0-100)</w:t>
        <w:br/>
        <w:t xml:space="preserve">    w2: float = 0.0      # Second-round stress weight (0-100)</w:t>
        <w:br/>
        <w:t xml:space="preserve">    is_reaction_instrument: bool = False</w:t>
        <w:br/>
        <w:br/>
        <w:t>@dataclass</w:t>
        <w:br/>
        <w:t>class Agent:</w:t>
        <w:br/>
        <w:t xml:space="preserve">    name: str</w:t>
        <w:br/>
        <w:t xml:space="preserve">    agent_type: AgentType</w:t>
        <w:br/>
        <w:t xml:space="preserve">    balance_sheet: List[BalanceSheetItem]</w:t>
        <w:br/>
        <w:t xml:space="preserve">    theta: float         # Reaction threshold</w:t>
        <w:br/>
        <w:t xml:space="preserve">    B0, B1, B2, B3: float = 0.0</w:t>
        <w:br/>
        <w:t xml:space="preserve">    E1, E2: float = 0.0</w:t>
        <w:br/>
        <w:t xml:space="preserve">    has_reacted: bool = False</w:t>
        <w:br/>
        <w:t xml:space="preserve">    reactions: Dict[str, float] = field(default_factory=dict)</w:t>
        <w:br/>
        <w:br/>
        <w:t xml:space="preserve">    def compute_buffer(self) -&gt; float: ...</w:t>
        <w:br/>
        <w:t xml:space="preserve">    def should_react(self) -&gt; bool:</w:t>
        <w:br/>
        <w:t xml:space="preserve">        return (self.E1 / self.B0) &gt; self.theta if self.B0 &gt; 0 else False</w:t>
        <w:br/>
        <w:t xml:space="preserve">    def compute_reactions(self) -&gt; Dict[str, float]: ...</w:t>
        <w:br/>
        <w:br/>
        <w:t># Factory functions:</w:t>
        <w:br/>
        <w:t>def create_bank_agent(total_pm_exposure_mm=5000.0, ...) -&gt; Agent: ...</w:t>
        <w:br/>
        <w:t>def create_aam_agent(total_aum_mm=15000.0, ...) -&gt; Agent: ...</w:t>
        <w:br/>
        <w:t>def create_pension_fund_agent(total_aum_mm=10000.0, ...) -&gt; Agent: ...</w:t>
      </w:r>
    </w:p>
    <w:p>
      <w:pPr>
        <w:pStyle w:val="Heading2"/>
      </w:pPr>
      <w:r>
        <w:t>6.3 scenario_engine.py</w:t>
      </w:r>
    </w:p>
    <w:p>
      <w:pPr>
        <w:ind w:left="288"/>
        <w:shd w:fill="F5F5F5" w:val="clear"/>
      </w:pPr>
      <w:r>
        <w:rPr>
          <w:rFonts w:ascii="Consolas" w:hAnsi="Consolas"/>
          <w:sz w:val="17"/>
        </w:rPr>
        <w:t>@dataclass</w:t>
        <w:br/>
        <w:t>class CompanyStressResult:</w:t>
        <w:br/>
        <w:t xml:space="preserve">    company: Company</w:t>
        <w:br/>
        <w:t xml:space="preserve">    ebitda_stressed_mm: float</w:t>
        <w:br/>
        <w:t xml:space="preserve">    icr_stressed: float</w:t>
        <w:br/>
        <w:t xml:space="preserve">    pd_stressed: float</w:t>
        <w:br/>
        <w:t xml:space="preserve">    covenant_breached: bool</w:t>
        <w:br/>
        <w:t xml:space="preserve">    valuation_base_mm: float</w:t>
        <w:br/>
        <w:t xml:space="preserve">    valuation_stressed_mm: float</w:t>
        <w:br/>
        <w:t xml:space="preserve">    valuation_markdown_pct: float</w:t>
        <w:br/>
        <w:t xml:space="preserve">    employees_at_risk: int</w:t>
        <w:br/>
        <w:br/>
        <w:t>def stress_company(company: Company, scenario: ScenarioParams,</w:t>
        <w:br/>
        <w:t xml:space="preserve">                   base_ev_ebitda_multiple: float = 8.0) -&gt; CompanyStressResult:</w:t>
        <w:br/>
        <w:t xml:space="preserve">    # Implements equations 2b-2f</w:t>
        <w:br/>
        <w:t xml:space="preserve">    sector_beta = SECTOR_ELASTICITIES.get(company.sector, 2.0)</w:t>
        <w:br/>
        <w:t xml:space="preserve">    ebitda_stressed = company.ebitda_mm * (1 + sector_beta * scenario.gdp_decline_pct/100)</w:t>
        <w:br/>
        <w:t xml:space="preserve">    # ... interest stress, ICR, PD, valuation ...</w:t>
        <w:br/>
        <w:br/>
        <w:t>def apply_scenario_to_agent(agent: Agent, scenario: ScenarioParams,</w:t>
        <w:br/>
        <w:t xml:space="preserve">                            companies: List[Company] = None) -&gt; Agent: ...</w:t>
        <w:br/>
        <w:t>def compute_real_economy_impact(results: List[CompanyStressResult]) -&gt; Dict: ...</w:t>
      </w:r>
    </w:p>
    <w:p>
      <w:pPr>
        <w:pStyle w:val="Heading2"/>
      </w:pPr>
      <w:r>
        <w:t>6.4 feedback_loop.py</w:t>
      </w:r>
    </w:p>
    <w:p>
      <w:pPr>
        <w:ind w:left="288"/>
        <w:shd w:fill="F5F5F5" w:val="clear"/>
      </w:pPr>
      <w:r>
        <w:rPr>
          <w:rFonts w:ascii="Consolas" w:hAnsi="Consolas"/>
          <w:sz w:val="17"/>
        </w:rPr>
        <w:t>@dataclass</w:t>
        <w:br/>
        <w:t>class ContagionChannel:</w:t>
        <w:br/>
        <w:t xml:space="preserve">    channel_id: str</w:t>
        <w:br/>
        <w:t xml:space="preserve">    from_agent_type: AgentType</w:t>
        <w:br/>
        <w:t xml:space="preserve">    to_agent_type: AgentType</w:t>
        <w:br/>
        <w:t xml:space="preserve">    mechanism: str</w:t>
        <w:br/>
        <w:t xml:space="preserve">    intensity: float         # 0.0 to 1.0</w:t>
        <w:br/>
        <w:t xml:space="preserve">    affects_items: List[str]</w:t>
        <w:br/>
        <w:br/>
        <w:t>def compute_second_round_weights(agents, channels, s) -&gt; Dict: ...</w:t>
        <w:br/>
        <w:t>def apply_reputation_risk(agent, s) -&gt; float:</w:t>
        <w:br/>
        <w:t xml:space="preserve">    # Van den End eq 7: w*2 = w2 x sqrt(s)</w:t>
        <w:br/>
        <w:t xml:space="preserve">    return sum(agent.reactions.values()) * (sqrt(s) - 1.0) if agent.has_reacted else 0.0</w:t>
        <w:br/>
        <w:br/>
        <w:t>def compute_amplification_ratio(agents) -&gt; Dict[str, float]:</w:t>
        <w:br/>
        <w:t xml:space="preserve">    # Eq 9: (B0-B3)/(B0-B1) per agent + system-wide weighted avg</w:t>
        <w:br/>
        <w:br/>
        <w:t>def run_full_simulation(agents, scenario, channels=None, n_iterations=3) -&gt; Dict:</w:t>
        <w:br/>
        <w:t xml:space="preserve">    # Master: Stage1 -&gt; reactions -&gt; Stage2 -&gt; feedback -&gt; Stage3 -&gt; amplification</w:t>
      </w:r>
    </w:p>
    <w:p>
      <w:pPr>
        <w:pStyle w:val="Heading2"/>
      </w:pPr>
      <w:r>
        <w:t>6.5 visualisation.py</w:t>
      </w:r>
    </w:p>
    <w:p>
      <w:pPr>
        <w:ind w:left="288"/>
        <w:shd w:fill="F5F5F5" w:val="clear"/>
      </w:pPr>
      <w:r>
        <w:rPr>
          <w:rFonts w:ascii="Consolas" w:hAnsi="Consolas"/>
          <w:sz w:val="17"/>
        </w:rPr>
        <w:t>def plot_agent_buffers_waterfall(agents) -&gt; go.Figure:</w:t>
        <w:br/>
        <w:t xml:space="preserve">    # B0 -&gt; B1 -&gt; B2 -&gt; B3 waterfall; gap between B1 and B3 = amplification</w:t>
        <w:br/>
        <w:t xml:space="preserve">    # THIS IS THE CORE 'AHA MOMENT' CHART</w:t>
        <w:br/>
        <w:br/>
        <w:t>def plot_portfolio_heatmap(company_results) -&gt; go.Figure:</w:t>
        <w:br/>
        <w:t xml:space="preserve">    # Companies x metrics (ICR, PD, covenant breach) heatmap by sector</w:t>
        <w:br/>
        <w:br/>
        <w:t>def plot_contagion_sankey(agents, channels) -&gt; go.Figure:</w:t>
        <w:br/>
        <w:t xml:space="preserve">    # Sankey: stress flows between agents, width = magnitude</w:t>
        <w:br/>
        <w:br/>
        <w:t>def plot_amplification_gauge(ratios) -&gt; go.Figure:</w:t>
        <w:br/>
        <w:t xml:space="preserve">    # Gauge: Green 1-1.5, Yellow 1.5-2.0, Orange 2.0-2.5, Red 2.5+</w:t>
        <w:br/>
        <w:br/>
        <w:t>def plot_real_economy_impact(impact) -&gt; go.Figure:</w:t>
        <w:br/>
        <w:t xml:space="preserve">    # Employees at risk by sector, credit supply reduction</w:t>
        <w:br/>
        <w:br/>
        <w:t>def plot_scenario_comparison(direct, system) -&gt; go.Figure:</w:t>
        <w:br/>
        <w:t xml:space="preserve">    # Side-by-side: Act 2 vs Act 3 comparison</w:t>
      </w:r>
    </w:p>
    <w:p>
      <w:r>
        <w:br w:type="page"/>
      </w:r>
    </w:p>
    <w:p>
      <w:pPr>
        <w:pStyle w:val="Heading1"/>
      </w:pPr>
      <w:r>
        <w:t>7. Streamlit UI Specification</w:t>
      </w:r>
    </w:p>
    <w:p>
      <w:pPr>
        <w:pStyle w:val="Heading2"/>
      </w:pPr>
      <w:r>
        <w:t>7.1 Layout</w:t>
      </w:r>
    </w:p>
    <w:p>
      <w:pPr>
        <w:ind w:left="288"/>
        <w:shd w:fill="F5F5F5" w:val="clear"/>
      </w:pPr>
      <w:r>
        <w:rPr>
          <w:rFonts w:ascii="Consolas" w:hAnsi="Consolas"/>
          <w:sz w:val="17"/>
        </w:rPr>
        <w:t># app.py structure</w:t>
        <w:br/>
        <w:t># SIDEBAR: Scenario sliders + "Enable System-Wide Feedback" toggle</w:t>
        <w:br/>
        <w:t># MAIN: 4 tabs</w:t>
        <w:br/>
        <w:t>#   Tab 1: Portfolio &amp; Agents (balance sheet overview)</w:t>
        <w:br/>
        <w:t>#   Tab 2: Direct Stress (company heatmap, agent buffers B0-&gt;B1)</w:t>
        <w:br/>
        <w:t>#   Tab 3: System-Wide Dynamics (contagion Sankey, amplification gauge, B0-&gt;B3)</w:t>
        <w:br/>
        <w:t>#   Tab 4: Real Economy Impact (employment, credit supply, BoE reporting)</w:t>
      </w:r>
    </w:p>
    <w:p>
      <w:pPr>
        <w:pStyle w:val="Heading2"/>
      </w:pPr>
      <w:r>
        <w:t>7.2 Demo Flow (4-Act Structure)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Act</w:t>
            </w:r>
          </w:p>
        </w:tc>
        <w:tc>
          <w:tcPr>
            <w:tcW w:type="dxa" w:w="1872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1872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Tab</w:t>
            </w:r>
          </w:p>
        </w:tc>
        <w:tc>
          <w:tcPr>
            <w:tcW w:type="dxa" w:w="1872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What Happens</w:t>
            </w:r>
          </w:p>
        </w:tc>
        <w:tc>
          <w:tcPr>
            <w:tcW w:type="dxa" w:w="1872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Audience Emotion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1: Setup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5m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Show portfolio of real UK PE companies. 3 agent balance sheets.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Comfort: "they know our world"</w:t>
            </w:r>
          </w:p>
        </w:tc>
      </w:tr>
      <w:tr>
        <w:tc>
          <w:tcPr>
            <w:tcW w:type="dxa" w:w="1872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2: Direct</w:t>
            </w:r>
          </w:p>
        </w:tc>
        <w:tc>
          <w:tcPr>
            <w:tcW w:type="dxa" w:w="1872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7m</w:t>
            </w:r>
          </w:p>
        </w:tc>
        <w:tc>
          <w:tcPr>
            <w:tcW w:type="dxa" w:w="1872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872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Adjust sliders. EBITDA → ICR → covenants → defaults. Feedback OFF.</w:t>
            </w:r>
          </w:p>
        </w:tc>
        <w:tc>
          <w:tcPr>
            <w:tcW w:type="dxa" w:w="1872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Mild concern: "standard stress test"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3: System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8m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FLIP TOGGLE. Losses double. Contagion Sankey. Amplification 2-2.5x.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Shock: "losses just doubled"</w:t>
            </w:r>
          </w:p>
        </w:tc>
      </w:tr>
      <w:tr>
        <w:tc>
          <w:tcPr>
            <w:tcW w:type="dxa" w:w="1872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4: Real Econ</w:t>
            </w:r>
          </w:p>
        </w:tc>
        <w:tc>
          <w:tcPr>
            <w:tcW w:type="dxa" w:w="1872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5m</w:t>
            </w:r>
          </w:p>
        </w:tc>
        <w:tc>
          <w:tcPr>
            <w:tcW w:type="dxa" w:w="1872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872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Employment at risk. Credit supply gap. "What BoE wants in your submission."</w:t>
            </w:r>
          </w:p>
        </w:tc>
        <w:tc>
          <w:tcPr>
            <w:tcW w:type="dxa" w:w="1872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Urgency: "we need help"</w:t>
            </w:r>
          </w:p>
        </w:tc>
      </w:tr>
    </w:tbl>
    <w:p>
      <w:r>
        <w:br w:type="page"/>
      </w:r>
    </w:p>
    <w:p>
      <w:pPr>
        <w:pStyle w:val="Heading1"/>
      </w:pPr>
      <w:r>
        <w:t>8. Data Sourcing Plan</w:t>
      </w:r>
    </w:p>
    <w:p>
      <w:pPr>
        <w:pStyle w:val="Heading3"/>
      </w:pPr>
      <w:r>
        <w:t>WS1: UK PE Company Universe (Analyst 1, Days 1-3)</w:t>
      </w:r>
    </w:p>
    <w:p>
      <w:r>
        <w:t>Goal: 40-50 real UK PE-backed companies with financials.</w:t>
        <w:br/>
        <w:br/>
        <w:t>Step 1: Identify companies from SWES 2 participant AAM portfolio pages (Blackstone, KKR, Carlyle, Hg, Permira list UK companies on websites), BVCA annual reports, news.</w:t>
        <w:br/>
        <w:t>Step 2: Pull financials from Companies House: revenue, operating profit, total debt, interest payable, employees.</w:t>
        <w:br/>
        <w:t>Step 3: Classify by sector (SIC codes → our taxonomy).</w:t>
        <w:br/>
        <w:t>Step 4: Add PE sponsor.</w:t>
        <w:br/>
        <w:br/>
        <w:t>Output CSV: company_name, pe_sponsor, sector, revenue_mm, ebitda_mm, total_debt_mm, interest_expense_mm, employee_count, filing_year, is_floating_rate.</w:t>
        <w:br/>
        <w:br/>
        <w:t>Fallback: Synthetic companies calibrated from Preqin/BVCA sector averages.</w:t>
      </w:r>
    </w:p>
    <w:p>
      <w:pPr>
        <w:pStyle w:val="Heading3"/>
      </w:pPr>
      <w:r>
        <w:t>WS2: Scenario Calibration (Analyst 2, Days 1-3)</w:t>
      </w:r>
    </w:p>
    <w:p>
      <w:r>
        <w:t>Goal: Sector-specific EBITDA-GDP elasticities.</w:t>
        <w:br/>
        <w:br/>
        <w:t>Step 1: ONS sectoral GVA data 2006-2023 (GFC + COVID).</w:t>
        <w:br/>
        <w:t>Step 2: Compute β per sector. Cross-ref with S&amp;P/Moody's default studies.</w:t>
        <w:br/>
        <w:t>Step 3: Extract SWES 1 scenario params (from project docs).</w:t>
        <w:br/>
        <w:t>Step 4: LBO market benchmarks (S&amp;P LCD, Fund Finance Association).</w:t>
        <w:br/>
        <w:br/>
        <w:t>Outputs: sector_elasticities.json, scenario_params.json, market_reference.json</w:t>
      </w:r>
    </w:p>
    <w:p>
      <w:pPr>
        <w:pStyle w:val="Heading3"/>
      </w:pPr>
      <w:r>
        <w:t>WS3: Agent Balance Sheet Sizing (Analyst 2, Days 4-5)</w:t>
      </w:r>
    </w:p>
    <w:p>
      <w:r>
        <w:t>Goal: Calibrate balance sheet proportions per agent type.</w:t>
        <w:br/>
        <w:br/>
        <w:t>Sources: BoE Bankstats, BoE FSR, TPR annual reports, SWES 2 sizing data, Fund Finance Association surveys.</w:t>
        <w:br/>
        <w:br/>
        <w:t>Output: agent_calibration.json</w:t>
      </w:r>
    </w:p>
    <w:p>
      <w:r>
        <w:br w:type="page"/>
      </w:r>
    </w:p>
    <w:p>
      <w:pPr>
        <w:pStyle w:val="Heading1"/>
      </w:pPr>
      <w:r>
        <w:t>9. Build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Day</w:t>
            </w:r>
          </w:p>
        </w:tc>
        <w:tc>
          <w:tcPr>
            <w:tcW w:type="dxa" w:w="2340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Developer</w:t>
            </w:r>
          </w:p>
        </w:tc>
        <w:tc>
          <w:tcPr>
            <w:tcW w:type="dxa" w:w="2340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Analyst</w:t>
            </w:r>
          </w:p>
        </w:tc>
        <w:tc>
          <w:tcPr>
            <w:tcW w:type="dxa" w:w="2340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Gate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Repo setup, dataclasses, data_loader.py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WS1: identify companies, start CH extractions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scenario_engine.py: stress_company(), apply_scenario</w:t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WS1 cont; WS2: ONS data, SWES 1 params</w:t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agents.py: factory functions for Bank, AAM, PF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WS1 complete (40+ cos); WS2 cont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feedback_loop.py: reactions, 2nd round, reputation</w:t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WS2 complete; WS3: agent sizing</w:t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Engine testable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Streamlit: sidebar, Tab 1 (Portfolio), Tab 2 (Direct)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WS3 complete; data QA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6-7</w:t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Tab 3 (System Dynamics + toggle), Tab 4 (Real Econ)</w:t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Demo dataset variants</w:t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Integration testing, bug fixes, performance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v0.1 ready</w:t>
            </w:r>
          </w:p>
        </w:tc>
      </w:tr>
      <w:tr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9-10</w:t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INTERNAL DEMO. Collect feedback.</w:t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INTERNAL DEMO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11-14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Polish, drill-downs, amplification calibration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Client-specific portfolio prep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15-18</w:t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Final polish, demo rehearsal, narrative scripts</w:t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19-20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CLIENT DEMO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CLIENT DEMO</w:t>
            </w:r>
          </w:p>
        </w:tc>
      </w:tr>
    </w:tbl>
    <w:p>
      <w:r>
        <w:br w:type="page"/>
      </w:r>
    </w:p>
    <w:p>
      <w:pPr>
        <w:pStyle w:val="Heading1"/>
      </w:pPr>
      <w:r>
        <w:t>10. 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2340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</w:t>
            </w:r>
          </w:p>
        </w:tc>
        <w:tc>
          <w:tcPr>
            <w:tcW w:type="dxa" w:w="2340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</w:t>
            </w:r>
          </w:p>
        </w:tc>
        <w:tc>
          <w:tcPr>
            <w:tcW w:type="dxa" w:w="2340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Feedback loop = black box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H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H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Calibrate to SWES 1 published findings + Van den End (2009). Prepare equation reference as leave-behind.</w:t>
            </w:r>
          </w:p>
        </w:tc>
      </w:tr>
      <w:tr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Portfolio looks synthetic</w:t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H</w:t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Use real UK PE companies from Companies House. Exposure amounts synthetic, borrower universe authentic.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Amplification ratio wrong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Target 1.5-3.0x (Van den End = 3.0x). Calibrate channel intensities iteratively.</w:t>
            </w:r>
          </w:p>
        </w:tc>
      </w:tr>
      <w:tr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Companies House data insufficient</w:t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L</w:t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Fallback: synthetic cos from Preqin/BVCA averages. Label "illustrative portfolio."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Deep methodology questions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5-page methodology appendix as leave-behind (not shown in demo).</w:t>
            </w:r>
          </w:p>
        </w:tc>
      </w:tr>
      <w:tr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Streamlit perf with live sliders</w:t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L</w:t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234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Pre-compute scenario grid; st.cache_data(). Target &lt;2s response.</w:t>
            </w:r>
          </w:p>
        </w:tc>
      </w:tr>
    </w:tbl>
    <w:p>
      <w:r>
        <w:br w:type="page"/>
      </w:r>
    </w:p>
    <w:p>
      <w:pPr>
        <w:pStyle w:val="Heading1"/>
      </w:pPr>
      <w:r>
        <w:t>Appendix A: SWES 1 Scenario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120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SWES 1 Value</w:t>
            </w:r>
          </w:p>
        </w:tc>
        <w:tc>
          <w:tcPr>
            <w:tcW w:type="dxa" w:w="3120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Comparison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10Y Gilt Yield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+115 bps / 10 days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~90% of Sep 2022 LDI episode</w:t>
            </w:r>
          </w:p>
        </w:tc>
      </w:tr>
      <w:tr>
        <w:tc>
          <w:tcPr>
            <w:tcW w:type="dxa" w:w="312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Sterling IG Spread</w:t>
            </w:r>
          </w:p>
        </w:tc>
        <w:tc>
          <w:tcPr>
            <w:tcW w:type="dxa" w:w="312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+130 bps</w:t>
            </w:r>
          </w:p>
        </w:tc>
        <w:tc>
          <w:tcPr>
            <w:tcW w:type="dxa" w:w="312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~Equal to Mar 2020 dash for cash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10Y UST Yield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Comparable to largest since 2001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Global shock</w:t>
            </w:r>
          </w:p>
        </w:tc>
      </w:tr>
      <w:tr>
        <w:tc>
          <w:tcPr>
            <w:tcW w:type="dxa" w:w="312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Equity</w:t>
            </w:r>
          </w:p>
        </w:tc>
        <w:tc>
          <w:tcPr>
            <w:tcW w:type="dxa" w:w="312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Less than historical max</w:t>
            </w:r>
          </w:p>
        </w:tc>
        <w:tc>
          <w:tcPr>
            <w:tcW w:type="dxa" w:w="312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Not dominant shock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Narrative: HF default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Mid-sized RV fund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Counterparty credit risk</w:t>
            </w:r>
          </w:p>
        </w:tc>
      </w:tr>
      <w:tr>
        <w:tc>
          <w:tcPr>
            <w:tcW w:type="dxa" w:w="312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Narrative: Downgrade</w:t>
            </w:r>
          </w:p>
        </w:tc>
        <w:tc>
          <w:tcPr>
            <w:tcW w:type="dxa" w:w="312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Single notch, UK + others</w:t>
            </w:r>
          </w:p>
        </w:tc>
        <w:tc>
          <w:tcPr>
            <w:tcW w:type="dxa" w:w="312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Broad credit risk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Narrative: SWF selling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Reduce adv. economy debt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Gilt selling pressure</w:t>
            </w:r>
          </w:p>
        </w:tc>
      </w:tr>
    </w:tbl>
    <w:p>
      <w:r>
        <w:br w:type="page"/>
      </w:r>
    </w:p>
    <w:p>
      <w:pPr>
        <w:pStyle w:val="Heading1"/>
      </w:pPr>
      <w:r>
        <w:t>Appendix B: Van den End Equation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VdE Eq</w:t>
            </w:r>
          </w:p>
        </w:tc>
        <w:tc>
          <w:tcPr>
            <w:tcW w:type="dxa" w:w="3120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Original</w:t>
            </w:r>
          </w:p>
        </w:tc>
        <w:tc>
          <w:tcPr>
            <w:tcW w:type="dxa" w:w="3120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Our Adaptation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(1)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B₀ = Σ I_non_cal,i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Agent-specific buffer defs</w:t>
            </w:r>
          </w:p>
        </w:tc>
      </w:tr>
      <w:tr>
        <w:tc>
          <w:tcPr>
            <w:tcW w:type="dxa" w:w="312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(2)</w:t>
            </w:r>
          </w:p>
        </w:tc>
        <w:tc>
          <w:tcPr>
            <w:tcW w:type="dxa" w:w="312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E₁ = Σ Iᵢ × w_sim₁,ᵢ</w:t>
            </w:r>
          </w:p>
        </w:tc>
        <w:tc>
          <w:tcPr>
            <w:tcW w:type="dxa" w:w="312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Weights from company stress (2b-2f) not MC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(3)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B₁ = B₀ − E₁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Unchanged</w:t>
            </w:r>
          </w:p>
        </w:tc>
      </w:tr>
      <w:tr>
        <w:tc>
          <w:tcPr>
            <w:tcW w:type="dxa" w:w="312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(4)</w:t>
            </w:r>
          </w:p>
        </w:tc>
        <w:tc>
          <w:tcPr>
            <w:tcW w:type="dxa" w:w="312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RIᵢ = (B₀−B₁)(Iᵢ/ΣI)</w:t>
            </w:r>
          </w:p>
        </w:tc>
        <w:tc>
          <w:tcPr>
            <w:tcW w:type="dxa" w:w="312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Unchanged; agent-specific instruments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(5)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B₂ = B₁ + Σ RIᵢ(1−w₁/100)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Unchanged</w:t>
            </w:r>
          </w:p>
        </w:tc>
      </w:tr>
      <w:tr>
        <w:tc>
          <w:tcPr>
            <w:tcW w:type="dxa" w:w="312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(6)</w:t>
            </w:r>
          </w:p>
        </w:tc>
        <w:tc>
          <w:tcPr>
            <w:tcW w:type="dxa" w:w="312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w₂ = f(w₁, Σq, similarity, s)</w:t>
            </w:r>
          </w:p>
        </w:tc>
        <w:tc>
          <w:tcPr>
            <w:tcW w:type="dxa" w:w="312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Decomposed into cross-agent channels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(7)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w*₂ = w₂ × √s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Unchanged; all reacting agents</w:t>
            </w:r>
          </w:p>
        </w:tc>
      </w:tr>
      <w:tr>
        <w:tc>
          <w:tcPr>
            <w:tcW w:type="dxa" w:w="312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(8)</w:t>
            </w:r>
          </w:p>
        </w:tc>
        <w:tc>
          <w:tcPr>
            <w:tcW w:type="dxa" w:w="312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E₂ = Σ(I+RI)(w₂−w₁)</w:t>
            </w:r>
          </w:p>
        </w:tc>
        <w:tc>
          <w:tcPr>
            <w:tcW w:type="dxa" w:w="3120"/>
            <w:shd w:fill="F2F7FB" w:val="clear"/>
          </w:tcPr>
          <w:p>
            <w:r/>
            <w:r>
              <w:rPr>
                <w:rFonts w:ascii="Calibri" w:hAnsi="Calibri"/>
                <w:sz w:val="18"/>
              </w:rPr>
              <w:t>Includes cross-agent effects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(9)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B₃ = B₂ − E₂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Unchanged</w:t>
            </w:r>
          </w:p>
        </w:tc>
      </w:tr>
    </w:tbl>
    <w:p>
      <w:r>
        <w:br/>
        <w:t>Key VdE result: Credit crisis amplification ratio ~3.0x (39% total loss vs 13% first round). Reputation risk = &gt;50% of second round. No correlation between shortfall probability and bank size in second round = systemic risk indicator.</w:t>
      </w:r>
    </w:p>
    <w:p>
      <w:r>
        <w:br w:type="page"/>
      </w:r>
    </w:p>
    <w:p>
      <w:pPr>
        <w:pStyle w:val="Heading1"/>
      </w:pPr>
      <w:r>
        <w:t>Appendix C: Demo Narrative Scripts</w:t>
      </w:r>
    </w:p>
    <w:p>
      <w:pPr>
        <w:pStyle w:val="Heading2"/>
      </w:pPr>
      <w:r>
        <w:t>Script A: Bank Client Framing</w:t>
      </w:r>
    </w:p>
    <w:p>
      <w:r>
        <w:t>Opening: "The BoE's second SWES is focused on private markets — your exposure to PE funds, leveraged lending, subscription lines, NAV facilities. Unlike a conventional stress test, SWES asks how your actions interact with other market participants to amplify the shock. We've built a tool that models exactly this."</w:t>
      </w:r>
    </w:p>
    <w:p>
      <w:r>
        <w:t>Act 3 Turn: "But the BoE isn't asking about direct stress. They're asking about system-wide dynamics. Let me flip this switch. [Toggle ON.] Watch what happens. Your bank rationally tightens lending — exactly what SWES 1 showed banks do. But when every bank does this simultaneously, PE companies needing refinancing face a cliff. Defaults spike. Leveraged loan market freezes. CLO OC tests fail. Your losses just went from £X to £2.5X. The amplification ratio is 2.3x — consistent with DNB's published research showing ratios up to 3x."</w:t>
      </w:r>
    </w:p>
    <w:p>
      <w:r>
        <w:t>Close: "We calibrate this to your actual portfolio, design your SWES 2 submission methodology, and bring cross-market insight on how AAMs and investors will behave."</w:t>
      </w:r>
    </w:p>
    <w:p>
      <w:pPr>
        <w:pStyle w:val="Heading2"/>
      </w:pPr>
      <w:r>
        <w:t>Script B: AAM Client Framing</w:t>
      </w:r>
    </w:p>
    <w:p>
      <w:r>
        <w:t>Opening: "SWES 2 asks you to model how a prolonged downturn affects your UK portfolio companies — and critically, how banks, investors, and other managers collectively amplify that stress. This is new territory for most AAMs."</w:t>
      </w:r>
    </w:p>
    <w:p>
      <w:r>
        <w:t>Act 3 Turn: "SWES 1 proved that banks are significantly more conservative than fund managers expect. Over a third of managers expecting financing were refused by every bank. When we model this tightening, your portfolio companies needing refinancing face a cliff. Covenant breaches jump from Y to Z. And your LPs are simultaneously facing their own pressures, so new commitments dry up."</w:t>
      </w:r>
    </w:p>
    <w:p>
      <w:r>
        <w:t>Close: "We work with banks on their side of this equation, giving us unique insight into how they'll behave. We help you build a SWES 2 submission that accounts for these dynamics."</w:t>
      </w:r>
    </w:p>
    <w:sectPr w:rsidR="00FC693F" w:rsidRPr="0006063C" w:rsidSect="00034616">
      <w:pgSz w:w="12240" w:h="15840"/>
      <w:pgMar w:top="1440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E75B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