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A9165" w14:textId="57617179" w:rsidR="00452CCE" w:rsidRPr="005D5436" w:rsidRDefault="00637A79">
      <w:pPr>
        <w:pStyle w:val="Heading1"/>
        <w:spacing w:before="52"/>
        <w:ind w:left="1988" w:right="1757" w:firstLine="0"/>
        <w:jc w:val="center"/>
        <w:rPr>
          <w:rFonts w:ascii="Times New Roman" w:hAnsi="Times New Roman" w:cs="Times New Roman"/>
          <w:sz w:val="20"/>
          <w:szCs w:val="20"/>
        </w:rPr>
      </w:pPr>
      <w:r w:rsidRPr="005D5436">
        <w:rPr>
          <w:rFonts w:ascii="Times New Roman" w:hAnsi="Times New Roman" w:cs="Times New Roman"/>
          <w:sz w:val="20"/>
          <w:szCs w:val="20"/>
        </w:rPr>
        <w:t>POLICY ON DETERMINATION OF MATERIALITY OF EVENTS FOR “</w:t>
      </w:r>
      <w:r w:rsidR="004B427D" w:rsidRPr="004B427D">
        <w:rPr>
          <w:rFonts w:ascii="Times New Roman" w:hAnsi="Times New Roman" w:cs="Times New Roman"/>
          <w:sz w:val="20"/>
          <w:szCs w:val="20"/>
        </w:rPr>
        <w:t>BODHI TREE MULTIMEDIA LIMITED</w:t>
      </w:r>
      <w:r w:rsidRPr="005D5436">
        <w:rPr>
          <w:rFonts w:ascii="Times New Roman" w:hAnsi="Times New Roman" w:cs="Times New Roman"/>
          <w:sz w:val="20"/>
          <w:szCs w:val="20"/>
        </w:rPr>
        <w:t>”</w:t>
      </w:r>
    </w:p>
    <w:p w14:paraId="03E88F4F" w14:textId="77777777" w:rsidR="00452CCE" w:rsidRPr="005D5436" w:rsidRDefault="00452CCE">
      <w:pPr>
        <w:pStyle w:val="BodyText"/>
        <w:spacing w:before="11"/>
        <w:rPr>
          <w:rFonts w:ascii="Times New Roman" w:hAnsi="Times New Roman" w:cs="Times New Roman"/>
          <w:b/>
          <w:sz w:val="20"/>
          <w:szCs w:val="20"/>
        </w:rPr>
      </w:pPr>
    </w:p>
    <w:p w14:paraId="0BCE8558" w14:textId="77777777" w:rsidR="00452CCE" w:rsidRPr="005D5436" w:rsidRDefault="00637A79">
      <w:pPr>
        <w:spacing w:before="1"/>
        <w:ind w:left="551" w:right="321"/>
        <w:jc w:val="center"/>
        <w:rPr>
          <w:rFonts w:ascii="Times New Roman" w:hAnsi="Times New Roman" w:cs="Times New Roman"/>
          <w:b/>
          <w:sz w:val="20"/>
          <w:szCs w:val="20"/>
        </w:rPr>
      </w:pPr>
      <w:r w:rsidRPr="005D5436">
        <w:rPr>
          <w:rFonts w:ascii="Times New Roman" w:hAnsi="Times New Roman" w:cs="Times New Roman"/>
          <w:b/>
          <w:sz w:val="20"/>
          <w:szCs w:val="20"/>
        </w:rPr>
        <w:t>Under Regulation 30 (4) of the SEBI (Listing Obligations and Disclosures Requirements) Regulation, 2015 Read with the schedule III of the said Regulations</w:t>
      </w:r>
    </w:p>
    <w:p w14:paraId="0CDE4AED" w14:textId="77777777" w:rsidR="00452CCE" w:rsidRPr="005D5436" w:rsidRDefault="00452CCE">
      <w:pPr>
        <w:pStyle w:val="BodyText"/>
        <w:spacing w:before="11"/>
        <w:rPr>
          <w:rFonts w:ascii="Times New Roman" w:hAnsi="Times New Roman" w:cs="Times New Roman"/>
          <w:b/>
          <w:sz w:val="20"/>
          <w:szCs w:val="20"/>
        </w:rPr>
      </w:pPr>
    </w:p>
    <w:p w14:paraId="46ED244A" w14:textId="77777777" w:rsidR="00452CCE" w:rsidRPr="005D5436" w:rsidRDefault="00637A79">
      <w:pPr>
        <w:pStyle w:val="ListParagraph"/>
        <w:numPr>
          <w:ilvl w:val="0"/>
          <w:numId w:val="4"/>
        </w:numPr>
        <w:tabs>
          <w:tab w:val="left" w:pos="767"/>
          <w:tab w:val="left" w:pos="768"/>
        </w:tabs>
        <w:rPr>
          <w:rFonts w:ascii="Times New Roman" w:hAnsi="Times New Roman" w:cs="Times New Roman"/>
          <w:b/>
          <w:sz w:val="20"/>
          <w:szCs w:val="20"/>
        </w:rPr>
      </w:pPr>
      <w:r w:rsidRPr="005D5436">
        <w:rPr>
          <w:rFonts w:ascii="Times New Roman" w:hAnsi="Times New Roman" w:cs="Times New Roman"/>
          <w:b/>
          <w:sz w:val="20"/>
          <w:szCs w:val="20"/>
        </w:rPr>
        <w:t>PREAMBLE</w:t>
      </w:r>
    </w:p>
    <w:p w14:paraId="1295FB95" w14:textId="77777777" w:rsidR="00452CCE" w:rsidRPr="005D5436" w:rsidRDefault="00452CCE">
      <w:pPr>
        <w:pStyle w:val="BodyText"/>
        <w:rPr>
          <w:rFonts w:ascii="Times New Roman" w:hAnsi="Times New Roman" w:cs="Times New Roman"/>
          <w:b/>
          <w:sz w:val="20"/>
          <w:szCs w:val="20"/>
        </w:rPr>
      </w:pPr>
    </w:p>
    <w:p w14:paraId="1EE14EA9" w14:textId="5EE91A35" w:rsidR="00452CCE" w:rsidRPr="005D5436" w:rsidRDefault="00637A79">
      <w:pPr>
        <w:pStyle w:val="BodyText"/>
        <w:ind w:left="339" w:right="109"/>
        <w:jc w:val="both"/>
        <w:rPr>
          <w:rFonts w:ascii="Times New Roman" w:hAnsi="Times New Roman" w:cs="Times New Roman"/>
          <w:sz w:val="20"/>
          <w:szCs w:val="20"/>
        </w:rPr>
      </w:pPr>
      <w:r w:rsidRPr="005D5436">
        <w:rPr>
          <w:rFonts w:ascii="Times New Roman" w:hAnsi="Times New Roman" w:cs="Times New Roman"/>
          <w:sz w:val="20"/>
          <w:szCs w:val="20"/>
        </w:rPr>
        <w:t xml:space="preserve">The Board of Directors (the "Board") of </w:t>
      </w:r>
      <w:r w:rsidR="00CB3D94" w:rsidRPr="00CB3D94">
        <w:rPr>
          <w:rFonts w:ascii="Times New Roman" w:hAnsi="Times New Roman" w:cs="Times New Roman"/>
          <w:sz w:val="20"/>
          <w:szCs w:val="20"/>
        </w:rPr>
        <w:t xml:space="preserve">Bodhi Tree Multimedia Limited </w:t>
      </w:r>
      <w:r w:rsidRPr="005D5436">
        <w:rPr>
          <w:rFonts w:ascii="Times New Roman" w:hAnsi="Times New Roman" w:cs="Times New Roman"/>
          <w:sz w:val="20"/>
          <w:szCs w:val="20"/>
        </w:rPr>
        <w:t>(the "Company"), has adopted this policy and procedure with regards to Determination of Materiality as defined below. The Board shall review and may amend this policy from time to time.</w:t>
      </w:r>
    </w:p>
    <w:p w14:paraId="44936078" w14:textId="77777777" w:rsidR="00452CCE" w:rsidRPr="005D5436" w:rsidRDefault="00452CCE">
      <w:pPr>
        <w:pStyle w:val="BodyText"/>
        <w:spacing w:before="11"/>
        <w:rPr>
          <w:rFonts w:ascii="Times New Roman" w:hAnsi="Times New Roman" w:cs="Times New Roman"/>
          <w:sz w:val="20"/>
          <w:szCs w:val="20"/>
        </w:rPr>
      </w:pPr>
    </w:p>
    <w:p w14:paraId="64E8A279" w14:textId="77777777" w:rsidR="00452CCE" w:rsidRPr="005D5436" w:rsidRDefault="00637A79">
      <w:pPr>
        <w:pStyle w:val="Heading1"/>
        <w:numPr>
          <w:ilvl w:val="0"/>
          <w:numId w:val="4"/>
        </w:numPr>
        <w:tabs>
          <w:tab w:val="left" w:pos="767"/>
          <w:tab w:val="left" w:pos="768"/>
        </w:tabs>
        <w:ind w:hanging="429"/>
        <w:rPr>
          <w:rFonts w:ascii="Times New Roman" w:hAnsi="Times New Roman" w:cs="Times New Roman"/>
          <w:sz w:val="20"/>
          <w:szCs w:val="20"/>
        </w:rPr>
      </w:pPr>
      <w:r w:rsidRPr="005D5436">
        <w:rPr>
          <w:rFonts w:ascii="Times New Roman" w:hAnsi="Times New Roman" w:cs="Times New Roman"/>
          <w:sz w:val="20"/>
          <w:szCs w:val="20"/>
        </w:rPr>
        <w:t>INTRODUCTION</w:t>
      </w:r>
    </w:p>
    <w:p w14:paraId="4BADF5B7" w14:textId="77777777" w:rsidR="00452CCE" w:rsidRPr="005D5436" w:rsidRDefault="00452CCE">
      <w:pPr>
        <w:pStyle w:val="BodyText"/>
        <w:spacing w:before="2"/>
        <w:rPr>
          <w:rFonts w:ascii="Times New Roman" w:hAnsi="Times New Roman" w:cs="Times New Roman"/>
          <w:b/>
          <w:sz w:val="20"/>
          <w:szCs w:val="20"/>
        </w:rPr>
      </w:pPr>
    </w:p>
    <w:p w14:paraId="6BB84DB0" w14:textId="77777777" w:rsidR="00452CCE" w:rsidRPr="005D5436" w:rsidRDefault="00637A79">
      <w:pPr>
        <w:pStyle w:val="BodyText"/>
        <w:ind w:left="340" w:right="109"/>
        <w:jc w:val="both"/>
        <w:rPr>
          <w:rFonts w:ascii="Times New Roman" w:hAnsi="Times New Roman" w:cs="Times New Roman"/>
          <w:sz w:val="20"/>
          <w:szCs w:val="20"/>
        </w:rPr>
      </w:pPr>
      <w:r w:rsidRPr="005D5436">
        <w:rPr>
          <w:rFonts w:ascii="Times New Roman" w:hAnsi="Times New Roman" w:cs="Times New Roman"/>
          <w:sz w:val="20"/>
          <w:szCs w:val="20"/>
        </w:rPr>
        <w:t>News or details that may reasonably be expected to affect a company’s stock price and thus decisions that investors make about buying or selling the company’s stock. Material events may be the addition or loss of a large customer, falling or rising sales, a merger agreement, financial results above or below expectations, or a change in the company’s dividend policy. In order to enable investors to make well informed investment decisions, timely, adequate and accurate disclosure of information on an ongoing basis is essential. There is a need of uniformity in disclosures to ensure compliance in letter and spirit.</w:t>
      </w:r>
    </w:p>
    <w:p w14:paraId="18893B79" w14:textId="77777777" w:rsidR="00452CCE" w:rsidRPr="005D5436" w:rsidRDefault="00452CCE">
      <w:pPr>
        <w:pStyle w:val="BodyText"/>
        <w:spacing w:before="11"/>
        <w:rPr>
          <w:rFonts w:ascii="Times New Roman" w:hAnsi="Times New Roman" w:cs="Times New Roman"/>
          <w:sz w:val="20"/>
          <w:szCs w:val="20"/>
        </w:rPr>
      </w:pPr>
    </w:p>
    <w:p w14:paraId="63BB3F09" w14:textId="77777777" w:rsidR="00452CCE" w:rsidRPr="005D5436" w:rsidRDefault="00637A79">
      <w:pPr>
        <w:pStyle w:val="Heading1"/>
        <w:numPr>
          <w:ilvl w:val="0"/>
          <w:numId w:val="4"/>
        </w:numPr>
        <w:tabs>
          <w:tab w:val="left" w:pos="767"/>
          <w:tab w:val="left" w:pos="768"/>
        </w:tabs>
        <w:rPr>
          <w:rFonts w:ascii="Times New Roman" w:hAnsi="Times New Roman" w:cs="Times New Roman"/>
          <w:sz w:val="20"/>
          <w:szCs w:val="20"/>
        </w:rPr>
      </w:pPr>
      <w:r w:rsidRPr="005D5436">
        <w:rPr>
          <w:rFonts w:ascii="Times New Roman" w:hAnsi="Times New Roman" w:cs="Times New Roman"/>
          <w:sz w:val="20"/>
          <w:szCs w:val="20"/>
        </w:rPr>
        <w:t>DEFINITIONS</w:t>
      </w:r>
    </w:p>
    <w:p w14:paraId="216E314F" w14:textId="77777777" w:rsidR="00452CCE" w:rsidRPr="005D5436" w:rsidRDefault="00452CCE">
      <w:pPr>
        <w:pStyle w:val="BodyText"/>
        <w:rPr>
          <w:rFonts w:ascii="Times New Roman" w:hAnsi="Times New Roman" w:cs="Times New Roman"/>
          <w:b/>
          <w:sz w:val="20"/>
          <w:szCs w:val="20"/>
        </w:rPr>
      </w:pPr>
    </w:p>
    <w:p w14:paraId="1B6672E7" w14:textId="77777777" w:rsidR="00452CCE" w:rsidRPr="005D5436" w:rsidRDefault="00637A79">
      <w:pPr>
        <w:pStyle w:val="ListParagraph"/>
        <w:numPr>
          <w:ilvl w:val="1"/>
          <w:numId w:val="4"/>
        </w:numPr>
        <w:tabs>
          <w:tab w:val="left" w:pos="1060"/>
        </w:tabs>
        <w:ind w:right="110"/>
        <w:jc w:val="both"/>
        <w:rPr>
          <w:rFonts w:ascii="Times New Roman" w:hAnsi="Times New Roman" w:cs="Times New Roman"/>
          <w:sz w:val="20"/>
          <w:szCs w:val="20"/>
        </w:rPr>
      </w:pPr>
      <w:r w:rsidRPr="005D5436">
        <w:rPr>
          <w:rFonts w:ascii="Times New Roman" w:hAnsi="Times New Roman" w:cs="Times New Roman"/>
          <w:b/>
          <w:sz w:val="20"/>
          <w:szCs w:val="20"/>
        </w:rPr>
        <w:t xml:space="preserve">“Audit Committee or Committee” </w:t>
      </w:r>
      <w:r w:rsidRPr="005D5436">
        <w:rPr>
          <w:rFonts w:ascii="Times New Roman" w:hAnsi="Times New Roman" w:cs="Times New Roman"/>
          <w:sz w:val="20"/>
          <w:szCs w:val="20"/>
        </w:rPr>
        <w:t>means Audit Committee constituted by the Board of Directors of the Company under the provisions of Listing Regulations, 2015 and the Companies Act, 2013, from time to</w:t>
      </w:r>
      <w:r w:rsidRPr="005D5436">
        <w:rPr>
          <w:rFonts w:ascii="Times New Roman" w:hAnsi="Times New Roman" w:cs="Times New Roman"/>
          <w:spacing w:val="-4"/>
          <w:sz w:val="20"/>
          <w:szCs w:val="20"/>
        </w:rPr>
        <w:t xml:space="preserve"> </w:t>
      </w:r>
      <w:r w:rsidRPr="005D5436">
        <w:rPr>
          <w:rFonts w:ascii="Times New Roman" w:hAnsi="Times New Roman" w:cs="Times New Roman"/>
          <w:sz w:val="20"/>
          <w:szCs w:val="20"/>
        </w:rPr>
        <w:t>time.</w:t>
      </w:r>
    </w:p>
    <w:p w14:paraId="4452BB2B" w14:textId="2AB860EC" w:rsidR="00452CCE" w:rsidRPr="005D5436" w:rsidRDefault="00637A79">
      <w:pPr>
        <w:pStyle w:val="ListParagraph"/>
        <w:numPr>
          <w:ilvl w:val="1"/>
          <w:numId w:val="4"/>
        </w:numPr>
        <w:tabs>
          <w:tab w:val="left" w:pos="1060"/>
        </w:tabs>
        <w:spacing w:before="2"/>
        <w:ind w:left="1059" w:right="107" w:hanging="531"/>
        <w:jc w:val="both"/>
        <w:rPr>
          <w:rFonts w:ascii="Times New Roman" w:hAnsi="Times New Roman" w:cs="Times New Roman"/>
          <w:sz w:val="20"/>
          <w:szCs w:val="20"/>
        </w:rPr>
      </w:pPr>
      <w:r w:rsidRPr="005D5436">
        <w:rPr>
          <w:rFonts w:ascii="Times New Roman" w:hAnsi="Times New Roman" w:cs="Times New Roman"/>
          <w:b/>
          <w:sz w:val="20"/>
          <w:szCs w:val="20"/>
        </w:rPr>
        <w:t xml:space="preserve">“Board of Directors” </w:t>
      </w:r>
      <w:r w:rsidRPr="005D5436">
        <w:rPr>
          <w:rFonts w:ascii="Times New Roman" w:hAnsi="Times New Roman" w:cs="Times New Roman"/>
          <w:sz w:val="20"/>
          <w:szCs w:val="20"/>
        </w:rPr>
        <w:t xml:space="preserve">or </w:t>
      </w:r>
      <w:r w:rsidRPr="005D5436">
        <w:rPr>
          <w:rFonts w:ascii="Times New Roman" w:hAnsi="Times New Roman" w:cs="Times New Roman"/>
          <w:b/>
          <w:sz w:val="20"/>
          <w:szCs w:val="20"/>
        </w:rPr>
        <w:t xml:space="preserve">“Board” </w:t>
      </w:r>
      <w:r w:rsidRPr="005D5436">
        <w:rPr>
          <w:rFonts w:ascii="Times New Roman" w:hAnsi="Times New Roman" w:cs="Times New Roman"/>
          <w:sz w:val="20"/>
          <w:szCs w:val="20"/>
        </w:rPr>
        <w:t xml:space="preserve">means the Board of Directors of </w:t>
      </w:r>
      <w:r w:rsidR="00B374E8" w:rsidRPr="00B374E8">
        <w:rPr>
          <w:rFonts w:ascii="Times New Roman" w:hAnsi="Times New Roman" w:cs="Times New Roman"/>
          <w:sz w:val="20"/>
          <w:szCs w:val="20"/>
        </w:rPr>
        <w:t>Bodhi Tree Multimedia Limited</w:t>
      </w:r>
      <w:r w:rsidRPr="005D5436">
        <w:rPr>
          <w:rFonts w:ascii="Times New Roman" w:hAnsi="Times New Roman" w:cs="Times New Roman"/>
          <w:sz w:val="20"/>
          <w:szCs w:val="20"/>
        </w:rPr>
        <w:t>, as constituted from time to</w:t>
      </w:r>
      <w:r w:rsidRPr="005D5436">
        <w:rPr>
          <w:rFonts w:ascii="Times New Roman" w:hAnsi="Times New Roman" w:cs="Times New Roman"/>
          <w:spacing w:val="-8"/>
          <w:sz w:val="20"/>
          <w:szCs w:val="20"/>
        </w:rPr>
        <w:t xml:space="preserve"> </w:t>
      </w:r>
      <w:r w:rsidRPr="005D5436">
        <w:rPr>
          <w:rFonts w:ascii="Times New Roman" w:hAnsi="Times New Roman" w:cs="Times New Roman"/>
          <w:sz w:val="20"/>
          <w:szCs w:val="20"/>
        </w:rPr>
        <w:t>time.</w:t>
      </w:r>
    </w:p>
    <w:p w14:paraId="34E343C1" w14:textId="03B82A18" w:rsidR="00452CCE" w:rsidRPr="005D5436" w:rsidRDefault="00637A79">
      <w:pPr>
        <w:pStyle w:val="ListParagraph"/>
        <w:numPr>
          <w:ilvl w:val="1"/>
          <w:numId w:val="4"/>
        </w:numPr>
        <w:tabs>
          <w:tab w:val="left" w:pos="1060"/>
        </w:tabs>
        <w:spacing w:line="293" w:lineRule="exact"/>
        <w:ind w:hanging="586"/>
        <w:jc w:val="both"/>
        <w:rPr>
          <w:rFonts w:ascii="Times New Roman" w:hAnsi="Times New Roman" w:cs="Times New Roman"/>
          <w:sz w:val="20"/>
          <w:szCs w:val="20"/>
        </w:rPr>
      </w:pPr>
      <w:r w:rsidRPr="005D5436">
        <w:rPr>
          <w:rFonts w:ascii="Times New Roman" w:hAnsi="Times New Roman" w:cs="Times New Roman"/>
          <w:b/>
          <w:sz w:val="20"/>
          <w:szCs w:val="20"/>
        </w:rPr>
        <w:t xml:space="preserve">“Company” </w:t>
      </w:r>
      <w:r w:rsidRPr="005D5436">
        <w:rPr>
          <w:rFonts w:ascii="Times New Roman" w:hAnsi="Times New Roman" w:cs="Times New Roman"/>
          <w:sz w:val="20"/>
          <w:szCs w:val="20"/>
        </w:rPr>
        <w:t xml:space="preserve">means </w:t>
      </w:r>
      <w:r w:rsidR="00B374E8" w:rsidRPr="00B374E8">
        <w:rPr>
          <w:rFonts w:ascii="Times New Roman" w:hAnsi="Times New Roman" w:cs="Times New Roman"/>
          <w:sz w:val="20"/>
          <w:szCs w:val="20"/>
        </w:rPr>
        <w:t>Bodhi Tree Multimedia Limited</w:t>
      </w:r>
      <w:r w:rsidRPr="005D5436">
        <w:rPr>
          <w:rFonts w:ascii="Times New Roman" w:hAnsi="Times New Roman" w:cs="Times New Roman"/>
          <w:sz w:val="20"/>
          <w:szCs w:val="20"/>
        </w:rPr>
        <w:t>.</w:t>
      </w:r>
    </w:p>
    <w:p w14:paraId="0DAB0282" w14:textId="77777777" w:rsidR="00452CCE" w:rsidRPr="005D5436" w:rsidRDefault="00637A79">
      <w:pPr>
        <w:pStyle w:val="ListParagraph"/>
        <w:numPr>
          <w:ilvl w:val="1"/>
          <w:numId w:val="4"/>
        </w:numPr>
        <w:tabs>
          <w:tab w:val="left" w:pos="1060"/>
        </w:tabs>
        <w:ind w:right="110" w:hanging="584"/>
        <w:jc w:val="both"/>
        <w:rPr>
          <w:rFonts w:ascii="Times New Roman" w:hAnsi="Times New Roman" w:cs="Times New Roman"/>
          <w:sz w:val="20"/>
          <w:szCs w:val="20"/>
        </w:rPr>
      </w:pPr>
      <w:r w:rsidRPr="005D5436">
        <w:rPr>
          <w:rFonts w:ascii="Times New Roman" w:hAnsi="Times New Roman" w:cs="Times New Roman"/>
          <w:b/>
          <w:sz w:val="20"/>
          <w:szCs w:val="20"/>
        </w:rPr>
        <w:t xml:space="preserve">“Compliance Officer” </w:t>
      </w:r>
      <w:r w:rsidRPr="005D5436">
        <w:rPr>
          <w:rFonts w:ascii="Times New Roman" w:hAnsi="Times New Roman" w:cs="Times New Roman"/>
          <w:sz w:val="20"/>
          <w:szCs w:val="20"/>
        </w:rPr>
        <w:t>means the officer appointed by the Board of Directors of the Company as for the purpose of this regulation from time to</w:t>
      </w:r>
      <w:r w:rsidRPr="005D5436">
        <w:rPr>
          <w:rFonts w:ascii="Times New Roman" w:hAnsi="Times New Roman" w:cs="Times New Roman"/>
          <w:spacing w:val="-5"/>
          <w:sz w:val="20"/>
          <w:szCs w:val="20"/>
        </w:rPr>
        <w:t xml:space="preserve"> </w:t>
      </w:r>
      <w:r w:rsidRPr="005D5436">
        <w:rPr>
          <w:rFonts w:ascii="Times New Roman" w:hAnsi="Times New Roman" w:cs="Times New Roman"/>
          <w:sz w:val="20"/>
          <w:szCs w:val="20"/>
        </w:rPr>
        <w:t>time.</w:t>
      </w:r>
    </w:p>
    <w:p w14:paraId="748BDBF6" w14:textId="77777777" w:rsidR="00452CCE" w:rsidRPr="005D5436" w:rsidRDefault="00637A79">
      <w:pPr>
        <w:pStyle w:val="ListParagraph"/>
        <w:numPr>
          <w:ilvl w:val="1"/>
          <w:numId w:val="4"/>
        </w:numPr>
        <w:tabs>
          <w:tab w:val="left" w:pos="1060"/>
        </w:tabs>
        <w:ind w:left="1059" w:right="113" w:hanging="528"/>
        <w:jc w:val="both"/>
        <w:rPr>
          <w:rFonts w:ascii="Times New Roman" w:hAnsi="Times New Roman" w:cs="Times New Roman"/>
          <w:sz w:val="20"/>
          <w:szCs w:val="20"/>
        </w:rPr>
      </w:pPr>
      <w:r w:rsidRPr="005D5436">
        <w:rPr>
          <w:rFonts w:ascii="Times New Roman" w:hAnsi="Times New Roman" w:cs="Times New Roman"/>
          <w:b/>
          <w:sz w:val="20"/>
          <w:szCs w:val="20"/>
        </w:rPr>
        <w:t xml:space="preserve">“Control” </w:t>
      </w:r>
      <w:r w:rsidRPr="005D5436">
        <w:rPr>
          <w:rFonts w:ascii="Times New Roman" w:hAnsi="Times New Roman" w:cs="Times New Roman"/>
          <w:sz w:val="20"/>
          <w:szCs w:val="20"/>
        </w:rPr>
        <w:t>shall have the same meaning as defined in SEBI (Substantial Acquisition of Shares and Takeovers) Regulations,</w:t>
      </w:r>
      <w:r w:rsidRPr="005D5436">
        <w:rPr>
          <w:rFonts w:ascii="Times New Roman" w:hAnsi="Times New Roman" w:cs="Times New Roman"/>
          <w:spacing w:val="-4"/>
          <w:sz w:val="20"/>
          <w:szCs w:val="20"/>
        </w:rPr>
        <w:t xml:space="preserve"> </w:t>
      </w:r>
      <w:r w:rsidRPr="005D5436">
        <w:rPr>
          <w:rFonts w:ascii="Times New Roman" w:hAnsi="Times New Roman" w:cs="Times New Roman"/>
          <w:sz w:val="20"/>
          <w:szCs w:val="20"/>
        </w:rPr>
        <w:t>2011.</w:t>
      </w:r>
    </w:p>
    <w:p w14:paraId="3482690D" w14:textId="77777777" w:rsidR="00452CCE" w:rsidRPr="005D5436" w:rsidRDefault="00637A79">
      <w:pPr>
        <w:pStyle w:val="ListParagraph"/>
        <w:numPr>
          <w:ilvl w:val="1"/>
          <w:numId w:val="4"/>
        </w:numPr>
        <w:tabs>
          <w:tab w:val="left" w:pos="1060"/>
        </w:tabs>
        <w:ind w:right="110" w:hanging="584"/>
        <w:jc w:val="both"/>
        <w:rPr>
          <w:rFonts w:ascii="Times New Roman" w:hAnsi="Times New Roman" w:cs="Times New Roman"/>
          <w:sz w:val="20"/>
          <w:szCs w:val="20"/>
        </w:rPr>
      </w:pPr>
      <w:r w:rsidRPr="005D5436">
        <w:rPr>
          <w:rFonts w:ascii="Times New Roman" w:hAnsi="Times New Roman" w:cs="Times New Roman"/>
          <w:b/>
          <w:sz w:val="20"/>
          <w:szCs w:val="20"/>
        </w:rPr>
        <w:t xml:space="preserve">“Independent Director” </w:t>
      </w:r>
      <w:r w:rsidRPr="005D5436">
        <w:rPr>
          <w:rFonts w:ascii="Times New Roman" w:hAnsi="Times New Roman" w:cs="Times New Roman"/>
          <w:sz w:val="20"/>
          <w:szCs w:val="20"/>
        </w:rPr>
        <w:t>means an Independent Director referred to in section 149(6) of the Companies Act, 2013, and / or Regulation 16(b) of the Listing Regulations, 2015.</w:t>
      </w:r>
    </w:p>
    <w:p w14:paraId="0A04D4CB" w14:textId="56B29A1D" w:rsidR="00452CCE" w:rsidRPr="005D5436" w:rsidRDefault="00637A79">
      <w:pPr>
        <w:pStyle w:val="ListParagraph"/>
        <w:numPr>
          <w:ilvl w:val="1"/>
          <w:numId w:val="4"/>
        </w:numPr>
        <w:tabs>
          <w:tab w:val="left" w:pos="1060"/>
        </w:tabs>
        <w:ind w:right="110" w:hanging="639"/>
        <w:jc w:val="both"/>
        <w:rPr>
          <w:rFonts w:ascii="Times New Roman" w:hAnsi="Times New Roman" w:cs="Times New Roman"/>
          <w:sz w:val="20"/>
          <w:szCs w:val="20"/>
        </w:rPr>
      </w:pPr>
      <w:r w:rsidRPr="005D5436">
        <w:rPr>
          <w:rFonts w:ascii="Times New Roman" w:hAnsi="Times New Roman" w:cs="Times New Roman"/>
          <w:b/>
          <w:sz w:val="20"/>
          <w:szCs w:val="20"/>
        </w:rPr>
        <w:t xml:space="preserve">“Management” </w:t>
      </w:r>
      <w:r w:rsidRPr="005D5436">
        <w:rPr>
          <w:rFonts w:ascii="Times New Roman" w:hAnsi="Times New Roman" w:cs="Times New Roman"/>
          <w:sz w:val="20"/>
          <w:szCs w:val="20"/>
        </w:rPr>
        <w:t xml:space="preserve">means the Senior Management and Key Managerial Personnel of </w:t>
      </w:r>
      <w:r w:rsidR="002F6BF1" w:rsidRPr="00B374E8">
        <w:rPr>
          <w:rFonts w:ascii="Times New Roman" w:hAnsi="Times New Roman" w:cs="Times New Roman"/>
          <w:sz w:val="20"/>
          <w:szCs w:val="20"/>
        </w:rPr>
        <w:t>Bodhi Tree Multimedia Limited</w:t>
      </w:r>
      <w:r w:rsidRPr="005D5436">
        <w:rPr>
          <w:rFonts w:ascii="Times New Roman" w:hAnsi="Times New Roman" w:cs="Times New Roman"/>
          <w:sz w:val="20"/>
          <w:szCs w:val="20"/>
        </w:rPr>
        <w:t>.</w:t>
      </w:r>
      <w:bookmarkStart w:id="0" w:name="_GoBack"/>
      <w:bookmarkEnd w:id="0"/>
    </w:p>
    <w:p w14:paraId="766424A4" w14:textId="77777777" w:rsidR="00452CCE" w:rsidRPr="005D5436" w:rsidRDefault="00637A79" w:rsidP="00726D04">
      <w:pPr>
        <w:pStyle w:val="ListParagraph"/>
        <w:numPr>
          <w:ilvl w:val="1"/>
          <w:numId w:val="4"/>
        </w:numPr>
        <w:tabs>
          <w:tab w:val="left" w:pos="1060"/>
        </w:tabs>
        <w:spacing w:line="293" w:lineRule="exact"/>
        <w:ind w:hanging="694"/>
        <w:jc w:val="both"/>
        <w:rPr>
          <w:rFonts w:ascii="Times New Roman" w:hAnsi="Times New Roman" w:cs="Times New Roman"/>
          <w:sz w:val="20"/>
          <w:szCs w:val="20"/>
        </w:rPr>
      </w:pPr>
      <w:r w:rsidRPr="005D5436">
        <w:rPr>
          <w:rFonts w:ascii="Times New Roman" w:hAnsi="Times New Roman" w:cs="Times New Roman"/>
          <w:b/>
          <w:sz w:val="20"/>
          <w:szCs w:val="20"/>
        </w:rPr>
        <w:t xml:space="preserve">“Material Event” </w:t>
      </w:r>
      <w:r w:rsidRPr="005D5436">
        <w:rPr>
          <w:rFonts w:ascii="Times New Roman" w:hAnsi="Times New Roman" w:cs="Times New Roman"/>
          <w:sz w:val="20"/>
          <w:szCs w:val="20"/>
        </w:rPr>
        <w:t>Reasonably be expected to affect a company's stock</w:t>
      </w:r>
      <w:r w:rsidRPr="005D5436">
        <w:rPr>
          <w:rFonts w:ascii="Times New Roman" w:hAnsi="Times New Roman" w:cs="Times New Roman"/>
          <w:spacing w:val="-6"/>
          <w:sz w:val="20"/>
          <w:szCs w:val="20"/>
        </w:rPr>
        <w:t xml:space="preserve"> </w:t>
      </w:r>
      <w:r w:rsidRPr="005D5436">
        <w:rPr>
          <w:rFonts w:ascii="Times New Roman" w:hAnsi="Times New Roman" w:cs="Times New Roman"/>
          <w:sz w:val="20"/>
          <w:szCs w:val="20"/>
        </w:rPr>
        <w:t>price.</w:t>
      </w:r>
    </w:p>
    <w:p w14:paraId="7ADEB0EB" w14:textId="77777777" w:rsidR="00452CCE" w:rsidRPr="005D5436" w:rsidRDefault="00637A79">
      <w:pPr>
        <w:pStyle w:val="ListParagraph"/>
        <w:numPr>
          <w:ilvl w:val="1"/>
          <w:numId w:val="4"/>
        </w:numPr>
        <w:tabs>
          <w:tab w:val="left" w:pos="1060"/>
        </w:tabs>
        <w:spacing w:before="52"/>
        <w:ind w:right="107" w:hanging="581"/>
        <w:jc w:val="both"/>
        <w:rPr>
          <w:rFonts w:ascii="Times New Roman" w:hAnsi="Times New Roman" w:cs="Times New Roman"/>
          <w:sz w:val="20"/>
          <w:szCs w:val="20"/>
        </w:rPr>
      </w:pPr>
      <w:r w:rsidRPr="005D5436">
        <w:rPr>
          <w:rFonts w:ascii="Times New Roman" w:hAnsi="Times New Roman" w:cs="Times New Roman"/>
          <w:b/>
          <w:sz w:val="20"/>
          <w:szCs w:val="20"/>
        </w:rPr>
        <w:t xml:space="preserve">“Material Unlisted Indian Subsidiary” </w:t>
      </w:r>
      <w:r w:rsidRPr="005D5436">
        <w:rPr>
          <w:rFonts w:ascii="Times New Roman" w:hAnsi="Times New Roman" w:cs="Times New Roman"/>
          <w:sz w:val="20"/>
          <w:szCs w:val="20"/>
        </w:rPr>
        <w:t>shall mean an unlisted subsidiary, incorporated in India, whose income or net worth (i.e. paid</w:t>
      </w:r>
      <w:r w:rsidRPr="005D5436">
        <w:rPr>
          <w:rFonts w:cs="Times New Roman"/>
          <w:sz w:val="20"/>
          <w:szCs w:val="20"/>
        </w:rPr>
        <w:t>‐</w:t>
      </w:r>
      <w:r w:rsidRPr="005D5436">
        <w:rPr>
          <w:rFonts w:ascii="Times New Roman" w:hAnsi="Times New Roman" w:cs="Times New Roman"/>
          <w:sz w:val="20"/>
          <w:szCs w:val="20"/>
        </w:rPr>
        <w:t>up capital and free reserves) exceeds 20% of its consolidated income or net worth respectively, of the listed holding company and its subsidiaries in the immediately preceding accounting year.</w:t>
      </w:r>
    </w:p>
    <w:p w14:paraId="4C3625A0" w14:textId="77777777" w:rsidR="00452CCE" w:rsidRPr="005D5436" w:rsidRDefault="00637A79">
      <w:pPr>
        <w:pStyle w:val="ListParagraph"/>
        <w:numPr>
          <w:ilvl w:val="1"/>
          <w:numId w:val="4"/>
        </w:numPr>
        <w:tabs>
          <w:tab w:val="left" w:pos="1060"/>
        </w:tabs>
        <w:ind w:right="109" w:hanging="526"/>
        <w:jc w:val="both"/>
        <w:rPr>
          <w:rFonts w:ascii="Times New Roman" w:hAnsi="Times New Roman" w:cs="Times New Roman"/>
          <w:sz w:val="20"/>
          <w:szCs w:val="20"/>
        </w:rPr>
      </w:pPr>
      <w:r w:rsidRPr="005D5436">
        <w:rPr>
          <w:rFonts w:ascii="Times New Roman" w:hAnsi="Times New Roman" w:cs="Times New Roman"/>
          <w:b/>
          <w:sz w:val="20"/>
          <w:szCs w:val="20"/>
        </w:rPr>
        <w:t xml:space="preserve">“Significant Transaction or Arrangement” </w:t>
      </w:r>
      <w:r w:rsidRPr="005D5436">
        <w:rPr>
          <w:rFonts w:ascii="Times New Roman" w:hAnsi="Times New Roman" w:cs="Times New Roman"/>
          <w:sz w:val="20"/>
          <w:szCs w:val="20"/>
        </w:rPr>
        <w:t>shall mean any individual transaction or arrangement that exceeds or is likely to exceed 10% of the total revenues or total expenses or total assets or total liabilities, as the case may be, of the material unlisted subsidiary for the immediately preceding accounting</w:t>
      </w:r>
      <w:r w:rsidRPr="005D5436">
        <w:rPr>
          <w:rFonts w:ascii="Times New Roman" w:hAnsi="Times New Roman" w:cs="Times New Roman"/>
          <w:spacing w:val="-5"/>
          <w:sz w:val="20"/>
          <w:szCs w:val="20"/>
        </w:rPr>
        <w:t xml:space="preserve"> </w:t>
      </w:r>
      <w:r w:rsidRPr="005D5436">
        <w:rPr>
          <w:rFonts w:ascii="Times New Roman" w:hAnsi="Times New Roman" w:cs="Times New Roman"/>
          <w:sz w:val="20"/>
          <w:szCs w:val="20"/>
        </w:rPr>
        <w:t>year.</w:t>
      </w:r>
    </w:p>
    <w:p w14:paraId="544E4783" w14:textId="77777777" w:rsidR="00452CCE" w:rsidRPr="005D5436" w:rsidRDefault="00452CCE">
      <w:pPr>
        <w:pStyle w:val="BodyText"/>
        <w:spacing w:before="10"/>
        <w:rPr>
          <w:rFonts w:ascii="Times New Roman" w:hAnsi="Times New Roman" w:cs="Times New Roman"/>
          <w:sz w:val="20"/>
          <w:szCs w:val="20"/>
        </w:rPr>
      </w:pPr>
    </w:p>
    <w:p w14:paraId="5A1A4501" w14:textId="77777777" w:rsidR="00452CCE" w:rsidRPr="005D5436" w:rsidRDefault="00637A79" w:rsidP="00F64979">
      <w:pPr>
        <w:pStyle w:val="Heading1"/>
        <w:numPr>
          <w:ilvl w:val="0"/>
          <w:numId w:val="4"/>
        </w:numPr>
        <w:tabs>
          <w:tab w:val="left" w:pos="767"/>
          <w:tab w:val="left" w:pos="768"/>
        </w:tabs>
        <w:spacing w:before="1"/>
        <w:ind w:right="107"/>
        <w:jc w:val="both"/>
        <w:rPr>
          <w:rFonts w:ascii="Times New Roman" w:hAnsi="Times New Roman" w:cs="Times New Roman"/>
          <w:sz w:val="20"/>
          <w:szCs w:val="20"/>
        </w:rPr>
      </w:pPr>
      <w:r w:rsidRPr="005D5436">
        <w:rPr>
          <w:rFonts w:ascii="Times New Roman" w:hAnsi="Times New Roman" w:cs="Times New Roman"/>
          <w:sz w:val="20"/>
          <w:szCs w:val="20"/>
        </w:rPr>
        <w:t>EVENTS WHICH ARE DEEMED TO BE MATERIAL EVENTS, THE COMPANY SHALL MAKE DISCLOSURE OF SUCH</w:t>
      </w:r>
      <w:r w:rsidRPr="005D5436">
        <w:rPr>
          <w:rFonts w:ascii="Times New Roman" w:hAnsi="Times New Roman" w:cs="Times New Roman"/>
          <w:spacing w:val="1"/>
          <w:sz w:val="20"/>
          <w:szCs w:val="20"/>
        </w:rPr>
        <w:t xml:space="preserve"> </w:t>
      </w:r>
      <w:r w:rsidRPr="005D5436">
        <w:rPr>
          <w:rFonts w:ascii="Times New Roman" w:hAnsi="Times New Roman" w:cs="Times New Roman"/>
          <w:sz w:val="20"/>
          <w:szCs w:val="20"/>
        </w:rPr>
        <w:t>EVENTS:</w:t>
      </w:r>
    </w:p>
    <w:p w14:paraId="3CD61E17" w14:textId="77777777" w:rsidR="00452CCE" w:rsidRPr="005D5436" w:rsidRDefault="00452CCE">
      <w:pPr>
        <w:pStyle w:val="BodyText"/>
        <w:spacing w:before="1"/>
        <w:rPr>
          <w:rFonts w:ascii="Times New Roman" w:hAnsi="Times New Roman" w:cs="Times New Roman"/>
          <w:b/>
          <w:sz w:val="20"/>
          <w:szCs w:val="20"/>
        </w:rPr>
      </w:pPr>
    </w:p>
    <w:p w14:paraId="7D4D3351" w14:textId="77777777" w:rsidR="00452CCE" w:rsidRPr="005D5436" w:rsidRDefault="00637A79">
      <w:pPr>
        <w:pStyle w:val="BodyText"/>
        <w:spacing w:before="1"/>
        <w:ind w:left="340" w:right="109"/>
        <w:jc w:val="both"/>
        <w:rPr>
          <w:rFonts w:ascii="Times New Roman" w:hAnsi="Times New Roman" w:cs="Times New Roman"/>
          <w:sz w:val="20"/>
          <w:szCs w:val="20"/>
        </w:rPr>
      </w:pPr>
      <w:r w:rsidRPr="005D5436">
        <w:rPr>
          <w:rFonts w:ascii="Times New Roman" w:hAnsi="Times New Roman" w:cs="Times New Roman"/>
          <w:sz w:val="20"/>
          <w:szCs w:val="20"/>
        </w:rPr>
        <w:t>The Company shall disclose all such material events which are spec</w:t>
      </w:r>
      <w:r w:rsidR="004D69D8" w:rsidRPr="005D5436">
        <w:rPr>
          <w:rFonts w:ascii="Times New Roman" w:hAnsi="Times New Roman" w:cs="Times New Roman"/>
          <w:sz w:val="20"/>
          <w:szCs w:val="20"/>
        </w:rPr>
        <w:t xml:space="preserve">ified in Para A of Part A </w:t>
      </w:r>
      <w:r w:rsidRPr="005D5436">
        <w:rPr>
          <w:rFonts w:ascii="Times New Roman" w:hAnsi="Times New Roman" w:cs="Times New Roman"/>
          <w:sz w:val="20"/>
          <w:szCs w:val="20"/>
        </w:rPr>
        <w:t>of Schedule III of the SEBI (LODR) Regulations, 2015.</w:t>
      </w:r>
    </w:p>
    <w:p w14:paraId="15B697E6" w14:textId="77777777" w:rsidR="00452CCE" w:rsidRPr="005D5436" w:rsidRDefault="00452CCE">
      <w:pPr>
        <w:pStyle w:val="BodyText"/>
        <w:spacing w:before="11"/>
        <w:rPr>
          <w:rFonts w:ascii="Times New Roman" w:hAnsi="Times New Roman" w:cs="Times New Roman"/>
          <w:sz w:val="20"/>
          <w:szCs w:val="20"/>
        </w:rPr>
      </w:pPr>
    </w:p>
    <w:p w14:paraId="18EE1492" w14:textId="77777777" w:rsidR="00452CCE" w:rsidRPr="005D5436" w:rsidRDefault="00637A79">
      <w:pPr>
        <w:pStyle w:val="BodyText"/>
        <w:ind w:left="340" w:right="110"/>
        <w:jc w:val="both"/>
        <w:rPr>
          <w:rFonts w:ascii="Times New Roman" w:hAnsi="Times New Roman" w:cs="Times New Roman"/>
          <w:sz w:val="20"/>
          <w:szCs w:val="20"/>
        </w:rPr>
      </w:pPr>
      <w:r w:rsidRPr="005D5436">
        <w:rPr>
          <w:rFonts w:ascii="Times New Roman" w:hAnsi="Times New Roman" w:cs="Times New Roman"/>
          <w:sz w:val="20"/>
          <w:szCs w:val="20"/>
        </w:rPr>
        <w:t xml:space="preserve">The Following shall be events upon occurrence of which company shall make disclosure to Stock Exchange without any application of the guidelines for materiality as specified in sub </w:t>
      </w:r>
      <w:r w:rsidRPr="005D5436">
        <w:rPr>
          <w:rFonts w:cs="Times New Roman"/>
          <w:sz w:val="20"/>
          <w:szCs w:val="20"/>
        </w:rPr>
        <w:t>‐</w:t>
      </w:r>
      <w:r w:rsidRPr="005D5436">
        <w:rPr>
          <w:rFonts w:ascii="Times New Roman" w:hAnsi="Times New Roman" w:cs="Times New Roman"/>
          <w:sz w:val="20"/>
          <w:szCs w:val="20"/>
        </w:rPr>
        <w:t xml:space="preserve"> regulation (2) of regulation (30): </w:t>
      </w:r>
      <w:r w:rsidRPr="005D5436">
        <w:rPr>
          <w:rFonts w:cs="Times New Roman"/>
          <w:sz w:val="20"/>
          <w:szCs w:val="20"/>
        </w:rPr>
        <w:t>‐</w:t>
      </w:r>
    </w:p>
    <w:p w14:paraId="0097D97E" w14:textId="77777777" w:rsidR="00336D7C" w:rsidRPr="005D5436" w:rsidRDefault="00336D7C">
      <w:pPr>
        <w:pStyle w:val="BodyText"/>
        <w:ind w:left="340" w:right="110"/>
        <w:jc w:val="both"/>
        <w:rPr>
          <w:rFonts w:ascii="Times New Roman" w:hAnsi="Times New Roman" w:cs="Times New Roman"/>
          <w:sz w:val="20"/>
          <w:szCs w:val="20"/>
        </w:rPr>
      </w:pPr>
    </w:p>
    <w:p w14:paraId="5C7F6FF1" w14:textId="77777777" w:rsidR="00452CCE" w:rsidRPr="005D5436" w:rsidRDefault="00637A79">
      <w:pPr>
        <w:pStyle w:val="ListParagraph"/>
        <w:numPr>
          <w:ilvl w:val="0"/>
          <w:numId w:val="3"/>
        </w:numPr>
        <w:tabs>
          <w:tab w:val="left" w:pos="907"/>
        </w:tabs>
        <w:ind w:right="110"/>
        <w:jc w:val="both"/>
        <w:rPr>
          <w:rFonts w:ascii="Times New Roman" w:hAnsi="Times New Roman" w:cs="Times New Roman"/>
          <w:sz w:val="20"/>
          <w:szCs w:val="20"/>
        </w:rPr>
      </w:pPr>
      <w:r w:rsidRPr="005D5436">
        <w:rPr>
          <w:rFonts w:ascii="Times New Roman" w:hAnsi="Times New Roman" w:cs="Times New Roman"/>
          <w:sz w:val="20"/>
          <w:szCs w:val="20"/>
        </w:rPr>
        <w:t xml:space="preserve">Acquisition(s) (including agreement to acquire), Scheme of Arrangement (amalgamation / merger / demerger / restructuring), or sale or disposal of any unit(s), division(s) or subsidiary of the Company or </w:t>
      </w:r>
      <w:r w:rsidRPr="005D5436">
        <w:rPr>
          <w:rFonts w:ascii="Times New Roman" w:hAnsi="Times New Roman" w:cs="Times New Roman"/>
          <w:sz w:val="20"/>
          <w:szCs w:val="20"/>
        </w:rPr>
        <w:lastRenderedPageBreak/>
        <w:t>any other</w:t>
      </w:r>
      <w:r w:rsidRPr="005D5436">
        <w:rPr>
          <w:rFonts w:ascii="Times New Roman" w:hAnsi="Times New Roman" w:cs="Times New Roman"/>
          <w:spacing w:val="-10"/>
          <w:sz w:val="20"/>
          <w:szCs w:val="20"/>
        </w:rPr>
        <w:t xml:space="preserve"> </w:t>
      </w:r>
      <w:r w:rsidRPr="005D5436">
        <w:rPr>
          <w:rFonts w:ascii="Times New Roman" w:hAnsi="Times New Roman" w:cs="Times New Roman"/>
          <w:sz w:val="20"/>
          <w:szCs w:val="20"/>
        </w:rPr>
        <w:t>restructuring.</w:t>
      </w:r>
    </w:p>
    <w:p w14:paraId="1FF66119" w14:textId="77777777" w:rsidR="00452CCE" w:rsidRPr="005D5436" w:rsidRDefault="00452CCE">
      <w:pPr>
        <w:pStyle w:val="BodyText"/>
        <w:spacing w:before="11"/>
        <w:rPr>
          <w:rFonts w:ascii="Times New Roman" w:hAnsi="Times New Roman" w:cs="Times New Roman"/>
          <w:sz w:val="20"/>
          <w:szCs w:val="20"/>
        </w:rPr>
      </w:pPr>
    </w:p>
    <w:p w14:paraId="49F7B447" w14:textId="77777777" w:rsidR="00452CCE" w:rsidRPr="005D5436" w:rsidRDefault="00637A79">
      <w:pPr>
        <w:pStyle w:val="ListParagraph"/>
        <w:numPr>
          <w:ilvl w:val="0"/>
          <w:numId w:val="3"/>
        </w:numPr>
        <w:tabs>
          <w:tab w:val="left" w:pos="907"/>
        </w:tabs>
        <w:ind w:right="109" w:hanging="608"/>
        <w:jc w:val="both"/>
        <w:rPr>
          <w:rFonts w:ascii="Times New Roman" w:hAnsi="Times New Roman" w:cs="Times New Roman"/>
          <w:sz w:val="20"/>
          <w:szCs w:val="20"/>
        </w:rPr>
      </w:pPr>
      <w:r w:rsidRPr="005D5436">
        <w:rPr>
          <w:rFonts w:ascii="Times New Roman" w:hAnsi="Times New Roman" w:cs="Times New Roman"/>
          <w:sz w:val="20"/>
          <w:szCs w:val="20"/>
        </w:rPr>
        <w:t>Issuance or forfeiture of securities, split or consolidation of shares, buyback of securities, any restriction on transferability of securities or alteration in terms or structure of existing securities including forfeiture, reissue of forfeited securities, alteration of calls, redemption of securities</w:t>
      </w:r>
      <w:r w:rsidRPr="005D5436">
        <w:rPr>
          <w:rFonts w:ascii="Times New Roman" w:hAnsi="Times New Roman" w:cs="Times New Roman"/>
          <w:spacing w:val="4"/>
          <w:sz w:val="20"/>
          <w:szCs w:val="20"/>
        </w:rPr>
        <w:t xml:space="preserve"> </w:t>
      </w:r>
      <w:r w:rsidRPr="005D5436">
        <w:rPr>
          <w:rFonts w:ascii="Times New Roman" w:hAnsi="Times New Roman" w:cs="Times New Roman"/>
          <w:sz w:val="20"/>
          <w:szCs w:val="20"/>
        </w:rPr>
        <w:t>etc.</w:t>
      </w:r>
    </w:p>
    <w:p w14:paraId="3ECBEA79" w14:textId="77777777" w:rsidR="00452CCE" w:rsidRPr="005D5436" w:rsidRDefault="00452CCE">
      <w:pPr>
        <w:pStyle w:val="BodyText"/>
        <w:spacing w:before="2"/>
        <w:rPr>
          <w:rFonts w:ascii="Times New Roman" w:hAnsi="Times New Roman" w:cs="Times New Roman"/>
          <w:sz w:val="20"/>
          <w:szCs w:val="20"/>
        </w:rPr>
      </w:pPr>
    </w:p>
    <w:p w14:paraId="2FEF0644" w14:textId="77777777" w:rsidR="00452CCE" w:rsidRPr="005D5436" w:rsidRDefault="00637A79">
      <w:pPr>
        <w:pStyle w:val="ListParagraph"/>
        <w:numPr>
          <w:ilvl w:val="0"/>
          <w:numId w:val="3"/>
        </w:numPr>
        <w:tabs>
          <w:tab w:val="left" w:pos="906"/>
          <w:tab w:val="left" w:pos="907"/>
        </w:tabs>
        <w:ind w:hanging="668"/>
        <w:jc w:val="left"/>
        <w:rPr>
          <w:rFonts w:ascii="Times New Roman" w:hAnsi="Times New Roman" w:cs="Times New Roman"/>
          <w:sz w:val="20"/>
          <w:szCs w:val="20"/>
        </w:rPr>
      </w:pPr>
      <w:r w:rsidRPr="005D5436">
        <w:rPr>
          <w:rFonts w:ascii="Times New Roman" w:hAnsi="Times New Roman" w:cs="Times New Roman"/>
          <w:sz w:val="20"/>
          <w:szCs w:val="20"/>
        </w:rPr>
        <w:t>Revision in Rating(s).</w:t>
      </w:r>
    </w:p>
    <w:p w14:paraId="7FD01E2A" w14:textId="77777777" w:rsidR="00452CCE" w:rsidRPr="005D5436" w:rsidRDefault="00452CCE">
      <w:pPr>
        <w:pStyle w:val="BodyText"/>
        <w:spacing w:before="12"/>
        <w:rPr>
          <w:rFonts w:ascii="Times New Roman" w:hAnsi="Times New Roman" w:cs="Times New Roman"/>
          <w:sz w:val="20"/>
          <w:szCs w:val="20"/>
        </w:rPr>
      </w:pPr>
    </w:p>
    <w:p w14:paraId="6E222BB0" w14:textId="77777777" w:rsidR="00452CCE" w:rsidRPr="005D5436" w:rsidRDefault="00637A79">
      <w:pPr>
        <w:pStyle w:val="ListParagraph"/>
        <w:numPr>
          <w:ilvl w:val="0"/>
          <w:numId w:val="3"/>
        </w:numPr>
        <w:tabs>
          <w:tab w:val="left" w:pos="907"/>
        </w:tabs>
        <w:ind w:right="109" w:hanging="682"/>
        <w:jc w:val="both"/>
        <w:rPr>
          <w:rFonts w:ascii="Times New Roman" w:hAnsi="Times New Roman" w:cs="Times New Roman"/>
          <w:sz w:val="20"/>
          <w:szCs w:val="20"/>
        </w:rPr>
      </w:pPr>
      <w:r w:rsidRPr="005D5436">
        <w:rPr>
          <w:rFonts w:ascii="Times New Roman" w:hAnsi="Times New Roman" w:cs="Times New Roman"/>
          <w:sz w:val="20"/>
          <w:szCs w:val="20"/>
        </w:rPr>
        <w:t>Outcome of Meetings of the board of directors. The Company shall disclose to the Exchange(s), within 30 minutes of the closure of the Board meeting, held to consider the</w:t>
      </w:r>
      <w:r w:rsidRPr="005D5436">
        <w:rPr>
          <w:rFonts w:ascii="Times New Roman" w:hAnsi="Times New Roman" w:cs="Times New Roman"/>
          <w:spacing w:val="-2"/>
          <w:sz w:val="20"/>
          <w:szCs w:val="20"/>
        </w:rPr>
        <w:t xml:space="preserve"> </w:t>
      </w:r>
      <w:r w:rsidRPr="005D5436">
        <w:rPr>
          <w:rFonts w:ascii="Times New Roman" w:hAnsi="Times New Roman" w:cs="Times New Roman"/>
          <w:sz w:val="20"/>
          <w:szCs w:val="20"/>
        </w:rPr>
        <w:t>following:</w:t>
      </w:r>
    </w:p>
    <w:p w14:paraId="2FF2F7A6" w14:textId="77777777" w:rsidR="00452CCE" w:rsidRPr="005D5436" w:rsidRDefault="00637A79">
      <w:pPr>
        <w:pStyle w:val="ListParagraph"/>
        <w:numPr>
          <w:ilvl w:val="1"/>
          <w:numId w:val="3"/>
        </w:numPr>
        <w:tabs>
          <w:tab w:val="left" w:pos="1333"/>
          <w:tab w:val="left" w:pos="1334"/>
        </w:tabs>
        <w:ind w:right="227"/>
        <w:rPr>
          <w:rFonts w:ascii="Times New Roman" w:hAnsi="Times New Roman" w:cs="Times New Roman"/>
          <w:sz w:val="20"/>
          <w:szCs w:val="20"/>
        </w:rPr>
      </w:pPr>
      <w:r w:rsidRPr="005D5436">
        <w:rPr>
          <w:rFonts w:ascii="Times New Roman" w:hAnsi="Times New Roman" w:cs="Times New Roman"/>
          <w:sz w:val="20"/>
          <w:szCs w:val="20"/>
        </w:rPr>
        <w:t>dividends and/or cash bonuses recommended or declared or the decision to pass any dividend and the date on which dividend shall be paid /</w:t>
      </w:r>
      <w:r w:rsidRPr="005D5436">
        <w:rPr>
          <w:rFonts w:ascii="Times New Roman" w:hAnsi="Times New Roman" w:cs="Times New Roman"/>
          <w:spacing w:val="-9"/>
          <w:sz w:val="20"/>
          <w:szCs w:val="20"/>
        </w:rPr>
        <w:t xml:space="preserve"> </w:t>
      </w:r>
      <w:r w:rsidRPr="005D5436">
        <w:rPr>
          <w:rFonts w:ascii="Times New Roman" w:hAnsi="Times New Roman" w:cs="Times New Roman"/>
          <w:sz w:val="20"/>
          <w:szCs w:val="20"/>
        </w:rPr>
        <w:t>dispatched;</w:t>
      </w:r>
    </w:p>
    <w:p w14:paraId="171366C3" w14:textId="77777777" w:rsidR="00452CCE" w:rsidRPr="005D5436" w:rsidRDefault="00637A79">
      <w:pPr>
        <w:pStyle w:val="ListParagraph"/>
        <w:numPr>
          <w:ilvl w:val="1"/>
          <w:numId w:val="3"/>
        </w:numPr>
        <w:tabs>
          <w:tab w:val="left" w:pos="1333"/>
          <w:tab w:val="left" w:pos="1334"/>
        </w:tabs>
        <w:spacing w:line="293" w:lineRule="exact"/>
        <w:rPr>
          <w:rFonts w:ascii="Times New Roman" w:hAnsi="Times New Roman" w:cs="Times New Roman"/>
          <w:sz w:val="20"/>
          <w:szCs w:val="20"/>
        </w:rPr>
      </w:pPr>
      <w:r w:rsidRPr="005D5436">
        <w:rPr>
          <w:rFonts w:ascii="Times New Roman" w:hAnsi="Times New Roman" w:cs="Times New Roman"/>
          <w:sz w:val="20"/>
          <w:szCs w:val="20"/>
        </w:rPr>
        <w:t>any cancellation of dividend with reasons</w:t>
      </w:r>
      <w:r w:rsidRPr="005D5436">
        <w:rPr>
          <w:rFonts w:ascii="Times New Roman" w:hAnsi="Times New Roman" w:cs="Times New Roman"/>
          <w:spacing w:val="-6"/>
          <w:sz w:val="20"/>
          <w:szCs w:val="20"/>
        </w:rPr>
        <w:t xml:space="preserve"> </w:t>
      </w:r>
      <w:r w:rsidRPr="005D5436">
        <w:rPr>
          <w:rFonts w:ascii="Times New Roman" w:hAnsi="Times New Roman" w:cs="Times New Roman"/>
          <w:sz w:val="20"/>
          <w:szCs w:val="20"/>
        </w:rPr>
        <w:t>thereof;</w:t>
      </w:r>
    </w:p>
    <w:p w14:paraId="5E59F6F1" w14:textId="77777777" w:rsidR="00452CCE" w:rsidRPr="005D5436" w:rsidRDefault="00637A79">
      <w:pPr>
        <w:pStyle w:val="ListParagraph"/>
        <w:numPr>
          <w:ilvl w:val="1"/>
          <w:numId w:val="3"/>
        </w:numPr>
        <w:tabs>
          <w:tab w:val="left" w:pos="1333"/>
          <w:tab w:val="left" w:pos="1334"/>
        </w:tabs>
        <w:rPr>
          <w:rFonts w:ascii="Times New Roman" w:hAnsi="Times New Roman" w:cs="Times New Roman"/>
          <w:sz w:val="20"/>
          <w:szCs w:val="20"/>
        </w:rPr>
      </w:pPr>
      <w:r w:rsidRPr="005D5436">
        <w:rPr>
          <w:rFonts w:ascii="Times New Roman" w:hAnsi="Times New Roman" w:cs="Times New Roman"/>
          <w:sz w:val="20"/>
          <w:szCs w:val="20"/>
        </w:rPr>
        <w:t>the decision on buyback of</w:t>
      </w:r>
      <w:r w:rsidRPr="005D5436">
        <w:rPr>
          <w:rFonts w:ascii="Times New Roman" w:hAnsi="Times New Roman" w:cs="Times New Roman"/>
          <w:spacing w:val="-2"/>
          <w:sz w:val="20"/>
          <w:szCs w:val="20"/>
        </w:rPr>
        <w:t xml:space="preserve"> </w:t>
      </w:r>
      <w:r w:rsidRPr="005D5436">
        <w:rPr>
          <w:rFonts w:ascii="Times New Roman" w:hAnsi="Times New Roman" w:cs="Times New Roman"/>
          <w:sz w:val="20"/>
          <w:szCs w:val="20"/>
        </w:rPr>
        <w:t>securities;</w:t>
      </w:r>
    </w:p>
    <w:p w14:paraId="3C636CEB" w14:textId="77777777" w:rsidR="00452CCE" w:rsidRPr="005D5436" w:rsidRDefault="00637A79">
      <w:pPr>
        <w:pStyle w:val="ListParagraph"/>
        <w:numPr>
          <w:ilvl w:val="1"/>
          <w:numId w:val="3"/>
        </w:numPr>
        <w:tabs>
          <w:tab w:val="left" w:pos="1333"/>
          <w:tab w:val="left" w:pos="1334"/>
        </w:tabs>
        <w:rPr>
          <w:rFonts w:ascii="Times New Roman" w:hAnsi="Times New Roman" w:cs="Times New Roman"/>
          <w:sz w:val="20"/>
          <w:szCs w:val="20"/>
        </w:rPr>
      </w:pPr>
      <w:r w:rsidRPr="005D5436">
        <w:rPr>
          <w:rFonts w:ascii="Times New Roman" w:hAnsi="Times New Roman" w:cs="Times New Roman"/>
          <w:sz w:val="20"/>
          <w:szCs w:val="20"/>
        </w:rPr>
        <w:t>the decision with respect to fund raising proposed to be</w:t>
      </w:r>
      <w:r w:rsidRPr="005D5436">
        <w:rPr>
          <w:rFonts w:ascii="Times New Roman" w:hAnsi="Times New Roman" w:cs="Times New Roman"/>
          <w:spacing w:val="-8"/>
          <w:sz w:val="20"/>
          <w:szCs w:val="20"/>
        </w:rPr>
        <w:t xml:space="preserve"> </w:t>
      </w:r>
      <w:r w:rsidRPr="005D5436">
        <w:rPr>
          <w:rFonts w:ascii="Times New Roman" w:hAnsi="Times New Roman" w:cs="Times New Roman"/>
          <w:sz w:val="20"/>
          <w:szCs w:val="20"/>
        </w:rPr>
        <w:t>undertaken;</w:t>
      </w:r>
    </w:p>
    <w:p w14:paraId="4D564664" w14:textId="77777777" w:rsidR="00452CCE" w:rsidRPr="005D5436" w:rsidRDefault="00637A79" w:rsidP="00BD6FE8">
      <w:pPr>
        <w:pStyle w:val="ListParagraph"/>
        <w:numPr>
          <w:ilvl w:val="1"/>
          <w:numId w:val="3"/>
        </w:numPr>
        <w:tabs>
          <w:tab w:val="left" w:pos="1333"/>
          <w:tab w:val="left" w:pos="1334"/>
        </w:tabs>
        <w:ind w:right="459"/>
        <w:rPr>
          <w:rFonts w:ascii="Times New Roman" w:hAnsi="Times New Roman" w:cs="Times New Roman"/>
          <w:sz w:val="20"/>
          <w:szCs w:val="20"/>
        </w:rPr>
      </w:pPr>
      <w:r w:rsidRPr="005D5436">
        <w:rPr>
          <w:rFonts w:ascii="Times New Roman" w:hAnsi="Times New Roman" w:cs="Times New Roman"/>
          <w:sz w:val="20"/>
          <w:szCs w:val="20"/>
        </w:rPr>
        <w:t>increase in capital by issue of bonus shares through capitalization including</w:t>
      </w:r>
      <w:r w:rsidRPr="005D5436">
        <w:rPr>
          <w:rFonts w:ascii="Times New Roman" w:hAnsi="Times New Roman" w:cs="Times New Roman"/>
          <w:spacing w:val="-26"/>
          <w:sz w:val="20"/>
          <w:szCs w:val="20"/>
        </w:rPr>
        <w:t xml:space="preserve"> </w:t>
      </w:r>
      <w:r w:rsidRPr="005D5436">
        <w:rPr>
          <w:rFonts w:ascii="Times New Roman" w:hAnsi="Times New Roman" w:cs="Times New Roman"/>
          <w:sz w:val="20"/>
          <w:szCs w:val="20"/>
        </w:rPr>
        <w:t>the date on which such bonus shares shall be credited /</w:t>
      </w:r>
      <w:r w:rsidRPr="005D5436">
        <w:rPr>
          <w:rFonts w:ascii="Times New Roman" w:hAnsi="Times New Roman" w:cs="Times New Roman"/>
          <w:spacing w:val="-8"/>
          <w:sz w:val="20"/>
          <w:szCs w:val="20"/>
        </w:rPr>
        <w:t xml:space="preserve"> </w:t>
      </w:r>
      <w:r w:rsidRPr="005D5436">
        <w:rPr>
          <w:rFonts w:ascii="Times New Roman" w:hAnsi="Times New Roman" w:cs="Times New Roman"/>
          <w:sz w:val="20"/>
          <w:szCs w:val="20"/>
        </w:rPr>
        <w:t>dispatched;</w:t>
      </w:r>
    </w:p>
    <w:p w14:paraId="01D74E10" w14:textId="77777777" w:rsidR="00452CCE" w:rsidRPr="005D5436" w:rsidRDefault="00637A79" w:rsidP="003F3436">
      <w:pPr>
        <w:pStyle w:val="ListParagraph"/>
        <w:numPr>
          <w:ilvl w:val="1"/>
          <w:numId w:val="3"/>
        </w:numPr>
        <w:tabs>
          <w:tab w:val="left" w:pos="1333"/>
          <w:tab w:val="left" w:pos="1334"/>
        </w:tabs>
        <w:ind w:right="459"/>
        <w:jc w:val="both"/>
        <w:rPr>
          <w:rFonts w:ascii="Times New Roman" w:hAnsi="Times New Roman" w:cs="Times New Roman"/>
          <w:sz w:val="20"/>
          <w:szCs w:val="20"/>
        </w:rPr>
      </w:pPr>
      <w:r w:rsidRPr="005D5436">
        <w:rPr>
          <w:rFonts w:ascii="Times New Roman" w:hAnsi="Times New Roman" w:cs="Times New Roman"/>
          <w:sz w:val="20"/>
          <w:szCs w:val="20"/>
        </w:rPr>
        <w:t>reissue of forfeited shares or securities, or the issue of shares or securities held in reserve for future issue or the creation in any form or manner of new shares or securities or any other rights, privileges or benefits to subscribe to;</w:t>
      </w:r>
    </w:p>
    <w:p w14:paraId="3BDA6639" w14:textId="77777777" w:rsidR="00452CCE" w:rsidRPr="005D5436" w:rsidRDefault="00637A79">
      <w:pPr>
        <w:pStyle w:val="ListParagraph"/>
        <w:numPr>
          <w:ilvl w:val="1"/>
          <w:numId w:val="3"/>
        </w:numPr>
        <w:tabs>
          <w:tab w:val="left" w:pos="1333"/>
          <w:tab w:val="left" w:pos="1334"/>
        </w:tabs>
        <w:spacing w:line="292" w:lineRule="exact"/>
        <w:rPr>
          <w:rFonts w:ascii="Times New Roman" w:hAnsi="Times New Roman" w:cs="Times New Roman"/>
          <w:sz w:val="20"/>
          <w:szCs w:val="20"/>
        </w:rPr>
      </w:pPr>
      <w:r w:rsidRPr="005D5436">
        <w:rPr>
          <w:rFonts w:ascii="Times New Roman" w:hAnsi="Times New Roman" w:cs="Times New Roman"/>
          <w:sz w:val="20"/>
          <w:szCs w:val="20"/>
        </w:rPr>
        <w:t>short particulars of any other alterations of capital, including</w:t>
      </w:r>
      <w:r w:rsidRPr="005D5436">
        <w:rPr>
          <w:rFonts w:ascii="Times New Roman" w:hAnsi="Times New Roman" w:cs="Times New Roman"/>
          <w:spacing w:val="-12"/>
          <w:sz w:val="20"/>
          <w:szCs w:val="20"/>
        </w:rPr>
        <w:t xml:space="preserve"> </w:t>
      </w:r>
      <w:r w:rsidRPr="005D5436">
        <w:rPr>
          <w:rFonts w:ascii="Times New Roman" w:hAnsi="Times New Roman" w:cs="Times New Roman"/>
          <w:sz w:val="20"/>
          <w:szCs w:val="20"/>
        </w:rPr>
        <w:t>calls;</w:t>
      </w:r>
    </w:p>
    <w:p w14:paraId="44906B35" w14:textId="77777777" w:rsidR="00452CCE" w:rsidRPr="005D5436" w:rsidRDefault="00637A79">
      <w:pPr>
        <w:pStyle w:val="ListParagraph"/>
        <w:numPr>
          <w:ilvl w:val="1"/>
          <w:numId w:val="3"/>
        </w:numPr>
        <w:tabs>
          <w:tab w:val="left" w:pos="1333"/>
          <w:tab w:val="left" w:pos="1334"/>
        </w:tabs>
        <w:rPr>
          <w:rFonts w:ascii="Times New Roman" w:hAnsi="Times New Roman" w:cs="Times New Roman"/>
          <w:sz w:val="20"/>
          <w:szCs w:val="20"/>
        </w:rPr>
      </w:pPr>
      <w:r w:rsidRPr="005D5436">
        <w:rPr>
          <w:rFonts w:ascii="Times New Roman" w:hAnsi="Times New Roman" w:cs="Times New Roman"/>
          <w:sz w:val="20"/>
          <w:szCs w:val="20"/>
        </w:rPr>
        <w:t>financial</w:t>
      </w:r>
      <w:r w:rsidRPr="005D5436">
        <w:rPr>
          <w:rFonts w:ascii="Times New Roman" w:hAnsi="Times New Roman" w:cs="Times New Roman"/>
          <w:spacing w:val="-1"/>
          <w:sz w:val="20"/>
          <w:szCs w:val="20"/>
        </w:rPr>
        <w:t xml:space="preserve"> </w:t>
      </w:r>
      <w:r w:rsidRPr="005D5436">
        <w:rPr>
          <w:rFonts w:ascii="Times New Roman" w:hAnsi="Times New Roman" w:cs="Times New Roman"/>
          <w:sz w:val="20"/>
          <w:szCs w:val="20"/>
        </w:rPr>
        <w:t>results;</w:t>
      </w:r>
    </w:p>
    <w:p w14:paraId="736D9A35" w14:textId="77777777" w:rsidR="00452CCE" w:rsidRPr="005D5436" w:rsidRDefault="00637A79">
      <w:pPr>
        <w:pStyle w:val="ListParagraph"/>
        <w:numPr>
          <w:ilvl w:val="1"/>
          <w:numId w:val="3"/>
        </w:numPr>
        <w:tabs>
          <w:tab w:val="left" w:pos="1333"/>
          <w:tab w:val="left" w:pos="1334"/>
        </w:tabs>
        <w:rPr>
          <w:rFonts w:ascii="Times New Roman" w:hAnsi="Times New Roman" w:cs="Times New Roman"/>
          <w:sz w:val="20"/>
          <w:szCs w:val="20"/>
        </w:rPr>
      </w:pPr>
      <w:r w:rsidRPr="005D5436">
        <w:rPr>
          <w:rFonts w:ascii="Times New Roman" w:hAnsi="Times New Roman" w:cs="Times New Roman"/>
          <w:sz w:val="20"/>
          <w:szCs w:val="20"/>
        </w:rPr>
        <w:t>decision on voluntary delisting by the Company from stock</w:t>
      </w:r>
      <w:r w:rsidRPr="005D5436">
        <w:rPr>
          <w:rFonts w:ascii="Times New Roman" w:hAnsi="Times New Roman" w:cs="Times New Roman"/>
          <w:spacing w:val="-11"/>
          <w:sz w:val="20"/>
          <w:szCs w:val="20"/>
        </w:rPr>
        <w:t xml:space="preserve"> </w:t>
      </w:r>
      <w:r w:rsidRPr="005D5436">
        <w:rPr>
          <w:rFonts w:ascii="Times New Roman" w:hAnsi="Times New Roman" w:cs="Times New Roman"/>
          <w:sz w:val="20"/>
          <w:szCs w:val="20"/>
        </w:rPr>
        <w:t>exchange(s).</w:t>
      </w:r>
    </w:p>
    <w:p w14:paraId="4EC1C7CF" w14:textId="77777777" w:rsidR="00452CCE" w:rsidRPr="005D5436" w:rsidRDefault="00452CCE">
      <w:pPr>
        <w:pStyle w:val="BodyText"/>
        <w:rPr>
          <w:rFonts w:ascii="Times New Roman" w:hAnsi="Times New Roman" w:cs="Times New Roman"/>
          <w:sz w:val="20"/>
          <w:szCs w:val="20"/>
        </w:rPr>
      </w:pPr>
    </w:p>
    <w:p w14:paraId="7B1B210B" w14:textId="77777777" w:rsidR="00452CCE" w:rsidRPr="005D5436" w:rsidRDefault="00637A79">
      <w:pPr>
        <w:pStyle w:val="ListParagraph"/>
        <w:numPr>
          <w:ilvl w:val="0"/>
          <w:numId w:val="3"/>
        </w:numPr>
        <w:tabs>
          <w:tab w:val="left" w:pos="907"/>
        </w:tabs>
        <w:ind w:right="109" w:hanging="605"/>
        <w:jc w:val="both"/>
        <w:rPr>
          <w:rFonts w:ascii="Times New Roman" w:hAnsi="Times New Roman" w:cs="Times New Roman"/>
          <w:sz w:val="20"/>
          <w:szCs w:val="20"/>
        </w:rPr>
      </w:pPr>
      <w:r w:rsidRPr="005D5436">
        <w:rPr>
          <w:rFonts w:ascii="Times New Roman" w:hAnsi="Times New Roman" w:cs="Times New Roman"/>
          <w:sz w:val="20"/>
          <w:szCs w:val="20"/>
        </w:rPr>
        <w:t>Agreement(s), family settlement agreement(s) (to the extent that it impacts management and control of the listed entity), Agreement(s) / treaty(ies) / contract(s) with media companies) which are binding and not in normal course of business, revision(s) or amendment(s) and termination(s)</w:t>
      </w:r>
      <w:r w:rsidRPr="005D5436">
        <w:rPr>
          <w:rFonts w:ascii="Times New Roman" w:hAnsi="Times New Roman" w:cs="Times New Roman"/>
          <w:spacing w:val="-4"/>
          <w:sz w:val="20"/>
          <w:szCs w:val="20"/>
        </w:rPr>
        <w:t xml:space="preserve"> </w:t>
      </w:r>
      <w:r w:rsidRPr="005D5436">
        <w:rPr>
          <w:rFonts w:ascii="Times New Roman" w:hAnsi="Times New Roman" w:cs="Times New Roman"/>
          <w:sz w:val="20"/>
          <w:szCs w:val="20"/>
        </w:rPr>
        <w:t>thereof.</w:t>
      </w:r>
    </w:p>
    <w:p w14:paraId="5ACFA2D3" w14:textId="77777777" w:rsidR="00452CCE" w:rsidRPr="005D5436" w:rsidRDefault="00452CCE">
      <w:pPr>
        <w:pStyle w:val="BodyText"/>
        <w:rPr>
          <w:rFonts w:ascii="Times New Roman" w:hAnsi="Times New Roman" w:cs="Times New Roman"/>
          <w:sz w:val="20"/>
          <w:szCs w:val="20"/>
        </w:rPr>
      </w:pPr>
    </w:p>
    <w:p w14:paraId="6AA64DFE" w14:textId="77777777" w:rsidR="00452CCE" w:rsidRPr="005D5436" w:rsidRDefault="00637A79">
      <w:pPr>
        <w:pStyle w:val="ListParagraph"/>
        <w:numPr>
          <w:ilvl w:val="0"/>
          <w:numId w:val="3"/>
        </w:numPr>
        <w:tabs>
          <w:tab w:val="left" w:pos="907"/>
        </w:tabs>
        <w:spacing w:before="1"/>
        <w:ind w:right="110" w:hanging="682"/>
        <w:jc w:val="both"/>
        <w:rPr>
          <w:rFonts w:ascii="Times New Roman" w:hAnsi="Times New Roman" w:cs="Times New Roman"/>
          <w:sz w:val="20"/>
          <w:szCs w:val="20"/>
        </w:rPr>
      </w:pPr>
      <w:r w:rsidRPr="005D5436">
        <w:rPr>
          <w:rFonts w:ascii="Times New Roman" w:hAnsi="Times New Roman" w:cs="Times New Roman"/>
          <w:sz w:val="20"/>
          <w:szCs w:val="20"/>
        </w:rPr>
        <w:t>Fraud / defaults by promoter or key managerial personnel or by Company or arrest of key managerial personnel or</w:t>
      </w:r>
      <w:r w:rsidRPr="005D5436">
        <w:rPr>
          <w:rFonts w:ascii="Times New Roman" w:hAnsi="Times New Roman" w:cs="Times New Roman"/>
          <w:spacing w:val="-4"/>
          <w:sz w:val="20"/>
          <w:szCs w:val="20"/>
        </w:rPr>
        <w:t xml:space="preserve"> </w:t>
      </w:r>
      <w:r w:rsidRPr="005D5436">
        <w:rPr>
          <w:rFonts w:ascii="Times New Roman" w:hAnsi="Times New Roman" w:cs="Times New Roman"/>
          <w:sz w:val="20"/>
          <w:szCs w:val="20"/>
        </w:rPr>
        <w:t>promoter.</w:t>
      </w:r>
    </w:p>
    <w:p w14:paraId="090B0535" w14:textId="77777777" w:rsidR="00452CCE" w:rsidRPr="005D5436" w:rsidRDefault="00452CCE">
      <w:pPr>
        <w:pStyle w:val="BodyText"/>
        <w:spacing w:before="11"/>
        <w:rPr>
          <w:rFonts w:ascii="Times New Roman" w:hAnsi="Times New Roman" w:cs="Times New Roman"/>
          <w:sz w:val="20"/>
          <w:szCs w:val="20"/>
        </w:rPr>
      </w:pPr>
    </w:p>
    <w:p w14:paraId="06D3865E" w14:textId="77777777" w:rsidR="00452CCE" w:rsidRPr="005D5436" w:rsidRDefault="00637A79">
      <w:pPr>
        <w:pStyle w:val="ListParagraph"/>
        <w:numPr>
          <w:ilvl w:val="0"/>
          <w:numId w:val="3"/>
        </w:numPr>
        <w:tabs>
          <w:tab w:val="left" w:pos="907"/>
        </w:tabs>
        <w:ind w:right="110" w:hanging="742"/>
        <w:jc w:val="both"/>
        <w:rPr>
          <w:rFonts w:ascii="Times New Roman" w:hAnsi="Times New Roman" w:cs="Times New Roman"/>
          <w:sz w:val="20"/>
          <w:szCs w:val="20"/>
        </w:rPr>
      </w:pPr>
      <w:r w:rsidRPr="005D5436">
        <w:rPr>
          <w:rFonts w:ascii="Times New Roman" w:hAnsi="Times New Roman" w:cs="Times New Roman"/>
          <w:sz w:val="20"/>
          <w:szCs w:val="20"/>
        </w:rPr>
        <w:t>Change in directors, key managerial personnel (Managing Director, Chief Executive Officer, Chief Financial Officer, Company Secretary, etc.), Auditor and Compliance Officer.</w:t>
      </w:r>
    </w:p>
    <w:p w14:paraId="7BD67BE4" w14:textId="77777777" w:rsidR="00452CCE" w:rsidRPr="005D5436" w:rsidRDefault="00452CCE">
      <w:pPr>
        <w:pStyle w:val="BodyText"/>
        <w:rPr>
          <w:rFonts w:ascii="Times New Roman" w:hAnsi="Times New Roman" w:cs="Times New Roman"/>
          <w:sz w:val="20"/>
          <w:szCs w:val="20"/>
        </w:rPr>
      </w:pPr>
    </w:p>
    <w:p w14:paraId="6E5BDF6C" w14:textId="77777777" w:rsidR="00452CCE" w:rsidRPr="005D5436" w:rsidRDefault="00637A79">
      <w:pPr>
        <w:pStyle w:val="ListParagraph"/>
        <w:numPr>
          <w:ilvl w:val="0"/>
          <w:numId w:val="3"/>
        </w:numPr>
        <w:tabs>
          <w:tab w:val="left" w:pos="906"/>
          <w:tab w:val="left" w:pos="907"/>
        </w:tabs>
        <w:ind w:hanging="803"/>
        <w:jc w:val="left"/>
        <w:rPr>
          <w:rFonts w:ascii="Times New Roman" w:hAnsi="Times New Roman" w:cs="Times New Roman"/>
          <w:sz w:val="20"/>
          <w:szCs w:val="20"/>
        </w:rPr>
      </w:pPr>
      <w:r w:rsidRPr="005D5436">
        <w:rPr>
          <w:rFonts w:ascii="Times New Roman" w:hAnsi="Times New Roman" w:cs="Times New Roman"/>
          <w:sz w:val="20"/>
          <w:szCs w:val="20"/>
        </w:rPr>
        <w:t>Appointment or discontinuation of share transfer</w:t>
      </w:r>
      <w:r w:rsidRPr="005D5436">
        <w:rPr>
          <w:rFonts w:ascii="Times New Roman" w:hAnsi="Times New Roman" w:cs="Times New Roman"/>
          <w:spacing w:val="-5"/>
          <w:sz w:val="20"/>
          <w:szCs w:val="20"/>
        </w:rPr>
        <w:t xml:space="preserve"> </w:t>
      </w:r>
      <w:r w:rsidRPr="005D5436">
        <w:rPr>
          <w:rFonts w:ascii="Times New Roman" w:hAnsi="Times New Roman" w:cs="Times New Roman"/>
          <w:sz w:val="20"/>
          <w:szCs w:val="20"/>
        </w:rPr>
        <w:t>agent.</w:t>
      </w:r>
    </w:p>
    <w:p w14:paraId="55972D57" w14:textId="77777777" w:rsidR="00452CCE" w:rsidRPr="005D5436" w:rsidRDefault="00452CCE">
      <w:pPr>
        <w:pStyle w:val="BodyText"/>
        <w:spacing w:before="11"/>
        <w:rPr>
          <w:rFonts w:ascii="Times New Roman" w:hAnsi="Times New Roman" w:cs="Times New Roman"/>
          <w:sz w:val="20"/>
          <w:szCs w:val="20"/>
        </w:rPr>
      </w:pPr>
    </w:p>
    <w:p w14:paraId="23B34D3B" w14:textId="77777777" w:rsidR="00452CCE" w:rsidRPr="005D5436" w:rsidRDefault="00637A79">
      <w:pPr>
        <w:pStyle w:val="ListParagraph"/>
        <w:numPr>
          <w:ilvl w:val="0"/>
          <w:numId w:val="3"/>
        </w:numPr>
        <w:tabs>
          <w:tab w:val="left" w:pos="906"/>
          <w:tab w:val="left" w:pos="907"/>
        </w:tabs>
        <w:spacing w:before="1"/>
        <w:ind w:hanging="671"/>
        <w:jc w:val="left"/>
        <w:rPr>
          <w:rFonts w:ascii="Times New Roman" w:hAnsi="Times New Roman" w:cs="Times New Roman"/>
          <w:sz w:val="20"/>
          <w:szCs w:val="20"/>
        </w:rPr>
      </w:pPr>
      <w:r w:rsidRPr="005D5436">
        <w:rPr>
          <w:rFonts w:ascii="Times New Roman" w:hAnsi="Times New Roman" w:cs="Times New Roman"/>
          <w:sz w:val="20"/>
          <w:szCs w:val="20"/>
        </w:rPr>
        <w:t>Corporate debt restructuring.</w:t>
      </w:r>
    </w:p>
    <w:p w14:paraId="30A6961E" w14:textId="77777777" w:rsidR="00452CCE" w:rsidRPr="005D5436" w:rsidRDefault="00452CCE">
      <w:pPr>
        <w:pStyle w:val="BodyText"/>
        <w:spacing w:before="11"/>
        <w:rPr>
          <w:rFonts w:ascii="Times New Roman" w:hAnsi="Times New Roman" w:cs="Times New Roman"/>
          <w:sz w:val="20"/>
          <w:szCs w:val="20"/>
        </w:rPr>
      </w:pPr>
    </w:p>
    <w:p w14:paraId="01D9D3E5" w14:textId="77777777" w:rsidR="00452CCE" w:rsidRPr="005D5436" w:rsidRDefault="00637A79">
      <w:pPr>
        <w:pStyle w:val="ListParagraph"/>
        <w:numPr>
          <w:ilvl w:val="0"/>
          <w:numId w:val="3"/>
        </w:numPr>
        <w:tabs>
          <w:tab w:val="left" w:pos="906"/>
          <w:tab w:val="left" w:pos="907"/>
        </w:tabs>
        <w:ind w:hanging="611"/>
        <w:jc w:val="left"/>
        <w:rPr>
          <w:rFonts w:ascii="Times New Roman" w:hAnsi="Times New Roman" w:cs="Times New Roman"/>
          <w:sz w:val="20"/>
          <w:szCs w:val="20"/>
        </w:rPr>
      </w:pPr>
      <w:r w:rsidRPr="005D5436">
        <w:rPr>
          <w:rFonts w:ascii="Times New Roman" w:hAnsi="Times New Roman" w:cs="Times New Roman"/>
          <w:sz w:val="20"/>
          <w:szCs w:val="20"/>
        </w:rPr>
        <w:t>One</w:t>
      </w:r>
      <w:r w:rsidRPr="005D5436">
        <w:rPr>
          <w:rFonts w:cs="Times New Roman"/>
          <w:sz w:val="20"/>
          <w:szCs w:val="20"/>
        </w:rPr>
        <w:t>‐</w:t>
      </w:r>
      <w:r w:rsidRPr="005D5436">
        <w:rPr>
          <w:rFonts w:ascii="Times New Roman" w:hAnsi="Times New Roman" w:cs="Times New Roman"/>
          <w:sz w:val="20"/>
          <w:szCs w:val="20"/>
        </w:rPr>
        <w:t>time settlement with a</w:t>
      </w:r>
      <w:r w:rsidRPr="005D5436">
        <w:rPr>
          <w:rFonts w:ascii="Times New Roman" w:hAnsi="Times New Roman" w:cs="Times New Roman"/>
          <w:spacing w:val="2"/>
          <w:sz w:val="20"/>
          <w:szCs w:val="20"/>
        </w:rPr>
        <w:t xml:space="preserve"> </w:t>
      </w:r>
      <w:r w:rsidRPr="005D5436">
        <w:rPr>
          <w:rFonts w:ascii="Times New Roman" w:hAnsi="Times New Roman" w:cs="Times New Roman"/>
          <w:sz w:val="20"/>
          <w:szCs w:val="20"/>
        </w:rPr>
        <w:t>bank.</w:t>
      </w:r>
    </w:p>
    <w:p w14:paraId="1CA2A740" w14:textId="77777777" w:rsidR="00452CCE" w:rsidRPr="005D5436" w:rsidRDefault="00452CCE">
      <w:pPr>
        <w:pStyle w:val="BodyText"/>
        <w:spacing w:before="2"/>
        <w:rPr>
          <w:rFonts w:ascii="Times New Roman" w:hAnsi="Times New Roman" w:cs="Times New Roman"/>
          <w:sz w:val="20"/>
          <w:szCs w:val="20"/>
        </w:rPr>
      </w:pPr>
    </w:p>
    <w:p w14:paraId="26F6F86D" w14:textId="77777777" w:rsidR="00452CCE" w:rsidRPr="005D5436" w:rsidRDefault="00637A79">
      <w:pPr>
        <w:pStyle w:val="ListParagraph"/>
        <w:numPr>
          <w:ilvl w:val="0"/>
          <w:numId w:val="3"/>
        </w:numPr>
        <w:tabs>
          <w:tab w:val="left" w:pos="906"/>
          <w:tab w:val="left" w:pos="907"/>
        </w:tabs>
        <w:spacing w:before="1"/>
        <w:ind w:hanging="671"/>
        <w:jc w:val="left"/>
        <w:rPr>
          <w:rFonts w:ascii="Times New Roman" w:hAnsi="Times New Roman" w:cs="Times New Roman"/>
          <w:sz w:val="20"/>
          <w:szCs w:val="20"/>
        </w:rPr>
      </w:pPr>
      <w:r w:rsidRPr="005D5436">
        <w:rPr>
          <w:rFonts w:ascii="Times New Roman" w:hAnsi="Times New Roman" w:cs="Times New Roman"/>
          <w:sz w:val="20"/>
          <w:szCs w:val="20"/>
        </w:rPr>
        <w:t xml:space="preserve">Reference to BIFR and winding </w:t>
      </w:r>
      <w:r w:rsidRPr="005D5436">
        <w:rPr>
          <w:rFonts w:cs="Times New Roman"/>
          <w:sz w:val="20"/>
          <w:szCs w:val="20"/>
        </w:rPr>
        <w:t>‐</w:t>
      </w:r>
      <w:r w:rsidRPr="005D5436">
        <w:rPr>
          <w:rFonts w:ascii="Times New Roman" w:hAnsi="Times New Roman" w:cs="Times New Roman"/>
          <w:sz w:val="20"/>
          <w:szCs w:val="20"/>
        </w:rPr>
        <w:t xml:space="preserve"> up petition filed by any party</w:t>
      </w:r>
      <w:r w:rsidRPr="005D5436">
        <w:rPr>
          <w:rFonts w:ascii="Times New Roman" w:hAnsi="Times New Roman" w:cs="Times New Roman"/>
          <w:spacing w:val="-12"/>
          <w:sz w:val="20"/>
          <w:szCs w:val="20"/>
        </w:rPr>
        <w:t xml:space="preserve"> </w:t>
      </w:r>
      <w:r w:rsidRPr="005D5436">
        <w:rPr>
          <w:rFonts w:ascii="Times New Roman" w:hAnsi="Times New Roman" w:cs="Times New Roman"/>
          <w:sz w:val="20"/>
          <w:szCs w:val="20"/>
        </w:rPr>
        <w:t>/creditors.</w:t>
      </w:r>
    </w:p>
    <w:p w14:paraId="6BA54496" w14:textId="77777777" w:rsidR="00452CCE" w:rsidRPr="005D5436" w:rsidRDefault="00452CCE">
      <w:pPr>
        <w:pStyle w:val="BodyText"/>
        <w:spacing w:before="11"/>
        <w:rPr>
          <w:rFonts w:ascii="Times New Roman" w:hAnsi="Times New Roman" w:cs="Times New Roman"/>
          <w:sz w:val="20"/>
          <w:szCs w:val="20"/>
        </w:rPr>
      </w:pPr>
    </w:p>
    <w:p w14:paraId="3E452A46" w14:textId="77777777" w:rsidR="00452CCE" w:rsidRPr="005D5436" w:rsidRDefault="00637A79">
      <w:pPr>
        <w:pStyle w:val="ListParagraph"/>
        <w:numPr>
          <w:ilvl w:val="0"/>
          <w:numId w:val="3"/>
        </w:numPr>
        <w:tabs>
          <w:tab w:val="left" w:pos="907"/>
        </w:tabs>
        <w:ind w:right="109" w:hanging="730"/>
        <w:jc w:val="both"/>
        <w:rPr>
          <w:rFonts w:ascii="Times New Roman" w:hAnsi="Times New Roman" w:cs="Times New Roman"/>
          <w:sz w:val="20"/>
          <w:szCs w:val="20"/>
        </w:rPr>
      </w:pPr>
      <w:r w:rsidRPr="005D5436">
        <w:rPr>
          <w:rFonts w:ascii="Times New Roman" w:hAnsi="Times New Roman" w:cs="Times New Roman"/>
          <w:sz w:val="20"/>
          <w:szCs w:val="20"/>
        </w:rPr>
        <w:t>Issuance of Notices, call letters, resolutions and circulars sent to shareholders, debenture holders or creditors or any class of them or advertised in the media by the listed</w:t>
      </w:r>
      <w:r w:rsidRPr="005D5436">
        <w:rPr>
          <w:rFonts w:ascii="Times New Roman" w:hAnsi="Times New Roman" w:cs="Times New Roman"/>
          <w:spacing w:val="-2"/>
          <w:sz w:val="20"/>
          <w:szCs w:val="20"/>
        </w:rPr>
        <w:t xml:space="preserve"> </w:t>
      </w:r>
      <w:r w:rsidRPr="005D5436">
        <w:rPr>
          <w:rFonts w:ascii="Times New Roman" w:hAnsi="Times New Roman" w:cs="Times New Roman"/>
          <w:sz w:val="20"/>
          <w:szCs w:val="20"/>
        </w:rPr>
        <w:t>entity.</w:t>
      </w:r>
    </w:p>
    <w:p w14:paraId="7E739BF6" w14:textId="77777777" w:rsidR="00452CCE" w:rsidRPr="005D5436" w:rsidRDefault="00452CCE">
      <w:pPr>
        <w:pStyle w:val="BodyText"/>
        <w:rPr>
          <w:rFonts w:ascii="Times New Roman" w:hAnsi="Times New Roman" w:cs="Times New Roman"/>
          <w:sz w:val="20"/>
          <w:szCs w:val="20"/>
        </w:rPr>
      </w:pPr>
    </w:p>
    <w:p w14:paraId="34333915" w14:textId="77777777" w:rsidR="00452CCE" w:rsidRPr="005D5436" w:rsidRDefault="00637A79">
      <w:pPr>
        <w:pStyle w:val="ListParagraph"/>
        <w:numPr>
          <w:ilvl w:val="0"/>
          <w:numId w:val="3"/>
        </w:numPr>
        <w:tabs>
          <w:tab w:val="left" w:pos="906"/>
          <w:tab w:val="left" w:pos="907"/>
        </w:tabs>
        <w:ind w:hanging="793"/>
        <w:jc w:val="left"/>
        <w:rPr>
          <w:rFonts w:ascii="Times New Roman" w:hAnsi="Times New Roman" w:cs="Times New Roman"/>
          <w:sz w:val="20"/>
          <w:szCs w:val="20"/>
        </w:rPr>
      </w:pPr>
      <w:r w:rsidRPr="005D5436">
        <w:rPr>
          <w:rFonts w:ascii="Times New Roman" w:hAnsi="Times New Roman" w:cs="Times New Roman"/>
          <w:sz w:val="20"/>
          <w:szCs w:val="20"/>
        </w:rPr>
        <w:t>Proceedings of Annual and extraordinary general meetings of the</w:t>
      </w:r>
      <w:r w:rsidRPr="005D5436">
        <w:rPr>
          <w:rFonts w:ascii="Times New Roman" w:hAnsi="Times New Roman" w:cs="Times New Roman"/>
          <w:spacing w:val="-10"/>
          <w:sz w:val="20"/>
          <w:szCs w:val="20"/>
        </w:rPr>
        <w:t xml:space="preserve"> </w:t>
      </w:r>
      <w:r w:rsidRPr="005D5436">
        <w:rPr>
          <w:rFonts w:ascii="Times New Roman" w:hAnsi="Times New Roman" w:cs="Times New Roman"/>
          <w:sz w:val="20"/>
          <w:szCs w:val="20"/>
        </w:rPr>
        <w:t>Company.</w:t>
      </w:r>
    </w:p>
    <w:p w14:paraId="2C21B944" w14:textId="77777777" w:rsidR="00452CCE" w:rsidRPr="005D5436" w:rsidRDefault="00452CCE">
      <w:pPr>
        <w:pStyle w:val="BodyText"/>
        <w:spacing w:before="11"/>
        <w:rPr>
          <w:rFonts w:ascii="Times New Roman" w:hAnsi="Times New Roman" w:cs="Times New Roman"/>
          <w:sz w:val="20"/>
          <w:szCs w:val="20"/>
        </w:rPr>
      </w:pPr>
    </w:p>
    <w:p w14:paraId="24CD28FE" w14:textId="77777777" w:rsidR="00452CCE" w:rsidRPr="005D5436" w:rsidRDefault="00637A79">
      <w:pPr>
        <w:pStyle w:val="ListParagraph"/>
        <w:numPr>
          <w:ilvl w:val="0"/>
          <w:numId w:val="3"/>
        </w:numPr>
        <w:tabs>
          <w:tab w:val="left" w:pos="906"/>
          <w:tab w:val="left" w:pos="907"/>
        </w:tabs>
        <w:spacing w:before="1"/>
        <w:ind w:hanging="807"/>
        <w:jc w:val="left"/>
        <w:rPr>
          <w:rFonts w:ascii="Times New Roman" w:hAnsi="Times New Roman" w:cs="Times New Roman"/>
          <w:sz w:val="20"/>
          <w:szCs w:val="20"/>
        </w:rPr>
      </w:pPr>
      <w:r w:rsidRPr="005D5436">
        <w:rPr>
          <w:rFonts w:ascii="Times New Roman" w:hAnsi="Times New Roman" w:cs="Times New Roman"/>
          <w:sz w:val="20"/>
          <w:szCs w:val="20"/>
        </w:rPr>
        <w:t>Amendments to memorandum and articles of association of listed entity, in</w:t>
      </w:r>
      <w:r w:rsidRPr="005D5436">
        <w:rPr>
          <w:rFonts w:ascii="Times New Roman" w:hAnsi="Times New Roman" w:cs="Times New Roman"/>
          <w:spacing w:val="-17"/>
          <w:sz w:val="20"/>
          <w:szCs w:val="20"/>
        </w:rPr>
        <w:t xml:space="preserve"> </w:t>
      </w:r>
      <w:r w:rsidRPr="005D5436">
        <w:rPr>
          <w:rFonts w:ascii="Times New Roman" w:hAnsi="Times New Roman" w:cs="Times New Roman"/>
          <w:sz w:val="20"/>
          <w:szCs w:val="20"/>
        </w:rPr>
        <w:t>brief.</w:t>
      </w:r>
    </w:p>
    <w:p w14:paraId="6DAA5018" w14:textId="77777777" w:rsidR="00452CCE" w:rsidRPr="005D5436" w:rsidRDefault="00452CCE">
      <w:pPr>
        <w:pStyle w:val="BodyText"/>
        <w:spacing w:before="11"/>
        <w:rPr>
          <w:rFonts w:ascii="Times New Roman" w:hAnsi="Times New Roman" w:cs="Times New Roman"/>
          <w:sz w:val="20"/>
          <w:szCs w:val="20"/>
        </w:rPr>
      </w:pPr>
    </w:p>
    <w:p w14:paraId="39CF8EEC" w14:textId="77777777" w:rsidR="00452CCE" w:rsidRPr="005D5436" w:rsidRDefault="00637A79">
      <w:pPr>
        <w:pStyle w:val="ListParagraph"/>
        <w:numPr>
          <w:ilvl w:val="0"/>
          <w:numId w:val="3"/>
        </w:numPr>
        <w:tabs>
          <w:tab w:val="left" w:pos="907"/>
        </w:tabs>
        <w:ind w:right="110" w:hanging="747"/>
        <w:jc w:val="both"/>
        <w:rPr>
          <w:rFonts w:ascii="Times New Roman" w:hAnsi="Times New Roman" w:cs="Times New Roman"/>
          <w:sz w:val="20"/>
          <w:szCs w:val="20"/>
        </w:rPr>
      </w:pPr>
      <w:r w:rsidRPr="005D5436">
        <w:rPr>
          <w:rFonts w:ascii="Times New Roman" w:hAnsi="Times New Roman" w:cs="Times New Roman"/>
          <w:sz w:val="20"/>
          <w:szCs w:val="20"/>
        </w:rPr>
        <w:t>Schedule of Analyst or institutional investor meet and presentations on financial results made by the Company to analysts or institutional</w:t>
      </w:r>
      <w:r w:rsidRPr="005D5436">
        <w:rPr>
          <w:rFonts w:ascii="Times New Roman" w:hAnsi="Times New Roman" w:cs="Times New Roman"/>
          <w:spacing w:val="-10"/>
          <w:sz w:val="20"/>
          <w:szCs w:val="20"/>
        </w:rPr>
        <w:t xml:space="preserve"> </w:t>
      </w:r>
      <w:r w:rsidRPr="005D5436">
        <w:rPr>
          <w:rFonts w:ascii="Times New Roman" w:hAnsi="Times New Roman" w:cs="Times New Roman"/>
          <w:sz w:val="20"/>
          <w:szCs w:val="20"/>
        </w:rPr>
        <w:t>investors;</w:t>
      </w:r>
    </w:p>
    <w:p w14:paraId="6AAAC448" w14:textId="77777777" w:rsidR="00452CCE" w:rsidRPr="005D5436" w:rsidRDefault="00452CCE">
      <w:pPr>
        <w:pStyle w:val="BodyText"/>
        <w:spacing w:before="2"/>
        <w:rPr>
          <w:rFonts w:ascii="Times New Roman" w:hAnsi="Times New Roman" w:cs="Times New Roman"/>
          <w:sz w:val="20"/>
          <w:szCs w:val="20"/>
        </w:rPr>
      </w:pPr>
    </w:p>
    <w:p w14:paraId="3438E21D" w14:textId="77777777" w:rsidR="00452CCE" w:rsidRPr="005D5436" w:rsidRDefault="00637A79">
      <w:pPr>
        <w:pStyle w:val="Heading1"/>
        <w:numPr>
          <w:ilvl w:val="0"/>
          <w:numId w:val="4"/>
        </w:numPr>
        <w:tabs>
          <w:tab w:val="left" w:pos="767"/>
          <w:tab w:val="left" w:pos="768"/>
        </w:tabs>
        <w:ind w:right="106"/>
        <w:rPr>
          <w:rFonts w:ascii="Times New Roman" w:hAnsi="Times New Roman" w:cs="Times New Roman"/>
          <w:sz w:val="20"/>
          <w:szCs w:val="20"/>
        </w:rPr>
      </w:pPr>
      <w:r w:rsidRPr="005D5436">
        <w:rPr>
          <w:rFonts w:ascii="Times New Roman" w:hAnsi="Times New Roman" w:cs="Times New Roman"/>
          <w:sz w:val="20"/>
          <w:szCs w:val="20"/>
        </w:rPr>
        <w:t>EVENTS WHICH ARE DEPENDENT ON APPLICATION OF GUIDELINES; THE COMPANY SHALL MAKE DISCLOSURE OF SUCH</w:t>
      </w:r>
      <w:r w:rsidRPr="005D5436">
        <w:rPr>
          <w:rFonts w:ascii="Times New Roman" w:hAnsi="Times New Roman" w:cs="Times New Roman"/>
          <w:spacing w:val="2"/>
          <w:sz w:val="20"/>
          <w:szCs w:val="20"/>
        </w:rPr>
        <w:t xml:space="preserve"> </w:t>
      </w:r>
      <w:r w:rsidRPr="005D5436">
        <w:rPr>
          <w:rFonts w:ascii="Times New Roman" w:hAnsi="Times New Roman" w:cs="Times New Roman"/>
          <w:sz w:val="20"/>
          <w:szCs w:val="20"/>
        </w:rPr>
        <w:t>EVENTS:</w:t>
      </w:r>
    </w:p>
    <w:p w14:paraId="054731DA" w14:textId="77777777" w:rsidR="00452CCE" w:rsidRPr="005D5436" w:rsidRDefault="00452CCE">
      <w:pPr>
        <w:pStyle w:val="BodyText"/>
        <w:rPr>
          <w:rFonts w:ascii="Times New Roman" w:hAnsi="Times New Roman" w:cs="Times New Roman"/>
          <w:b/>
          <w:sz w:val="20"/>
          <w:szCs w:val="20"/>
        </w:rPr>
      </w:pPr>
    </w:p>
    <w:p w14:paraId="17503E55" w14:textId="77777777" w:rsidR="00452CCE" w:rsidRPr="005D5436" w:rsidRDefault="00637A79">
      <w:pPr>
        <w:pStyle w:val="BodyText"/>
        <w:ind w:left="340" w:right="29"/>
        <w:rPr>
          <w:rFonts w:ascii="Times New Roman" w:hAnsi="Times New Roman" w:cs="Times New Roman"/>
          <w:sz w:val="20"/>
          <w:szCs w:val="20"/>
        </w:rPr>
      </w:pPr>
      <w:r w:rsidRPr="005D5436">
        <w:rPr>
          <w:rFonts w:ascii="Times New Roman" w:hAnsi="Times New Roman" w:cs="Times New Roman"/>
          <w:sz w:val="20"/>
          <w:szCs w:val="20"/>
        </w:rPr>
        <w:t>The Company shall disclose all such material events specified in Para B of Part A of Schedule III of the LODR Regulation subject to application of guidelines for materiality.</w:t>
      </w:r>
    </w:p>
    <w:p w14:paraId="7C73F6F3" w14:textId="77777777" w:rsidR="00452CCE" w:rsidRPr="005D5436" w:rsidRDefault="00452CCE">
      <w:pPr>
        <w:pStyle w:val="BodyText"/>
        <w:spacing w:before="9"/>
        <w:rPr>
          <w:rFonts w:ascii="Times New Roman" w:hAnsi="Times New Roman" w:cs="Times New Roman"/>
          <w:sz w:val="20"/>
          <w:szCs w:val="20"/>
        </w:rPr>
      </w:pPr>
    </w:p>
    <w:p w14:paraId="07D5D1B3" w14:textId="77777777" w:rsidR="00452CCE" w:rsidRPr="005D5436" w:rsidRDefault="00637A79">
      <w:pPr>
        <w:pStyle w:val="BodyText"/>
        <w:spacing w:before="51"/>
        <w:ind w:left="340" w:right="110"/>
        <w:jc w:val="both"/>
        <w:rPr>
          <w:rFonts w:ascii="Times New Roman" w:hAnsi="Times New Roman" w:cs="Times New Roman"/>
          <w:sz w:val="20"/>
          <w:szCs w:val="20"/>
        </w:rPr>
      </w:pPr>
      <w:r w:rsidRPr="005D5436">
        <w:rPr>
          <w:rFonts w:ascii="Times New Roman" w:hAnsi="Times New Roman" w:cs="Times New Roman"/>
          <w:sz w:val="20"/>
          <w:szCs w:val="20"/>
        </w:rPr>
        <w:t xml:space="preserve">The Following shall be events upon occurrence of which company shall make disclosure to Stock Exchange </w:t>
      </w:r>
      <w:r w:rsidRPr="005D5436">
        <w:rPr>
          <w:rFonts w:ascii="Times New Roman" w:hAnsi="Times New Roman" w:cs="Times New Roman"/>
          <w:sz w:val="20"/>
          <w:szCs w:val="20"/>
        </w:rPr>
        <w:lastRenderedPageBreak/>
        <w:t>subject to application of the guidelines for materiality as specified in sub</w:t>
      </w:r>
      <w:r w:rsidRPr="005D5436">
        <w:rPr>
          <w:rFonts w:cs="Times New Roman"/>
          <w:sz w:val="20"/>
          <w:szCs w:val="20"/>
        </w:rPr>
        <w:t>‐</w:t>
      </w:r>
      <w:r w:rsidRPr="005D5436">
        <w:rPr>
          <w:rFonts w:ascii="Times New Roman" w:hAnsi="Times New Roman" w:cs="Times New Roman"/>
          <w:sz w:val="20"/>
          <w:szCs w:val="20"/>
        </w:rPr>
        <w:t xml:space="preserve"> regulation (3) of regulation (30</w:t>
      </w:r>
      <w:proofErr w:type="gramStart"/>
      <w:r w:rsidRPr="005D5436">
        <w:rPr>
          <w:rFonts w:ascii="Times New Roman" w:hAnsi="Times New Roman" w:cs="Times New Roman"/>
          <w:sz w:val="20"/>
          <w:szCs w:val="20"/>
        </w:rPr>
        <w:t>) :</w:t>
      </w:r>
      <w:proofErr w:type="gramEnd"/>
    </w:p>
    <w:p w14:paraId="30DA7899" w14:textId="77777777" w:rsidR="00452CCE" w:rsidRPr="005D5436" w:rsidRDefault="00452CCE">
      <w:pPr>
        <w:pStyle w:val="BodyText"/>
        <w:spacing w:before="12"/>
        <w:rPr>
          <w:rFonts w:ascii="Times New Roman" w:hAnsi="Times New Roman" w:cs="Times New Roman"/>
          <w:sz w:val="20"/>
          <w:szCs w:val="20"/>
        </w:rPr>
      </w:pPr>
    </w:p>
    <w:p w14:paraId="485164BE" w14:textId="77777777" w:rsidR="00452CCE" w:rsidRPr="005D5436" w:rsidRDefault="00637A79">
      <w:pPr>
        <w:pStyle w:val="Heading1"/>
        <w:numPr>
          <w:ilvl w:val="0"/>
          <w:numId w:val="2"/>
        </w:numPr>
        <w:tabs>
          <w:tab w:val="left" w:pos="907"/>
        </w:tabs>
        <w:ind w:right="108"/>
        <w:jc w:val="both"/>
        <w:rPr>
          <w:rFonts w:ascii="Times New Roman" w:hAnsi="Times New Roman" w:cs="Times New Roman"/>
          <w:sz w:val="20"/>
          <w:szCs w:val="20"/>
        </w:rPr>
      </w:pPr>
      <w:r w:rsidRPr="005D5436">
        <w:rPr>
          <w:rFonts w:ascii="Times New Roman" w:hAnsi="Times New Roman" w:cs="Times New Roman"/>
          <w:sz w:val="20"/>
          <w:szCs w:val="20"/>
        </w:rPr>
        <w:t>Commencement or any postponement in the date of commencement of commercial production or commercial operations of any</w:t>
      </w:r>
      <w:r w:rsidRPr="005D5436">
        <w:rPr>
          <w:rFonts w:ascii="Times New Roman" w:hAnsi="Times New Roman" w:cs="Times New Roman"/>
          <w:spacing w:val="-6"/>
          <w:sz w:val="20"/>
          <w:szCs w:val="20"/>
        </w:rPr>
        <w:t xml:space="preserve"> </w:t>
      </w:r>
      <w:r w:rsidRPr="005D5436">
        <w:rPr>
          <w:rFonts w:ascii="Times New Roman" w:hAnsi="Times New Roman" w:cs="Times New Roman"/>
          <w:sz w:val="20"/>
          <w:szCs w:val="20"/>
        </w:rPr>
        <w:t>unit/division.</w:t>
      </w:r>
    </w:p>
    <w:p w14:paraId="75929AB9" w14:textId="77777777" w:rsidR="00452CCE" w:rsidRPr="005D5436" w:rsidRDefault="00452CCE">
      <w:pPr>
        <w:pStyle w:val="BodyText"/>
        <w:spacing w:before="11"/>
        <w:rPr>
          <w:rFonts w:ascii="Times New Roman" w:hAnsi="Times New Roman" w:cs="Times New Roman"/>
          <w:b/>
          <w:sz w:val="20"/>
          <w:szCs w:val="20"/>
        </w:rPr>
      </w:pPr>
    </w:p>
    <w:p w14:paraId="144692E9" w14:textId="77777777" w:rsidR="00452CCE" w:rsidRPr="005D5436" w:rsidRDefault="00637A79">
      <w:pPr>
        <w:pStyle w:val="BodyText"/>
        <w:spacing w:before="1"/>
        <w:ind w:left="339" w:right="108"/>
        <w:jc w:val="both"/>
        <w:rPr>
          <w:rFonts w:ascii="Times New Roman" w:hAnsi="Times New Roman" w:cs="Times New Roman"/>
          <w:sz w:val="20"/>
          <w:szCs w:val="20"/>
        </w:rPr>
      </w:pPr>
      <w:r w:rsidRPr="005D5436">
        <w:rPr>
          <w:rFonts w:ascii="Times New Roman" w:hAnsi="Times New Roman" w:cs="Times New Roman"/>
          <w:b/>
          <w:sz w:val="20"/>
          <w:szCs w:val="20"/>
        </w:rPr>
        <w:t xml:space="preserve">Materiality: - </w:t>
      </w:r>
      <w:r w:rsidRPr="005D5436">
        <w:rPr>
          <w:rFonts w:ascii="Times New Roman" w:hAnsi="Times New Roman" w:cs="Times New Roman"/>
          <w:sz w:val="20"/>
          <w:szCs w:val="20"/>
        </w:rPr>
        <w:t>Commencement or postponement of commercial production directly influences share price of the Company. Therefore, the event shall be considered as material event, if the turnover from such proposed business is exceeding 10% of the total turnover in the preceding financial year’s audited financial results.</w:t>
      </w:r>
    </w:p>
    <w:p w14:paraId="727EB71A" w14:textId="77777777" w:rsidR="00452CCE" w:rsidRPr="005D5436" w:rsidRDefault="00452CCE">
      <w:pPr>
        <w:pStyle w:val="BodyText"/>
        <w:spacing w:before="11"/>
        <w:rPr>
          <w:rFonts w:ascii="Times New Roman" w:hAnsi="Times New Roman" w:cs="Times New Roman"/>
          <w:sz w:val="20"/>
          <w:szCs w:val="20"/>
        </w:rPr>
      </w:pPr>
    </w:p>
    <w:p w14:paraId="02436513" w14:textId="77777777" w:rsidR="00452CCE" w:rsidRPr="005D5436" w:rsidRDefault="00637A79" w:rsidP="00BB7DD1">
      <w:pPr>
        <w:pStyle w:val="Heading1"/>
        <w:numPr>
          <w:ilvl w:val="0"/>
          <w:numId w:val="2"/>
        </w:numPr>
        <w:tabs>
          <w:tab w:val="left" w:pos="907"/>
        </w:tabs>
        <w:ind w:right="107" w:hanging="617"/>
        <w:jc w:val="both"/>
        <w:rPr>
          <w:rFonts w:ascii="Times New Roman" w:hAnsi="Times New Roman" w:cs="Times New Roman"/>
          <w:sz w:val="20"/>
          <w:szCs w:val="20"/>
        </w:rPr>
      </w:pPr>
      <w:r w:rsidRPr="005D5436">
        <w:rPr>
          <w:rFonts w:ascii="Times New Roman" w:hAnsi="Times New Roman" w:cs="Times New Roman"/>
          <w:sz w:val="20"/>
          <w:szCs w:val="20"/>
        </w:rPr>
        <w:t>Change in the general character or nature of business brought about by arrangements for strategic, technical, manufacturing, or marketing tie-up, adoption of new lines of business or closure of operations of any unit/division (entirety or piecemeal)</w:t>
      </w:r>
    </w:p>
    <w:p w14:paraId="6E892A7E" w14:textId="77777777" w:rsidR="00452CCE" w:rsidRPr="005D5436" w:rsidRDefault="00BB7DD1" w:rsidP="00BB7DD1">
      <w:pPr>
        <w:pStyle w:val="BodyText"/>
        <w:tabs>
          <w:tab w:val="left" w:pos="3940"/>
        </w:tabs>
        <w:spacing w:before="1"/>
        <w:rPr>
          <w:rFonts w:ascii="Times New Roman" w:hAnsi="Times New Roman" w:cs="Times New Roman"/>
          <w:b/>
          <w:sz w:val="20"/>
          <w:szCs w:val="20"/>
        </w:rPr>
      </w:pPr>
      <w:r w:rsidRPr="005D5436">
        <w:rPr>
          <w:rFonts w:ascii="Times New Roman" w:hAnsi="Times New Roman" w:cs="Times New Roman"/>
          <w:b/>
          <w:sz w:val="20"/>
          <w:szCs w:val="20"/>
        </w:rPr>
        <w:tab/>
      </w:r>
    </w:p>
    <w:p w14:paraId="1F302481" w14:textId="77777777" w:rsidR="00452CCE" w:rsidRPr="005D5436" w:rsidRDefault="00637A79">
      <w:pPr>
        <w:pStyle w:val="BodyText"/>
        <w:ind w:left="340" w:right="108"/>
        <w:jc w:val="both"/>
        <w:rPr>
          <w:rFonts w:ascii="Times New Roman" w:hAnsi="Times New Roman" w:cs="Times New Roman"/>
          <w:sz w:val="20"/>
          <w:szCs w:val="20"/>
        </w:rPr>
      </w:pPr>
      <w:r w:rsidRPr="005D5436">
        <w:rPr>
          <w:rFonts w:ascii="Times New Roman" w:hAnsi="Times New Roman" w:cs="Times New Roman"/>
          <w:b/>
          <w:sz w:val="20"/>
          <w:szCs w:val="20"/>
        </w:rPr>
        <w:t xml:space="preserve">Materiality: - </w:t>
      </w:r>
      <w:r w:rsidRPr="005D5436">
        <w:rPr>
          <w:rFonts w:ascii="Times New Roman" w:hAnsi="Times New Roman" w:cs="Times New Roman"/>
          <w:sz w:val="20"/>
          <w:szCs w:val="20"/>
        </w:rPr>
        <w:t>Change in the general character or nature of business brought about by arrangements for strategic, technical, manufacturing, or marketing tie</w:t>
      </w:r>
      <w:r w:rsidRPr="005D5436">
        <w:rPr>
          <w:rFonts w:cs="Times New Roman"/>
          <w:sz w:val="20"/>
          <w:szCs w:val="20"/>
        </w:rPr>
        <w:t>‐</w:t>
      </w:r>
      <w:r w:rsidRPr="005D5436">
        <w:rPr>
          <w:rFonts w:ascii="Times New Roman" w:hAnsi="Times New Roman" w:cs="Times New Roman"/>
          <w:sz w:val="20"/>
          <w:szCs w:val="20"/>
        </w:rPr>
        <w:t>up, adoption of new lines of business or closure of operations of any unit/division may affect company’s share price directly or indirectly and omission of the events or information is likely to result in significant market reaction. Therefore, the event shall be considered as material event, if the turnover from such new changed business is exceeding 10% of the total turnover in the preceding financial year’s audited financial</w:t>
      </w:r>
      <w:r w:rsidRPr="005D5436">
        <w:rPr>
          <w:rFonts w:ascii="Times New Roman" w:hAnsi="Times New Roman" w:cs="Times New Roman"/>
          <w:spacing w:val="-3"/>
          <w:sz w:val="20"/>
          <w:szCs w:val="20"/>
        </w:rPr>
        <w:t xml:space="preserve"> </w:t>
      </w:r>
      <w:r w:rsidRPr="005D5436">
        <w:rPr>
          <w:rFonts w:ascii="Times New Roman" w:hAnsi="Times New Roman" w:cs="Times New Roman"/>
          <w:sz w:val="20"/>
          <w:szCs w:val="20"/>
        </w:rPr>
        <w:t>results.</w:t>
      </w:r>
    </w:p>
    <w:p w14:paraId="14F535AB" w14:textId="77777777" w:rsidR="004D0B0C" w:rsidRPr="005D5436" w:rsidRDefault="004D0B0C">
      <w:pPr>
        <w:pStyle w:val="BodyText"/>
        <w:ind w:left="340" w:right="108"/>
        <w:jc w:val="both"/>
        <w:rPr>
          <w:rFonts w:ascii="Times New Roman" w:hAnsi="Times New Roman" w:cs="Times New Roman"/>
          <w:sz w:val="20"/>
          <w:szCs w:val="20"/>
        </w:rPr>
      </w:pPr>
    </w:p>
    <w:p w14:paraId="1E189B91" w14:textId="77777777" w:rsidR="00452CCE" w:rsidRPr="005D5436" w:rsidRDefault="00637A79">
      <w:pPr>
        <w:pStyle w:val="Heading1"/>
        <w:numPr>
          <w:ilvl w:val="0"/>
          <w:numId w:val="2"/>
        </w:numPr>
        <w:tabs>
          <w:tab w:val="left" w:pos="906"/>
          <w:tab w:val="left" w:pos="907"/>
        </w:tabs>
        <w:ind w:hanging="539"/>
        <w:jc w:val="left"/>
        <w:rPr>
          <w:rFonts w:ascii="Times New Roman" w:hAnsi="Times New Roman" w:cs="Times New Roman"/>
          <w:sz w:val="20"/>
          <w:szCs w:val="20"/>
        </w:rPr>
      </w:pPr>
      <w:r w:rsidRPr="005D5436">
        <w:rPr>
          <w:rFonts w:ascii="Times New Roman" w:hAnsi="Times New Roman" w:cs="Times New Roman"/>
          <w:sz w:val="20"/>
          <w:szCs w:val="20"/>
        </w:rPr>
        <w:t>Capacity addition or product launch</w:t>
      </w:r>
    </w:p>
    <w:p w14:paraId="3114D73A" w14:textId="77777777" w:rsidR="00452CCE" w:rsidRPr="005D5436" w:rsidRDefault="00452CCE">
      <w:pPr>
        <w:pStyle w:val="BodyText"/>
        <w:spacing w:before="2"/>
        <w:rPr>
          <w:rFonts w:ascii="Times New Roman" w:hAnsi="Times New Roman" w:cs="Times New Roman"/>
          <w:b/>
          <w:sz w:val="20"/>
          <w:szCs w:val="20"/>
        </w:rPr>
      </w:pPr>
    </w:p>
    <w:p w14:paraId="0791A5D7" w14:textId="77777777" w:rsidR="00452CCE" w:rsidRPr="005D5436" w:rsidRDefault="00637A79">
      <w:pPr>
        <w:pStyle w:val="BodyText"/>
        <w:ind w:left="339" w:right="107"/>
        <w:jc w:val="both"/>
        <w:rPr>
          <w:rFonts w:ascii="Times New Roman" w:hAnsi="Times New Roman" w:cs="Times New Roman"/>
          <w:sz w:val="20"/>
          <w:szCs w:val="20"/>
        </w:rPr>
      </w:pPr>
      <w:r w:rsidRPr="005D5436">
        <w:rPr>
          <w:rFonts w:ascii="Times New Roman" w:hAnsi="Times New Roman" w:cs="Times New Roman"/>
          <w:b/>
          <w:sz w:val="20"/>
          <w:szCs w:val="20"/>
        </w:rPr>
        <w:t xml:space="preserve">Materiality: - </w:t>
      </w:r>
      <w:r w:rsidRPr="005D5436">
        <w:rPr>
          <w:rFonts w:ascii="Times New Roman" w:hAnsi="Times New Roman" w:cs="Times New Roman"/>
          <w:sz w:val="20"/>
          <w:szCs w:val="20"/>
        </w:rPr>
        <w:t>Increasing capacity of existing plant or unit of the Company and launching any new product automatically increases the goodwill of the Company and helps to improve brand building, therefore, the event shall be considered as material event, if the turnover from such proposed business is exceeding 10% of the total turnover in the preceding financial year’s audited financial results.</w:t>
      </w:r>
    </w:p>
    <w:p w14:paraId="7993CD71" w14:textId="77777777" w:rsidR="00452CCE" w:rsidRPr="005D5436" w:rsidRDefault="00452CCE">
      <w:pPr>
        <w:pStyle w:val="BodyText"/>
        <w:spacing w:before="11"/>
        <w:rPr>
          <w:rFonts w:ascii="Times New Roman" w:hAnsi="Times New Roman" w:cs="Times New Roman"/>
          <w:sz w:val="20"/>
          <w:szCs w:val="20"/>
        </w:rPr>
      </w:pPr>
    </w:p>
    <w:p w14:paraId="363D6BED" w14:textId="77777777" w:rsidR="00452CCE" w:rsidRPr="005D5436" w:rsidRDefault="00637A79">
      <w:pPr>
        <w:pStyle w:val="Heading1"/>
        <w:numPr>
          <w:ilvl w:val="0"/>
          <w:numId w:val="2"/>
        </w:numPr>
        <w:tabs>
          <w:tab w:val="left" w:pos="907"/>
        </w:tabs>
        <w:ind w:right="114"/>
        <w:jc w:val="both"/>
        <w:rPr>
          <w:rFonts w:ascii="Times New Roman" w:hAnsi="Times New Roman" w:cs="Times New Roman"/>
          <w:sz w:val="20"/>
          <w:szCs w:val="20"/>
        </w:rPr>
      </w:pPr>
      <w:r w:rsidRPr="005D5436">
        <w:rPr>
          <w:rFonts w:ascii="Times New Roman" w:hAnsi="Times New Roman" w:cs="Times New Roman"/>
          <w:sz w:val="20"/>
          <w:szCs w:val="20"/>
        </w:rPr>
        <w:t>Awarding, bagging / receiving, amendment or termination of awarded / bagged orders / contracts not in the normal course of</w:t>
      </w:r>
      <w:r w:rsidRPr="005D5436">
        <w:rPr>
          <w:rFonts w:ascii="Times New Roman" w:hAnsi="Times New Roman" w:cs="Times New Roman"/>
          <w:spacing w:val="-7"/>
          <w:sz w:val="20"/>
          <w:szCs w:val="20"/>
        </w:rPr>
        <w:t xml:space="preserve"> </w:t>
      </w:r>
      <w:r w:rsidRPr="005D5436">
        <w:rPr>
          <w:rFonts w:ascii="Times New Roman" w:hAnsi="Times New Roman" w:cs="Times New Roman"/>
          <w:sz w:val="20"/>
          <w:szCs w:val="20"/>
        </w:rPr>
        <w:t>business.</w:t>
      </w:r>
    </w:p>
    <w:p w14:paraId="6D6230F2" w14:textId="77777777" w:rsidR="005E4179" w:rsidRPr="005D5436" w:rsidRDefault="005E4179">
      <w:pPr>
        <w:pStyle w:val="BodyText"/>
        <w:rPr>
          <w:rFonts w:ascii="Times New Roman" w:hAnsi="Times New Roman" w:cs="Times New Roman"/>
          <w:b/>
          <w:sz w:val="20"/>
          <w:szCs w:val="20"/>
        </w:rPr>
      </w:pPr>
    </w:p>
    <w:p w14:paraId="6AFCA98D" w14:textId="77777777" w:rsidR="00452CCE" w:rsidRPr="005D5436" w:rsidRDefault="00637A79" w:rsidP="004D0B0C">
      <w:pPr>
        <w:pStyle w:val="BodyText"/>
        <w:ind w:left="339" w:right="107"/>
        <w:jc w:val="both"/>
        <w:rPr>
          <w:rFonts w:ascii="Times New Roman" w:hAnsi="Times New Roman" w:cs="Times New Roman"/>
          <w:sz w:val="20"/>
          <w:szCs w:val="20"/>
        </w:rPr>
      </w:pPr>
      <w:r w:rsidRPr="005D5436">
        <w:rPr>
          <w:rFonts w:ascii="Times New Roman" w:hAnsi="Times New Roman" w:cs="Times New Roman"/>
          <w:b/>
          <w:sz w:val="20"/>
          <w:szCs w:val="20"/>
        </w:rPr>
        <w:t>Materiality</w:t>
      </w:r>
      <w:proofErr w:type="gramStart"/>
      <w:r w:rsidRPr="005D5436">
        <w:rPr>
          <w:rFonts w:ascii="Times New Roman" w:hAnsi="Times New Roman" w:cs="Times New Roman"/>
          <w:b/>
          <w:sz w:val="20"/>
          <w:szCs w:val="20"/>
        </w:rPr>
        <w:t>:-</w:t>
      </w:r>
      <w:proofErr w:type="gramEnd"/>
      <w:r w:rsidRPr="005D5436">
        <w:rPr>
          <w:rFonts w:ascii="Times New Roman" w:hAnsi="Times New Roman" w:cs="Times New Roman"/>
          <w:b/>
          <w:sz w:val="20"/>
          <w:szCs w:val="20"/>
        </w:rPr>
        <w:t xml:space="preserve"> </w:t>
      </w:r>
      <w:r w:rsidRPr="005D5436">
        <w:rPr>
          <w:rFonts w:ascii="Times New Roman" w:hAnsi="Times New Roman" w:cs="Times New Roman"/>
          <w:sz w:val="20"/>
          <w:szCs w:val="20"/>
        </w:rPr>
        <w:t>Getting contracts are under the normal course of business but if the company gets any extra</w:t>
      </w:r>
      <w:r w:rsidRPr="005D5436">
        <w:rPr>
          <w:rFonts w:cs="Times New Roman"/>
          <w:sz w:val="20"/>
          <w:szCs w:val="20"/>
        </w:rPr>
        <w:t>‐</w:t>
      </w:r>
      <w:r w:rsidRPr="005D5436">
        <w:rPr>
          <w:rFonts w:ascii="Times New Roman" w:hAnsi="Times New Roman" w:cs="Times New Roman"/>
          <w:sz w:val="20"/>
          <w:szCs w:val="20"/>
        </w:rPr>
        <w:t>ordinary order; it shall be considered a material event, if the turnover from each such order or contract is exceeding 10% of the total turnover in the preceding financial year’s audited financial results.</w:t>
      </w:r>
      <w:r w:rsidR="004D0B0C" w:rsidRPr="005D5436">
        <w:rPr>
          <w:rFonts w:ascii="Times New Roman" w:hAnsi="Times New Roman" w:cs="Times New Roman"/>
          <w:sz w:val="20"/>
          <w:szCs w:val="20"/>
        </w:rPr>
        <w:t xml:space="preserve"> </w:t>
      </w:r>
    </w:p>
    <w:p w14:paraId="7A0166F4" w14:textId="77777777" w:rsidR="004D0B0C" w:rsidRPr="005D5436" w:rsidRDefault="004D0B0C" w:rsidP="004D0B0C">
      <w:pPr>
        <w:pStyle w:val="BodyText"/>
        <w:ind w:left="339" w:right="107"/>
        <w:jc w:val="both"/>
        <w:rPr>
          <w:rFonts w:ascii="Times New Roman" w:hAnsi="Times New Roman" w:cs="Times New Roman"/>
          <w:sz w:val="20"/>
          <w:szCs w:val="20"/>
        </w:rPr>
      </w:pPr>
    </w:p>
    <w:p w14:paraId="22D78BAA" w14:textId="77777777" w:rsidR="00452CCE" w:rsidRPr="005D5436" w:rsidRDefault="00637A79">
      <w:pPr>
        <w:pStyle w:val="BodyText"/>
        <w:spacing w:before="51"/>
        <w:ind w:left="340" w:right="107"/>
        <w:jc w:val="both"/>
        <w:rPr>
          <w:rFonts w:ascii="Times New Roman" w:hAnsi="Times New Roman" w:cs="Times New Roman"/>
          <w:sz w:val="20"/>
          <w:szCs w:val="20"/>
        </w:rPr>
      </w:pPr>
      <w:r w:rsidRPr="005D5436">
        <w:rPr>
          <w:rFonts w:ascii="Times New Roman" w:hAnsi="Times New Roman" w:cs="Times New Roman"/>
          <w:sz w:val="20"/>
          <w:szCs w:val="20"/>
        </w:rPr>
        <w:t>Further, an award bestowed upon the Company or any of its directors or KMP by a nationally recognized institution of the Government Agency shall be considered as a material</w:t>
      </w:r>
      <w:r w:rsidRPr="005D5436">
        <w:rPr>
          <w:rFonts w:ascii="Times New Roman" w:hAnsi="Times New Roman" w:cs="Times New Roman"/>
          <w:spacing w:val="-3"/>
          <w:sz w:val="20"/>
          <w:szCs w:val="20"/>
        </w:rPr>
        <w:t xml:space="preserve"> </w:t>
      </w:r>
      <w:r w:rsidRPr="005D5436">
        <w:rPr>
          <w:rFonts w:ascii="Times New Roman" w:hAnsi="Times New Roman" w:cs="Times New Roman"/>
          <w:sz w:val="20"/>
          <w:szCs w:val="20"/>
        </w:rPr>
        <w:t>event.</w:t>
      </w:r>
    </w:p>
    <w:p w14:paraId="4215B753" w14:textId="77777777" w:rsidR="00452CCE" w:rsidRPr="005D5436" w:rsidRDefault="00452CCE">
      <w:pPr>
        <w:pStyle w:val="BodyText"/>
        <w:rPr>
          <w:rFonts w:ascii="Times New Roman" w:hAnsi="Times New Roman" w:cs="Times New Roman"/>
          <w:sz w:val="20"/>
          <w:szCs w:val="20"/>
        </w:rPr>
      </w:pPr>
    </w:p>
    <w:p w14:paraId="5626B854" w14:textId="77777777" w:rsidR="00452CCE" w:rsidRPr="005D5436" w:rsidRDefault="00637A79">
      <w:pPr>
        <w:pStyle w:val="Heading1"/>
        <w:numPr>
          <w:ilvl w:val="0"/>
          <w:numId w:val="2"/>
        </w:numPr>
        <w:tabs>
          <w:tab w:val="left" w:pos="907"/>
        </w:tabs>
        <w:ind w:right="107" w:hanging="490"/>
        <w:jc w:val="both"/>
        <w:rPr>
          <w:rFonts w:ascii="Times New Roman" w:hAnsi="Times New Roman" w:cs="Times New Roman"/>
          <w:sz w:val="20"/>
          <w:szCs w:val="20"/>
        </w:rPr>
      </w:pPr>
      <w:r w:rsidRPr="005D5436">
        <w:rPr>
          <w:rFonts w:ascii="Times New Roman" w:hAnsi="Times New Roman" w:cs="Times New Roman"/>
          <w:sz w:val="20"/>
          <w:szCs w:val="20"/>
        </w:rPr>
        <w:t>Disruption of operations of any one or more units or division of the listed entity due to natural calamity (earthquake, flood, fire, etc.), force majeure or events such as strikes, lockouts</w:t>
      </w:r>
      <w:r w:rsidRPr="005D5436">
        <w:rPr>
          <w:rFonts w:ascii="Times New Roman" w:hAnsi="Times New Roman" w:cs="Times New Roman"/>
          <w:spacing w:val="-1"/>
          <w:sz w:val="20"/>
          <w:szCs w:val="20"/>
        </w:rPr>
        <w:t xml:space="preserve"> </w:t>
      </w:r>
      <w:r w:rsidRPr="005D5436">
        <w:rPr>
          <w:rFonts w:ascii="Times New Roman" w:hAnsi="Times New Roman" w:cs="Times New Roman"/>
          <w:sz w:val="20"/>
          <w:szCs w:val="20"/>
        </w:rPr>
        <w:t>etc.</w:t>
      </w:r>
    </w:p>
    <w:p w14:paraId="267A4BCE" w14:textId="77777777" w:rsidR="00452CCE" w:rsidRPr="005D5436" w:rsidRDefault="00452CCE">
      <w:pPr>
        <w:pStyle w:val="BodyText"/>
        <w:spacing w:before="11"/>
        <w:rPr>
          <w:rFonts w:ascii="Times New Roman" w:hAnsi="Times New Roman" w:cs="Times New Roman"/>
          <w:b/>
          <w:sz w:val="20"/>
          <w:szCs w:val="20"/>
        </w:rPr>
      </w:pPr>
    </w:p>
    <w:p w14:paraId="3CBAD6C8" w14:textId="77777777" w:rsidR="00452CCE" w:rsidRPr="005D5436" w:rsidRDefault="00637A79">
      <w:pPr>
        <w:pStyle w:val="BodyText"/>
        <w:ind w:left="340" w:right="108"/>
        <w:jc w:val="both"/>
        <w:rPr>
          <w:rFonts w:ascii="Times New Roman" w:hAnsi="Times New Roman" w:cs="Times New Roman"/>
          <w:sz w:val="20"/>
          <w:szCs w:val="20"/>
        </w:rPr>
      </w:pPr>
      <w:r w:rsidRPr="005D5436">
        <w:rPr>
          <w:rFonts w:ascii="Times New Roman" w:hAnsi="Times New Roman" w:cs="Times New Roman"/>
          <w:b/>
          <w:sz w:val="20"/>
          <w:szCs w:val="20"/>
        </w:rPr>
        <w:t xml:space="preserve">Materiality: - </w:t>
      </w:r>
      <w:r w:rsidRPr="005D5436">
        <w:rPr>
          <w:rFonts w:ascii="Times New Roman" w:hAnsi="Times New Roman" w:cs="Times New Roman"/>
          <w:sz w:val="20"/>
          <w:szCs w:val="20"/>
        </w:rPr>
        <w:t>Disruption of operations in the unit of the Company due to natural calamity, force majeure or strikes, lockouts, etc. exceeding 3 working days shall be considered material event in all cases company.</w:t>
      </w:r>
    </w:p>
    <w:p w14:paraId="66CE924B" w14:textId="77777777" w:rsidR="00452CCE" w:rsidRPr="005D5436" w:rsidRDefault="00452CCE">
      <w:pPr>
        <w:pStyle w:val="BodyText"/>
        <w:spacing w:before="12"/>
        <w:rPr>
          <w:rFonts w:ascii="Times New Roman" w:hAnsi="Times New Roman" w:cs="Times New Roman"/>
          <w:sz w:val="20"/>
          <w:szCs w:val="20"/>
        </w:rPr>
      </w:pPr>
    </w:p>
    <w:p w14:paraId="1DCF26B5" w14:textId="77777777" w:rsidR="00452CCE" w:rsidRPr="005D5436" w:rsidRDefault="00637A79">
      <w:pPr>
        <w:pStyle w:val="Heading1"/>
        <w:numPr>
          <w:ilvl w:val="0"/>
          <w:numId w:val="2"/>
        </w:numPr>
        <w:tabs>
          <w:tab w:val="left" w:pos="907"/>
        </w:tabs>
        <w:spacing w:line="242" w:lineRule="auto"/>
        <w:ind w:right="111"/>
        <w:jc w:val="both"/>
        <w:rPr>
          <w:rFonts w:ascii="Times New Roman" w:hAnsi="Times New Roman" w:cs="Times New Roman"/>
          <w:sz w:val="20"/>
          <w:szCs w:val="20"/>
        </w:rPr>
      </w:pPr>
      <w:r w:rsidRPr="005D5436">
        <w:rPr>
          <w:rFonts w:ascii="Times New Roman" w:hAnsi="Times New Roman" w:cs="Times New Roman"/>
          <w:sz w:val="20"/>
          <w:szCs w:val="20"/>
        </w:rPr>
        <w:t>Effect(s) arising out of change in the regulatory framework applicable to the listed entity.</w:t>
      </w:r>
    </w:p>
    <w:p w14:paraId="2F0CB0F7" w14:textId="77777777" w:rsidR="00452CCE" w:rsidRPr="005D5436" w:rsidRDefault="00452CCE">
      <w:pPr>
        <w:pStyle w:val="BodyText"/>
        <w:spacing w:before="8"/>
        <w:rPr>
          <w:rFonts w:ascii="Times New Roman" w:hAnsi="Times New Roman" w:cs="Times New Roman"/>
          <w:b/>
          <w:sz w:val="20"/>
          <w:szCs w:val="20"/>
        </w:rPr>
      </w:pPr>
    </w:p>
    <w:p w14:paraId="14EDCAF3" w14:textId="77777777" w:rsidR="00452CCE" w:rsidRPr="005D5436" w:rsidRDefault="00637A79">
      <w:pPr>
        <w:pStyle w:val="BodyText"/>
        <w:ind w:left="339" w:right="110"/>
        <w:jc w:val="both"/>
        <w:rPr>
          <w:rFonts w:ascii="Times New Roman" w:hAnsi="Times New Roman" w:cs="Times New Roman"/>
          <w:sz w:val="20"/>
          <w:szCs w:val="20"/>
        </w:rPr>
      </w:pPr>
      <w:r w:rsidRPr="005D5436">
        <w:rPr>
          <w:rFonts w:ascii="Times New Roman" w:hAnsi="Times New Roman" w:cs="Times New Roman"/>
          <w:b/>
          <w:sz w:val="20"/>
          <w:szCs w:val="20"/>
        </w:rPr>
        <w:t xml:space="preserve">Materiality: - </w:t>
      </w:r>
      <w:r w:rsidRPr="005D5436">
        <w:rPr>
          <w:rFonts w:ascii="Times New Roman" w:hAnsi="Times New Roman" w:cs="Times New Roman"/>
          <w:sz w:val="20"/>
          <w:szCs w:val="20"/>
        </w:rPr>
        <w:t>Due to change in regulatory frame work applicable to company as compliance requirement is not required to disclose to the stock exchange.</w:t>
      </w:r>
    </w:p>
    <w:p w14:paraId="018F903E" w14:textId="77777777" w:rsidR="00452CCE" w:rsidRPr="005D5436" w:rsidRDefault="00452CCE">
      <w:pPr>
        <w:pStyle w:val="BodyText"/>
        <w:spacing w:before="12"/>
        <w:rPr>
          <w:rFonts w:ascii="Times New Roman" w:hAnsi="Times New Roman" w:cs="Times New Roman"/>
          <w:sz w:val="20"/>
          <w:szCs w:val="20"/>
        </w:rPr>
      </w:pPr>
    </w:p>
    <w:p w14:paraId="7B9D4455" w14:textId="77777777" w:rsidR="00452CCE" w:rsidRPr="005D5436" w:rsidRDefault="00637A79">
      <w:pPr>
        <w:pStyle w:val="Heading1"/>
        <w:numPr>
          <w:ilvl w:val="0"/>
          <w:numId w:val="2"/>
        </w:numPr>
        <w:tabs>
          <w:tab w:val="left" w:pos="906"/>
          <w:tab w:val="left" w:pos="907"/>
        </w:tabs>
        <w:ind w:hanging="618"/>
        <w:jc w:val="left"/>
        <w:rPr>
          <w:rFonts w:ascii="Times New Roman" w:hAnsi="Times New Roman" w:cs="Times New Roman"/>
          <w:sz w:val="20"/>
          <w:szCs w:val="20"/>
        </w:rPr>
      </w:pPr>
      <w:r w:rsidRPr="005D5436">
        <w:rPr>
          <w:rFonts w:ascii="Times New Roman" w:hAnsi="Times New Roman" w:cs="Times New Roman"/>
          <w:sz w:val="20"/>
          <w:szCs w:val="20"/>
        </w:rPr>
        <w:t>Litigation(s) / dispute(s) / regulatory action(s) with</w:t>
      </w:r>
      <w:r w:rsidRPr="005D5436">
        <w:rPr>
          <w:rFonts w:ascii="Times New Roman" w:hAnsi="Times New Roman" w:cs="Times New Roman"/>
          <w:spacing w:val="-4"/>
          <w:sz w:val="20"/>
          <w:szCs w:val="20"/>
        </w:rPr>
        <w:t xml:space="preserve"> </w:t>
      </w:r>
      <w:r w:rsidRPr="005D5436">
        <w:rPr>
          <w:rFonts w:ascii="Times New Roman" w:hAnsi="Times New Roman" w:cs="Times New Roman"/>
          <w:sz w:val="20"/>
          <w:szCs w:val="20"/>
        </w:rPr>
        <w:t>impact.</w:t>
      </w:r>
    </w:p>
    <w:p w14:paraId="5B53585B" w14:textId="77777777" w:rsidR="00452CCE" w:rsidRPr="005D5436" w:rsidRDefault="00452CCE">
      <w:pPr>
        <w:pStyle w:val="BodyText"/>
        <w:spacing w:before="12"/>
        <w:rPr>
          <w:rFonts w:ascii="Times New Roman" w:hAnsi="Times New Roman" w:cs="Times New Roman"/>
          <w:b/>
          <w:sz w:val="20"/>
          <w:szCs w:val="20"/>
        </w:rPr>
      </w:pPr>
    </w:p>
    <w:p w14:paraId="27717A98" w14:textId="77777777" w:rsidR="00452CCE" w:rsidRPr="005D5436" w:rsidRDefault="00637A79">
      <w:pPr>
        <w:pStyle w:val="BodyText"/>
        <w:ind w:left="339" w:right="108"/>
        <w:jc w:val="both"/>
        <w:rPr>
          <w:rFonts w:ascii="Times New Roman" w:hAnsi="Times New Roman" w:cs="Times New Roman"/>
          <w:sz w:val="20"/>
          <w:szCs w:val="20"/>
        </w:rPr>
      </w:pPr>
      <w:r w:rsidRPr="005D5436">
        <w:rPr>
          <w:rFonts w:ascii="Times New Roman" w:hAnsi="Times New Roman" w:cs="Times New Roman"/>
          <w:b/>
          <w:sz w:val="20"/>
          <w:szCs w:val="20"/>
        </w:rPr>
        <w:t xml:space="preserve">Materiality:- </w:t>
      </w:r>
      <w:r w:rsidRPr="005D5436">
        <w:rPr>
          <w:rFonts w:ascii="Times New Roman" w:hAnsi="Times New Roman" w:cs="Times New Roman"/>
          <w:sz w:val="20"/>
          <w:szCs w:val="20"/>
        </w:rPr>
        <w:t>Only material litigation / dispute and regulatory action is to be disclosed which have material impact of the Company’ financial position exceeding 5% of the Profit after Tax or Rs. 2.00 Crore or more in each case whichever is higher.</w:t>
      </w:r>
    </w:p>
    <w:p w14:paraId="4778E366" w14:textId="77777777" w:rsidR="00452CCE" w:rsidRPr="005D5436" w:rsidRDefault="00452CCE">
      <w:pPr>
        <w:pStyle w:val="BodyText"/>
        <w:spacing w:before="11"/>
        <w:rPr>
          <w:rFonts w:ascii="Times New Roman" w:hAnsi="Times New Roman" w:cs="Times New Roman"/>
          <w:sz w:val="20"/>
          <w:szCs w:val="20"/>
        </w:rPr>
      </w:pPr>
    </w:p>
    <w:p w14:paraId="03B89327" w14:textId="77777777" w:rsidR="00452CCE" w:rsidRPr="005D5436" w:rsidRDefault="00637A79">
      <w:pPr>
        <w:pStyle w:val="BodyText"/>
        <w:ind w:left="339"/>
        <w:jc w:val="both"/>
        <w:rPr>
          <w:rFonts w:ascii="Times New Roman" w:hAnsi="Times New Roman" w:cs="Times New Roman"/>
          <w:sz w:val="20"/>
          <w:szCs w:val="20"/>
        </w:rPr>
      </w:pPr>
      <w:r w:rsidRPr="005D5436">
        <w:rPr>
          <w:rFonts w:ascii="Times New Roman" w:hAnsi="Times New Roman" w:cs="Times New Roman"/>
          <w:sz w:val="20"/>
          <w:szCs w:val="20"/>
        </w:rPr>
        <w:t>The test of material impact shall be decided by Board of Directors.</w:t>
      </w:r>
    </w:p>
    <w:p w14:paraId="5AF20380" w14:textId="77777777" w:rsidR="00452CCE" w:rsidRPr="005D5436" w:rsidRDefault="00452CCE">
      <w:pPr>
        <w:pStyle w:val="BodyText"/>
        <w:rPr>
          <w:rFonts w:ascii="Times New Roman" w:hAnsi="Times New Roman" w:cs="Times New Roman"/>
          <w:sz w:val="20"/>
          <w:szCs w:val="20"/>
        </w:rPr>
      </w:pPr>
    </w:p>
    <w:p w14:paraId="117D3885" w14:textId="77777777" w:rsidR="00452CCE" w:rsidRPr="005D5436" w:rsidRDefault="00637A79">
      <w:pPr>
        <w:pStyle w:val="Heading1"/>
        <w:numPr>
          <w:ilvl w:val="0"/>
          <w:numId w:val="2"/>
        </w:numPr>
        <w:tabs>
          <w:tab w:val="left" w:pos="906"/>
          <w:tab w:val="left" w:pos="907"/>
        </w:tabs>
        <w:spacing w:line="242" w:lineRule="auto"/>
        <w:ind w:right="109" w:hanging="680"/>
        <w:jc w:val="left"/>
        <w:rPr>
          <w:rFonts w:ascii="Times New Roman" w:hAnsi="Times New Roman" w:cs="Times New Roman"/>
          <w:sz w:val="20"/>
          <w:szCs w:val="20"/>
        </w:rPr>
      </w:pPr>
      <w:r w:rsidRPr="005D5436">
        <w:rPr>
          <w:rFonts w:ascii="Times New Roman" w:hAnsi="Times New Roman" w:cs="Times New Roman"/>
          <w:sz w:val="20"/>
          <w:szCs w:val="20"/>
        </w:rPr>
        <w:t>Fraud / defaults etc. by directors (other than key managerial personnel) or employees of listed</w:t>
      </w:r>
      <w:r w:rsidRPr="005D5436">
        <w:rPr>
          <w:rFonts w:ascii="Times New Roman" w:hAnsi="Times New Roman" w:cs="Times New Roman"/>
          <w:spacing w:val="2"/>
          <w:sz w:val="20"/>
          <w:szCs w:val="20"/>
        </w:rPr>
        <w:t xml:space="preserve"> </w:t>
      </w:r>
      <w:r w:rsidRPr="005D5436">
        <w:rPr>
          <w:rFonts w:ascii="Times New Roman" w:hAnsi="Times New Roman" w:cs="Times New Roman"/>
          <w:sz w:val="20"/>
          <w:szCs w:val="20"/>
        </w:rPr>
        <w:t>entity.</w:t>
      </w:r>
    </w:p>
    <w:p w14:paraId="0BEDF2D4" w14:textId="77777777" w:rsidR="00452CCE" w:rsidRPr="005D5436" w:rsidRDefault="00452CCE">
      <w:pPr>
        <w:pStyle w:val="BodyText"/>
        <w:spacing w:before="8"/>
        <w:rPr>
          <w:rFonts w:ascii="Times New Roman" w:hAnsi="Times New Roman" w:cs="Times New Roman"/>
          <w:b/>
          <w:sz w:val="20"/>
          <w:szCs w:val="20"/>
        </w:rPr>
      </w:pPr>
    </w:p>
    <w:p w14:paraId="42895E72" w14:textId="77777777" w:rsidR="00452CCE" w:rsidRPr="005D5436" w:rsidRDefault="00637A79">
      <w:pPr>
        <w:pStyle w:val="BodyText"/>
        <w:ind w:left="340" w:right="108"/>
        <w:jc w:val="both"/>
        <w:rPr>
          <w:rFonts w:ascii="Times New Roman" w:hAnsi="Times New Roman" w:cs="Times New Roman"/>
          <w:sz w:val="20"/>
          <w:szCs w:val="20"/>
        </w:rPr>
      </w:pPr>
      <w:r w:rsidRPr="005D5436">
        <w:rPr>
          <w:rFonts w:ascii="Times New Roman" w:hAnsi="Times New Roman" w:cs="Times New Roman"/>
          <w:b/>
          <w:sz w:val="20"/>
          <w:szCs w:val="20"/>
        </w:rPr>
        <w:lastRenderedPageBreak/>
        <w:t xml:space="preserve">Materiality: - </w:t>
      </w:r>
      <w:r w:rsidRPr="005D5436">
        <w:rPr>
          <w:rFonts w:ascii="Times New Roman" w:hAnsi="Times New Roman" w:cs="Times New Roman"/>
          <w:sz w:val="20"/>
          <w:szCs w:val="20"/>
        </w:rPr>
        <w:t>The Company shall not disclose any fraud / defaults made by directors or employees of the Company, until the final binding order is not received by regulatory authority. After receiving final order, The Board shall decide the order should be disclosed or not. However, in case if any FIR is filed in the Police Station which are not bailable and or pending under the court having jurisdiction in the Indian Penal Court will be considered as material</w:t>
      </w:r>
      <w:r w:rsidRPr="005D5436">
        <w:rPr>
          <w:rFonts w:ascii="Times New Roman" w:hAnsi="Times New Roman" w:cs="Times New Roman"/>
          <w:spacing w:val="-3"/>
          <w:sz w:val="20"/>
          <w:szCs w:val="20"/>
        </w:rPr>
        <w:t xml:space="preserve"> </w:t>
      </w:r>
      <w:r w:rsidRPr="005D5436">
        <w:rPr>
          <w:rFonts w:ascii="Times New Roman" w:hAnsi="Times New Roman" w:cs="Times New Roman"/>
          <w:sz w:val="20"/>
          <w:szCs w:val="20"/>
        </w:rPr>
        <w:t>event.</w:t>
      </w:r>
    </w:p>
    <w:p w14:paraId="2AF9146E" w14:textId="77777777" w:rsidR="00452CCE" w:rsidRPr="005D5436" w:rsidRDefault="00452CCE">
      <w:pPr>
        <w:pStyle w:val="BodyText"/>
        <w:spacing w:before="11"/>
        <w:rPr>
          <w:rFonts w:ascii="Times New Roman" w:hAnsi="Times New Roman" w:cs="Times New Roman"/>
          <w:sz w:val="20"/>
          <w:szCs w:val="20"/>
        </w:rPr>
      </w:pPr>
    </w:p>
    <w:p w14:paraId="309191B5" w14:textId="77777777" w:rsidR="00452CCE" w:rsidRPr="005D5436" w:rsidRDefault="00637A79">
      <w:pPr>
        <w:pStyle w:val="Heading1"/>
        <w:numPr>
          <w:ilvl w:val="0"/>
          <w:numId w:val="2"/>
        </w:numPr>
        <w:tabs>
          <w:tab w:val="left" w:pos="906"/>
          <w:tab w:val="left" w:pos="907"/>
        </w:tabs>
        <w:ind w:hanging="543"/>
        <w:jc w:val="left"/>
        <w:rPr>
          <w:rFonts w:ascii="Times New Roman" w:hAnsi="Times New Roman" w:cs="Times New Roman"/>
          <w:sz w:val="20"/>
          <w:szCs w:val="20"/>
        </w:rPr>
      </w:pPr>
      <w:r w:rsidRPr="005D5436">
        <w:rPr>
          <w:rFonts w:ascii="Times New Roman" w:hAnsi="Times New Roman" w:cs="Times New Roman"/>
          <w:sz w:val="20"/>
          <w:szCs w:val="20"/>
        </w:rPr>
        <w:t>Options to purchase securities including any ESOP/ESPS</w:t>
      </w:r>
      <w:r w:rsidRPr="005D5436">
        <w:rPr>
          <w:rFonts w:ascii="Times New Roman" w:hAnsi="Times New Roman" w:cs="Times New Roman"/>
          <w:spacing w:val="-10"/>
          <w:sz w:val="20"/>
          <w:szCs w:val="20"/>
        </w:rPr>
        <w:t xml:space="preserve"> </w:t>
      </w:r>
      <w:r w:rsidRPr="005D5436">
        <w:rPr>
          <w:rFonts w:ascii="Times New Roman" w:hAnsi="Times New Roman" w:cs="Times New Roman"/>
          <w:sz w:val="20"/>
          <w:szCs w:val="20"/>
        </w:rPr>
        <w:t>Scheme.</w:t>
      </w:r>
    </w:p>
    <w:p w14:paraId="5B8FAD1C" w14:textId="77777777" w:rsidR="00452CCE" w:rsidRPr="005D5436" w:rsidRDefault="00452CCE">
      <w:pPr>
        <w:pStyle w:val="BodyText"/>
        <w:rPr>
          <w:rFonts w:ascii="Times New Roman" w:hAnsi="Times New Roman" w:cs="Times New Roman"/>
          <w:b/>
          <w:sz w:val="20"/>
          <w:szCs w:val="20"/>
        </w:rPr>
      </w:pPr>
    </w:p>
    <w:p w14:paraId="31F0FBA4" w14:textId="77777777" w:rsidR="00452CCE" w:rsidRPr="005D5436" w:rsidRDefault="00637A79">
      <w:pPr>
        <w:pStyle w:val="BodyText"/>
        <w:ind w:left="339"/>
        <w:jc w:val="both"/>
        <w:rPr>
          <w:rFonts w:ascii="Times New Roman" w:hAnsi="Times New Roman" w:cs="Times New Roman"/>
          <w:sz w:val="20"/>
          <w:szCs w:val="20"/>
        </w:rPr>
      </w:pPr>
      <w:r w:rsidRPr="005D5436">
        <w:rPr>
          <w:rFonts w:ascii="Times New Roman" w:hAnsi="Times New Roman" w:cs="Times New Roman"/>
          <w:b/>
          <w:sz w:val="20"/>
          <w:szCs w:val="20"/>
        </w:rPr>
        <w:t xml:space="preserve">Materiality: - </w:t>
      </w:r>
      <w:r w:rsidRPr="005D5436">
        <w:rPr>
          <w:rFonts w:ascii="Times New Roman" w:hAnsi="Times New Roman" w:cs="Times New Roman"/>
          <w:sz w:val="20"/>
          <w:szCs w:val="20"/>
        </w:rPr>
        <w:t>The Company shall promptly disclose without applying any materiality.</w:t>
      </w:r>
    </w:p>
    <w:p w14:paraId="04F28EB6" w14:textId="77777777" w:rsidR="00452CCE" w:rsidRPr="005D5436" w:rsidRDefault="00452CCE">
      <w:pPr>
        <w:pStyle w:val="BodyText"/>
        <w:spacing w:before="9"/>
        <w:rPr>
          <w:rFonts w:ascii="Times New Roman" w:hAnsi="Times New Roman" w:cs="Times New Roman"/>
          <w:sz w:val="20"/>
          <w:szCs w:val="20"/>
        </w:rPr>
      </w:pPr>
    </w:p>
    <w:p w14:paraId="68597E35" w14:textId="77777777" w:rsidR="00452CCE" w:rsidRPr="005D5436" w:rsidRDefault="00637A79">
      <w:pPr>
        <w:pStyle w:val="Heading1"/>
        <w:numPr>
          <w:ilvl w:val="0"/>
          <w:numId w:val="2"/>
        </w:numPr>
        <w:tabs>
          <w:tab w:val="left" w:pos="906"/>
          <w:tab w:val="left" w:pos="907"/>
        </w:tabs>
        <w:spacing w:before="51"/>
        <w:ind w:hanging="479"/>
        <w:jc w:val="left"/>
        <w:rPr>
          <w:rFonts w:ascii="Times New Roman" w:hAnsi="Times New Roman" w:cs="Times New Roman"/>
          <w:sz w:val="20"/>
          <w:szCs w:val="20"/>
        </w:rPr>
      </w:pPr>
      <w:r w:rsidRPr="005D5436">
        <w:rPr>
          <w:rFonts w:ascii="Times New Roman" w:hAnsi="Times New Roman" w:cs="Times New Roman"/>
          <w:sz w:val="20"/>
          <w:szCs w:val="20"/>
        </w:rPr>
        <w:t>Giving of guarantees or indemnity or becoming a surety for any third</w:t>
      </w:r>
      <w:r w:rsidRPr="005D5436">
        <w:rPr>
          <w:rFonts w:ascii="Times New Roman" w:hAnsi="Times New Roman" w:cs="Times New Roman"/>
          <w:spacing w:val="-19"/>
          <w:sz w:val="20"/>
          <w:szCs w:val="20"/>
        </w:rPr>
        <w:t xml:space="preserve"> </w:t>
      </w:r>
      <w:r w:rsidRPr="005D5436">
        <w:rPr>
          <w:rFonts w:ascii="Times New Roman" w:hAnsi="Times New Roman" w:cs="Times New Roman"/>
          <w:sz w:val="20"/>
          <w:szCs w:val="20"/>
        </w:rPr>
        <w:t>party.</w:t>
      </w:r>
    </w:p>
    <w:p w14:paraId="4C4BA9E5" w14:textId="77777777" w:rsidR="00452CCE" w:rsidRPr="005D5436" w:rsidRDefault="00452CCE">
      <w:pPr>
        <w:pStyle w:val="BodyText"/>
        <w:rPr>
          <w:rFonts w:ascii="Times New Roman" w:hAnsi="Times New Roman" w:cs="Times New Roman"/>
          <w:b/>
          <w:sz w:val="20"/>
          <w:szCs w:val="20"/>
        </w:rPr>
      </w:pPr>
    </w:p>
    <w:p w14:paraId="0DC18C96" w14:textId="77777777" w:rsidR="00452CCE" w:rsidRPr="005D5436" w:rsidRDefault="00637A79">
      <w:pPr>
        <w:pStyle w:val="BodyText"/>
        <w:ind w:left="339" w:right="106"/>
        <w:jc w:val="both"/>
        <w:rPr>
          <w:rFonts w:ascii="Times New Roman" w:hAnsi="Times New Roman" w:cs="Times New Roman"/>
          <w:sz w:val="20"/>
          <w:szCs w:val="20"/>
        </w:rPr>
      </w:pPr>
      <w:r w:rsidRPr="005D5436">
        <w:rPr>
          <w:rFonts w:ascii="Times New Roman" w:hAnsi="Times New Roman" w:cs="Times New Roman"/>
          <w:b/>
          <w:sz w:val="20"/>
          <w:szCs w:val="20"/>
        </w:rPr>
        <w:t xml:space="preserve">Materiality: - </w:t>
      </w:r>
      <w:r w:rsidRPr="005D5436">
        <w:rPr>
          <w:rFonts w:ascii="Times New Roman" w:hAnsi="Times New Roman" w:cs="Times New Roman"/>
          <w:sz w:val="20"/>
          <w:szCs w:val="20"/>
        </w:rPr>
        <w:t>Giving of guarantees or indemnity or becoming a surety for any third party is the company’s normal course of business. As company’s product is capital goods and  to fulfil or perform the duty, company has to give guarantees or surety to third party and it is company’s normal course of Business for the guarantee value exceeding Rs. 5.00 Crores or 5% of the net owned funds as per previous audited financial statements shall be considered as material</w:t>
      </w:r>
      <w:r w:rsidRPr="005D5436">
        <w:rPr>
          <w:rFonts w:ascii="Times New Roman" w:hAnsi="Times New Roman" w:cs="Times New Roman"/>
          <w:spacing w:val="-1"/>
          <w:sz w:val="20"/>
          <w:szCs w:val="20"/>
        </w:rPr>
        <w:t xml:space="preserve"> </w:t>
      </w:r>
      <w:r w:rsidRPr="005D5436">
        <w:rPr>
          <w:rFonts w:ascii="Times New Roman" w:hAnsi="Times New Roman" w:cs="Times New Roman"/>
          <w:sz w:val="20"/>
          <w:szCs w:val="20"/>
        </w:rPr>
        <w:t>event.</w:t>
      </w:r>
    </w:p>
    <w:p w14:paraId="553B1A87" w14:textId="77777777" w:rsidR="00452CCE" w:rsidRPr="005D5436" w:rsidRDefault="00452CCE">
      <w:pPr>
        <w:pStyle w:val="BodyText"/>
        <w:spacing w:before="11"/>
        <w:rPr>
          <w:rFonts w:ascii="Times New Roman" w:hAnsi="Times New Roman" w:cs="Times New Roman"/>
          <w:sz w:val="20"/>
          <w:szCs w:val="20"/>
        </w:rPr>
      </w:pPr>
    </w:p>
    <w:p w14:paraId="5775842F" w14:textId="77777777" w:rsidR="00452CCE" w:rsidRPr="005D5436" w:rsidRDefault="00637A79">
      <w:pPr>
        <w:pStyle w:val="Heading1"/>
        <w:numPr>
          <w:ilvl w:val="0"/>
          <w:numId w:val="2"/>
        </w:numPr>
        <w:tabs>
          <w:tab w:val="left" w:pos="906"/>
          <w:tab w:val="left" w:pos="907"/>
        </w:tabs>
        <w:ind w:right="110" w:hanging="543"/>
        <w:jc w:val="left"/>
        <w:rPr>
          <w:rFonts w:ascii="Times New Roman" w:hAnsi="Times New Roman" w:cs="Times New Roman"/>
          <w:sz w:val="20"/>
          <w:szCs w:val="20"/>
        </w:rPr>
      </w:pPr>
      <w:r w:rsidRPr="005D5436">
        <w:rPr>
          <w:rFonts w:ascii="Times New Roman" w:hAnsi="Times New Roman" w:cs="Times New Roman"/>
          <w:sz w:val="20"/>
          <w:szCs w:val="20"/>
        </w:rPr>
        <w:t>Granting</w:t>
      </w:r>
      <w:r w:rsidRPr="005D5436">
        <w:rPr>
          <w:rFonts w:ascii="Times New Roman" w:hAnsi="Times New Roman" w:cs="Times New Roman"/>
          <w:b w:val="0"/>
          <w:sz w:val="20"/>
          <w:szCs w:val="20"/>
        </w:rPr>
        <w:t xml:space="preserve">, </w:t>
      </w:r>
      <w:r w:rsidRPr="005D5436">
        <w:rPr>
          <w:rFonts w:ascii="Times New Roman" w:hAnsi="Times New Roman" w:cs="Times New Roman"/>
          <w:sz w:val="20"/>
          <w:szCs w:val="20"/>
        </w:rPr>
        <w:t>withdrawal, surrender, cancellation or suspension of key licenses or regulatory</w:t>
      </w:r>
      <w:r w:rsidRPr="005D5436">
        <w:rPr>
          <w:rFonts w:ascii="Times New Roman" w:hAnsi="Times New Roman" w:cs="Times New Roman"/>
          <w:spacing w:val="-1"/>
          <w:sz w:val="20"/>
          <w:szCs w:val="20"/>
        </w:rPr>
        <w:t xml:space="preserve"> </w:t>
      </w:r>
      <w:r w:rsidRPr="005D5436">
        <w:rPr>
          <w:rFonts w:ascii="Times New Roman" w:hAnsi="Times New Roman" w:cs="Times New Roman"/>
          <w:sz w:val="20"/>
          <w:szCs w:val="20"/>
        </w:rPr>
        <w:t>approvals.</w:t>
      </w:r>
    </w:p>
    <w:p w14:paraId="525CE26E" w14:textId="77777777" w:rsidR="00452CCE" w:rsidRPr="005D5436" w:rsidRDefault="00452CCE">
      <w:pPr>
        <w:pStyle w:val="BodyText"/>
        <w:spacing w:before="12"/>
        <w:rPr>
          <w:rFonts w:ascii="Times New Roman" w:hAnsi="Times New Roman" w:cs="Times New Roman"/>
          <w:b/>
          <w:sz w:val="20"/>
          <w:szCs w:val="20"/>
        </w:rPr>
      </w:pPr>
    </w:p>
    <w:p w14:paraId="50676A41" w14:textId="77777777" w:rsidR="00452CCE" w:rsidRPr="005D5436" w:rsidRDefault="00637A79">
      <w:pPr>
        <w:pStyle w:val="BodyText"/>
        <w:ind w:left="339" w:right="108"/>
        <w:jc w:val="both"/>
        <w:rPr>
          <w:rFonts w:ascii="Times New Roman" w:hAnsi="Times New Roman" w:cs="Times New Roman"/>
          <w:sz w:val="20"/>
          <w:szCs w:val="20"/>
        </w:rPr>
      </w:pPr>
      <w:r w:rsidRPr="005D5436">
        <w:rPr>
          <w:rFonts w:ascii="Times New Roman" w:hAnsi="Times New Roman" w:cs="Times New Roman"/>
          <w:b/>
          <w:sz w:val="20"/>
          <w:szCs w:val="20"/>
        </w:rPr>
        <w:t xml:space="preserve">Materiality: - </w:t>
      </w:r>
      <w:r w:rsidRPr="005D5436">
        <w:rPr>
          <w:rFonts w:ascii="Times New Roman" w:hAnsi="Times New Roman" w:cs="Times New Roman"/>
          <w:sz w:val="20"/>
          <w:szCs w:val="20"/>
        </w:rPr>
        <w:t>The Board of Directors of the Company shall decide which licenses are key licenses and the same shall be disclosed to Stock exchange.</w:t>
      </w:r>
    </w:p>
    <w:p w14:paraId="2A6426B7" w14:textId="77777777" w:rsidR="00452CCE" w:rsidRPr="005D5436" w:rsidRDefault="00452CCE">
      <w:pPr>
        <w:pStyle w:val="BodyText"/>
        <w:spacing w:before="2"/>
        <w:rPr>
          <w:rFonts w:ascii="Times New Roman" w:hAnsi="Times New Roman" w:cs="Times New Roman"/>
          <w:sz w:val="20"/>
          <w:szCs w:val="20"/>
        </w:rPr>
      </w:pPr>
    </w:p>
    <w:p w14:paraId="5F2E11EC" w14:textId="77777777" w:rsidR="00452CCE" w:rsidRPr="005D5436" w:rsidRDefault="00637A79">
      <w:pPr>
        <w:pStyle w:val="Heading1"/>
        <w:numPr>
          <w:ilvl w:val="0"/>
          <w:numId w:val="4"/>
        </w:numPr>
        <w:tabs>
          <w:tab w:val="left" w:pos="767"/>
          <w:tab w:val="left" w:pos="768"/>
        </w:tabs>
        <w:ind w:hanging="429"/>
        <w:rPr>
          <w:rFonts w:ascii="Times New Roman" w:hAnsi="Times New Roman" w:cs="Times New Roman"/>
          <w:sz w:val="20"/>
          <w:szCs w:val="20"/>
        </w:rPr>
      </w:pPr>
      <w:r w:rsidRPr="005D5436">
        <w:rPr>
          <w:rFonts w:ascii="Times New Roman" w:hAnsi="Times New Roman" w:cs="Times New Roman"/>
          <w:sz w:val="20"/>
          <w:szCs w:val="20"/>
        </w:rPr>
        <w:t>ANY OTHER INFORMATION / EVENT WHICH IS TO BE DISCLOSED BY THE</w:t>
      </w:r>
      <w:r w:rsidRPr="005D5436">
        <w:rPr>
          <w:rFonts w:ascii="Times New Roman" w:hAnsi="Times New Roman" w:cs="Times New Roman"/>
          <w:spacing w:val="-19"/>
          <w:sz w:val="20"/>
          <w:szCs w:val="20"/>
        </w:rPr>
        <w:t xml:space="preserve"> </w:t>
      </w:r>
      <w:r w:rsidRPr="005D5436">
        <w:rPr>
          <w:rFonts w:ascii="Times New Roman" w:hAnsi="Times New Roman" w:cs="Times New Roman"/>
          <w:sz w:val="20"/>
          <w:szCs w:val="20"/>
        </w:rPr>
        <w:t>COMPANY:</w:t>
      </w:r>
    </w:p>
    <w:p w14:paraId="0572639A" w14:textId="77777777" w:rsidR="00452CCE" w:rsidRPr="005D5436" w:rsidRDefault="00452CCE">
      <w:pPr>
        <w:pStyle w:val="BodyText"/>
        <w:spacing w:before="11"/>
        <w:rPr>
          <w:rFonts w:ascii="Times New Roman" w:hAnsi="Times New Roman" w:cs="Times New Roman"/>
          <w:b/>
          <w:sz w:val="20"/>
          <w:szCs w:val="20"/>
        </w:rPr>
      </w:pPr>
    </w:p>
    <w:p w14:paraId="1063CEC2" w14:textId="77777777" w:rsidR="00452CCE" w:rsidRPr="005D5436" w:rsidRDefault="00637A79">
      <w:pPr>
        <w:pStyle w:val="BodyText"/>
        <w:spacing w:before="1"/>
        <w:ind w:left="340" w:right="108"/>
        <w:jc w:val="both"/>
        <w:rPr>
          <w:rFonts w:ascii="Times New Roman" w:hAnsi="Times New Roman" w:cs="Times New Roman"/>
          <w:sz w:val="20"/>
          <w:szCs w:val="20"/>
        </w:rPr>
      </w:pPr>
      <w:r w:rsidRPr="005D5436">
        <w:rPr>
          <w:rFonts w:ascii="Times New Roman" w:hAnsi="Times New Roman" w:cs="Times New Roman"/>
          <w:sz w:val="20"/>
          <w:szCs w:val="20"/>
        </w:rPr>
        <w:t>Major development that is likely to affect business, e.g. emergence of new technologies, expiry of patents, any change of accounting policy that may have a significant impact on the accounts, etc. and brief details thereof and any other information which is exclusively known to the Company which may be necessary to enable the holders of securities of the Company to appraise its position and to avoid the establishment of a false market in such securities.</w:t>
      </w:r>
    </w:p>
    <w:p w14:paraId="5FFFAAB6" w14:textId="77777777" w:rsidR="00452CCE" w:rsidRPr="005D5436" w:rsidRDefault="00452CCE">
      <w:pPr>
        <w:pStyle w:val="BodyText"/>
        <w:rPr>
          <w:rFonts w:ascii="Times New Roman" w:hAnsi="Times New Roman" w:cs="Times New Roman"/>
          <w:sz w:val="20"/>
          <w:szCs w:val="20"/>
        </w:rPr>
      </w:pPr>
    </w:p>
    <w:p w14:paraId="6E44F7D5" w14:textId="77777777" w:rsidR="00637A79" w:rsidRPr="005D5436" w:rsidRDefault="00637A79">
      <w:pPr>
        <w:pStyle w:val="BodyText"/>
        <w:rPr>
          <w:rFonts w:ascii="Times New Roman" w:hAnsi="Times New Roman" w:cs="Times New Roman"/>
          <w:sz w:val="20"/>
          <w:szCs w:val="20"/>
        </w:rPr>
      </w:pPr>
    </w:p>
    <w:p w14:paraId="66E49FE9" w14:textId="77777777" w:rsidR="00452CCE" w:rsidRPr="005D5436" w:rsidRDefault="00637A79">
      <w:pPr>
        <w:pStyle w:val="Heading1"/>
        <w:numPr>
          <w:ilvl w:val="0"/>
          <w:numId w:val="4"/>
        </w:numPr>
        <w:tabs>
          <w:tab w:val="left" w:pos="768"/>
        </w:tabs>
        <w:ind w:right="109"/>
        <w:jc w:val="both"/>
        <w:rPr>
          <w:rFonts w:ascii="Times New Roman" w:hAnsi="Times New Roman" w:cs="Times New Roman"/>
          <w:sz w:val="20"/>
          <w:szCs w:val="20"/>
        </w:rPr>
      </w:pPr>
      <w:r w:rsidRPr="005D5436">
        <w:rPr>
          <w:rFonts w:ascii="Times New Roman" w:hAnsi="Times New Roman" w:cs="Times New Roman"/>
          <w:sz w:val="20"/>
          <w:szCs w:val="20"/>
        </w:rPr>
        <w:t>AUTHORIZE KEY MANAGERIAL PERSONNEL (KMP) FOR THE PURPOSE OF DETERMINING MATERIALITY OF AN EVENT OR INFORMATION AND FOR THE PURPOSE OF MAKING DISCLOSURES TO STOCK EXCHANGE:</w:t>
      </w:r>
    </w:p>
    <w:p w14:paraId="6BD79F75" w14:textId="77777777" w:rsidR="00452CCE" w:rsidRPr="005D5436" w:rsidRDefault="00452CCE">
      <w:pPr>
        <w:pStyle w:val="BodyText"/>
        <w:spacing w:before="2"/>
        <w:rPr>
          <w:rFonts w:ascii="Times New Roman" w:hAnsi="Times New Roman" w:cs="Times New Roman"/>
          <w:b/>
          <w:sz w:val="20"/>
          <w:szCs w:val="20"/>
        </w:rPr>
      </w:pPr>
    </w:p>
    <w:p w14:paraId="4A0D4856" w14:textId="77777777" w:rsidR="00452CCE" w:rsidRPr="005D5436" w:rsidRDefault="00637A79">
      <w:pPr>
        <w:pStyle w:val="BodyText"/>
        <w:ind w:left="340" w:right="109"/>
        <w:jc w:val="both"/>
        <w:rPr>
          <w:rFonts w:ascii="Times New Roman" w:hAnsi="Times New Roman" w:cs="Times New Roman"/>
          <w:sz w:val="20"/>
          <w:szCs w:val="20"/>
        </w:rPr>
      </w:pPr>
      <w:r w:rsidRPr="005D5436">
        <w:rPr>
          <w:rFonts w:ascii="Times New Roman" w:hAnsi="Times New Roman" w:cs="Times New Roman"/>
          <w:sz w:val="20"/>
          <w:szCs w:val="20"/>
        </w:rPr>
        <w:t>The following KMPs are authorized by Board of Directors for the purpose of determining materiality of an event or information and for the purpose of making disclosures to stock exchange:</w:t>
      </w:r>
      <w:r w:rsidRPr="005D5436">
        <w:rPr>
          <w:rFonts w:cs="Times New Roman"/>
          <w:sz w:val="20"/>
          <w:szCs w:val="20"/>
        </w:rPr>
        <w:t>‐</w:t>
      </w:r>
    </w:p>
    <w:p w14:paraId="7A9CD664" w14:textId="77777777" w:rsidR="00452CCE" w:rsidRPr="005D5436" w:rsidRDefault="00452CCE">
      <w:pPr>
        <w:pStyle w:val="BodyText"/>
        <w:spacing w:before="12"/>
        <w:rPr>
          <w:rFonts w:ascii="Times New Roman" w:hAnsi="Times New Roman" w:cs="Times New Roman"/>
          <w:sz w:val="20"/>
          <w:szCs w:val="20"/>
        </w:rPr>
      </w:pPr>
    </w:p>
    <w:p w14:paraId="6DD9C1A5" w14:textId="390E5A1A" w:rsidR="00452CCE" w:rsidRPr="005D5436" w:rsidRDefault="00D85769" w:rsidP="00803D69">
      <w:pPr>
        <w:pStyle w:val="ListParagraph"/>
        <w:numPr>
          <w:ilvl w:val="0"/>
          <w:numId w:val="1"/>
        </w:numPr>
        <w:tabs>
          <w:tab w:val="left" w:pos="1060"/>
          <w:tab w:val="left" w:pos="4958"/>
        </w:tabs>
        <w:rPr>
          <w:rFonts w:ascii="Times New Roman" w:hAnsi="Times New Roman" w:cs="Times New Roman"/>
          <w:sz w:val="20"/>
          <w:szCs w:val="20"/>
        </w:rPr>
      </w:pPr>
      <w:r w:rsidRPr="005D5436">
        <w:rPr>
          <w:rFonts w:ascii="Times New Roman" w:hAnsi="Times New Roman" w:cs="Times New Roman"/>
          <w:sz w:val="20"/>
          <w:szCs w:val="20"/>
        </w:rPr>
        <w:t xml:space="preserve">Mr. </w:t>
      </w:r>
      <w:proofErr w:type="spellStart"/>
      <w:r w:rsidR="00803D69" w:rsidRPr="00803D69">
        <w:rPr>
          <w:rFonts w:ascii="Times New Roman" w:hAnsi="Times New Roman" w:cs="Times New Roman"/>
          <w:sz w:val="20"/>
          <w:szCs w:val="20"/>
        </w:rPr>
        <w:t>Mautik</w:t>
      </w:r>
      <w:proofErr w:type="spellEnd"/>
      <w:r w:rsidR="00803D69" w:rsidRPr="00803D69">
        <w:rPr>
          <w:rFonts w:ascii="Times New Roman" w:hAnsi="Times New Roman" w:cs="Times New Roman"/>
          <w:sz w:val="20"/>
          <w:szCs w:val="20"/>
        </w:rPr>
        <w:t xml:space="preserve"> </w:t>
      </w:r>
      <w:proofErr w:type="spellStart"/>
      <w:r w:rsidR="00803D69" w:rsidRPr="00803D69">
        <w:rPr>
          <w:rFonts w:ascii="Times New Roman" w:hAnsi="Times New Roman" w:cs="Times New Roman"/>
          <w:sz w:val="20"/>
          <w:szCs w:val="20"/>
        </w:rPr>
        <w:t>Ajit</w:t>
      </w:r>
      <w:proofErr w:type="spellEnd"/>
      <w:r w:rsidR="00803D69" w:rsidRPr="00803D69">
        <w:rPr>
          <w:rFonts w:ascii="Times New Roman" w:hAnsi="Times New Roman" w:cs="Times New Roman"/>
          <w:sz w:val="20"/>
          <w:szCs w:val="20"/>
        </w:rPr>
        <w:t xml:space="preserve"> </w:t>
      </w:r>
      <w:proofErr w:type="spellStart"/>
      <w:r w:rsidR="00803D69" w:rsidRPr="00803D69">
        <w:rPr>
          <w:rFonts w:ascii="Times New Roman" w:hAnsi="Times New Roman" w:cs="Times New Roman"/>
          <w:sz w:val="20"/>
          <w:szCs w:val="20"/>
        </w:rPr>
        <w:t>Tolia</w:t>
      </w:r>
      <w:proofErr w:type="spellEnd"/>
      <w:r w:rsidR="00637A79" w:rsidRPr="005D5436">
        <w:rPr>
          <w:rFonts w:ascii="Times New Roman" w:hAnsi="Times New Roman" w:cs="Times New Roman"/>
          <w:sz w:val="20"/>
          <w:szCs w:val="20"/>
        </w:rPr>
        <w:tab/>
        <w:t>: Managing</w:t>
      </w:r>
      <w:r w:rsidR="00637A79" w:rsidRPr="005D5436">
        <w:rPr>
          <w:rFonts w:ascii="Times New Roman" w:hAnsi="Times New Roman" w:cs="Times New Roman"/>
          <w:spacing w:val="-2"/>
          <w:sz w:val="20"/>
          <w:szCs w:val="20"/>
        </w:rPr>
        <w:t xml:space="preserve"> </w:t>
      </w:r>
      <w:r w:rsidR="00637A79" w:rsidRPr="005D5436">
        <w:rPr>
          <w:rFonts w:ascii="Times New Roman" w:hAnsi="Times New Roman" w:cs="Times New Roman"/>
          <w:sz w:val="20"/>
          <w:szCs w:val="20"/>
        </w:rPr>
        <w:t>Director</w:t>
      </w:r>
    </w:p>
    <w:p w14:paraId="55E6D8F1" w14:textId="6BC382A3" w:rsidR="00452CCE" w:rsidRPr="005D5436" w:rsidRDefault="00B779BA">
      <w:pPr>
        <w:pStyle w:val="ListParagraph"/>
        <w:numPr>
          <w:ilvl w:val="0"/>
          <w:numId w:val="1"/>
        </w:numPr>
        <w:tabs>
          <w:tab w:val="left" w:pos="1060"/>
          <w:tab w:val="left" w:pos="4958"/>
        </w:tabs>
        <w:ind w:hanging="361"/>
        <w:rPr>
          <w:rFonts w:ascii="Times New Roman" w:hAnsi="Times New Roman" w:cs="Times New Roman"/>
          <w:sz w:val="20"/>
          <w:szCs w:val="20"/>
        </w:rPr>
      </w:pPr>
      <w:r w:rsidRPr="005D5436">
        <w:rPr>
          <w:rFonts w:ascii="Times New Roman" w:hAnsi="Times New Roman" w:cs="Times New Roman"/>
          <w:sz w:val="20"/>
          <w:szCs w:val="20"/>
        </w:rPr>
        <w:t xml:space="preserve">Mr. </w:t>
      </w:r>
      <w:r w:rsidR="00803D69" w:rsidRPr="00803D69">
        <w:rPr>
          <w:rFonts w:ascii="Times New Roman" w:hAnsi="Times New Roman" w:cs="Times New Roman"/>
          <w:sz w:val="20"/>
          <w:szCs w:val="20"/>
        </w:rPr>
        <w:t xml:space="preserve">Ravi </w:t>
      </w:r>
      <w:proofErr w:type="spellStart"/>
      <w:r w:rsidR="00803D69" w:rsidRPr="00803D69">
        <w:rPr>
          <w:rFonts w:ascii="Times New Roman" w:hAnsi="Times New Roman" w:cs="Times New Roman"/>
          <w:sz w:val="20"/>
          <w:szCs w:val="20"/>
        </w:rPr>
        <w:t>Bhavanishankar</w:t>
      </w:r>
      <w:proofErr w:type="spellEnd"/>
      <w:r w:rsidR="00803D69" w:rsidRPr="00803D69">
        <w:rPr>
          <w:rFonts w:ascii="Times New Roman" w:hAnsi="Times New Roman" w:cs="Times New Roman"/>
          <w:sz w:val="20"/>
          <w:szCs w:val="20"/>
        </w:rPr>
        <w:t xml:space="preserve"> Bhatt</w:t>
      </w:r>
      <w:r w:rsidR="005A544E" w:rsidRPr="005A544E">
        <w:rPr>
          <w:rFonts w:ascii="Times New Roman" w:hAnsi="Times New Roman" w:cs="Times New Roman"/>
          <w:sz w:val="20"/>
          <w:szCs w:val="20"/>
        </w:rPr>
        <w:tab/>
      </w:r>
      <w:r w:rsidR="00637A79" w:rsidRPr="005D5436">
        <w:rPr>
          <w:rFonts w:ascii="Times New Roman" w:hAnsi="Times New Roman" w:cs="Times New Roman"/>
          <w:sz w:val="20"/>
          <w:szCs w:val="20"/>
        </w:rPr>
        <w:t>: Chief Financial</w:t>
      </w:r>
      <w:r w:rsidR="00637A79" w:rsidRPr="005D5436">
        <w:rPr>
          <w:rFonts w:ascii="Times New Roman" w:hAnsi="Times New Roman" w:cs="Times New Roman"/>
          <w:spacing w:val="3"/>
          <w:sz w:val="20"/>
          <w:szCs w:val="20"/>
        </w:rPr>
        <w:t xml:space="preserve"> </w:t>
      </w:r>
      <w:r w:rsidR="00637A79" w:rsidRPr="005D5436">
        <w:rPr>
          <w:rFonts w:ascii="Times New Roman" w:hAnsi="Times New Roman" w:cs="Times New Roman"/>
          <w:sz w:val="20"/>
          <w:szCs w:val="20"/>
        </w:rPr>
        <w:t>Officer</w:t>
      </w:r>
    </w:p>
    <w:p w14:paraId="141D7516" w14:textId="79181F32" w:rsidR="00452CCE" w:rsidRPr="005D5436" w:rsidRDefault="00B779BA">
      <w:pPr>
        <w:pStyle w:val="ListParagraph"/>
        <w:numPr>
          <w:ilvl w:val="0"/>
          <w:numId w:val="1"/>
        </w:numPr>
        <w:tabs>
          <w:tab w:val="left" w:pos="1060"/>
          <w:tab w:val="left" w:pos="4959"/>
        </w:tabs>
        <w:rPr>
          <w:rFonts w:ascii="Times New Roman" w:hAnsi="Times New Roman" w:cs="Times New Roman"/>
          <w:sz w:val="20"/>
          <w:szCs w:val="20"/>
        </w:rPr>
      </w:pPr>
      <w:r w:rsidRPr="005D5436">
        <w:rPr>
          <w:rFonts w:ascii="Times New Roman" w:hAnsi="Times New Roman" w:cs="Times New Roman"/>
          <w:sz w:val="20"/>
          <w:szCs w:val="20"/>
        </w:rPr>
        <w:t xml:space="preserve">Ms. </w:t>
      </w:r>
      <w:proofErr w:type="spellStart"/>
      <w:r w:rsidR="00803D69" w:rsidRPr="00803D69">
        <w:rPr>
          <w:rFonts w:ascii="Times New Roman" w:hAnsi="Times New Roman" w:cs="Times New Roman"/>
          <w:sz w:val="20"/>
          <w:szCs w:val="20"/>
        </w:rPr>
        <w:t>Saloni</w:t>
      </w:r>
      <w:proofErr w:type="spellEnd"/>
      <w:r w:rsidR="00803D69" w:rsidRPr="00803D69">
        <w:rPr>
          <w:rFonts w:ascii="Times New Roman" w:hAnsi="Times New Roman" w:cs="Times New Roman"/>
          <w:sz w:val="20"/>
          <w:szCs w:val="20"/>
        </w:rPr>
        <w:t xml:space="preserve"> Jain</w:t>
      </w:r>
      <w:r w:rsidR="00637A79" w:rsidRPr="005D5436">
        <w:rPr>
          <w:rFonts w:ascii="Times New Roman" w:hAnsi="Times New Roman" w:cs="Times New Roman"/>
          <w:sz w:val="20"/>
          <w:szCs w:val="20"/>
        </w:rPr>
        <w:tab/>
        <w:t>: Company Secretary &amp; Compliance</w:t>
      </w:r>
      <w:r w:rsidR="00637A79" w:rsidRPr="005D5436">
        <w:rPr>
          <w:rFonts w:ascii="Times New Roman" w:hAnsi="Times New Roman" w:cs="Times New Roman"/>
          <w:spacing w:val="-5"/>
          <w:sz w:val="20"/>
          <w:szCs w:val="20"/>
        </w:rPr>
        <w:t xml:space="preserve"> </w:t>
      </w:r>
      <w:r w:rsidR="00637A79" w:rsidRPr="005D5436">
        <w:rPr>
          <w:rFonts w:ascii="Times New Roman" w:hAnsi="Times New Roman" w:cs="Times New Roman"/>
          <w:sz w:val="20"/>
          <w:szCs w:val="20"/>
        </w:rPr>
        <w:t>Officer</w:t>
      </w:r>
    </w:p>
    <w:p w14:paraId="4921972C" w14:textId="77777777" w:rsidR="00452CCE" w:rsidRPr="005D5436" w:rsidRDefault="00452CCE">
      <w:pPr>
        <w:pStyle w:val="BodyText"/>
        <w:spacing w:before="11"/>
        <w:rPr>
          <w:rFonts w:ascii="Times New Roman" w:hAnsi="Times New Roman" w:cs="Times New Roman"/>
          <w:sz w:val="20"/>
          <w:szCs w:val="20"/>
        </w:rPr>
      </w:pPr>
    </w:p>
    <w:p w14:paraId="28B14615" w14:textId="77777777" w:rsidR="00452CCE" w:rsidRPr="005D5436" w:rsidRDefault="00637A79" w:rsidP="00637A79">
      <w:pPr>
        <w:pStyle w:val="Heading1"/>
        <w:ind w:left="340" w:right="108" w:firstLine="0"/>
        <w:jc w:val="both"/>
        <w:rPr>
          <w:rFonts w:ascii="Times New Roman" w:hAnsi="Times New Roman" w:cs="Times New Roman"/>
          <w:b w:val="0"/>
          <w:sz w:val="20"/>
          <w:szCs w:val="20"/>
        </w:rPr>
      </w:pPr>
      <w:r w:rsidRPr="005D5436">
        <w:rPr>
          <w:rFonts w:ascii="Times New Roman" w:hAnsi="Times New Roman" w:cs="Times New Roman"/>
          <w:sz w:val="20"/>
          <w:szCs w:val="20"/>
        </w:rPr>
        <w:t>Details of above KMPs shall be also disclosed to the stock exchange as well as on the Company’s website.</w:t>
      </w:r>
    </w:p>
    <w:p w14:paraId="33DA57F7" w14:textId="77777777" w:rsidR="00452CCE" w:rsidRPr="005D5436" w:rsidRDefault="00452CCE">
      <w:pPr>
        <w:pStyle w:val="BodyText"/>
        <w:spacing w:before="8"/>
        <w:rPr>
          <w:rFonts w:ascii="Times New Roman" w:hAnsi="Times New Roman" w:cs="Times New Roman"/>
          <w:b/>
          <w:sz w:val="20"/>
          <w:szCs w:val="20"/>
        </w:rPr>
      </w:pPr>
    </w:p>
    <w:p w14:paraId="5A6D6B61" w14:textId="77777777" w:rsidR="00452CCE" w:rsidRPr="005D5436" w:rsidRDefault="00637A79">
      <w:pPr>
        <w:pStyle w:val="ListParagraph"/>
        <w:numPr>
          <w:ilvl w:val="0"/>
          <w:numId w:val="4"/>
        </w:numPr>
        <w:tabs>
          <w:tab w:val="left" w:pos="767"/>
          <w:tab w:val="left" w:pos="768"/>
        </w:tabs>
        <w:spacing w:before="52"/>
        <w:ind w:right="110"/>
        <w:rPr>
          <w:rFonts w:ascii="Times New Roman" w:hAnsi="Times New Roman" w:cs="Times New Roman"/>
          <w:b/>
          <w:sz w:val="20"/>
          <w:szCs w:val="20"/>
        </w:rPr>
      </w:pPr>
      <w:r w:rsidRPr="005D5436">
        <w:rPr>
          <w:rFonts w:ascii="Times New Roman" w:hAnsi="Times New Roman" w:cs="Times New Roman"/>
          <w:b/>
          <w:sz w:val="20"/>
          <w:szCs w:val="20"/>
        </w:rPr>
        <w:t>TIME LIMIT FOR DISCLOSURES OF EVENT OR INFORMATION TO THE STOCK EXCHANGE:</w:t>
      </w:r>
    </w:p>
    <w:p w14:paraId="32BD6179" w14:textId="77777777" w:rsidR="00452CCE" w:rsidRPr="005D5436" w:rsidRDefault="00452CCE">
      <w:pPr>
        <w:pStyle w:val="BodyText"/>
        <w:spacing w:before="12"/>
        <w:rPr>
          <w:rFonts w:ascii="Times New Roman" w:hAnsi="Times New Roman" w:cs="Times New Roman"/>
          <w:b/>
          <w:sz w:val="20"/>
          <w:szCs w:val="20"/>
        </w:rPr>
      </w:pPr>
    </w:p>
    <w:p w14:paraId="265134C0" w14:textId="77777777" w:rsidR="00452CCE" w:rsidRPr="005D5436" w:rsidRDefault="00637A79">
      <w:pPr>
        <w:ind w:left="340" w:right="107"/>
        <w:jc w:val="both"/>
        <w:rPr>
          <w:rFonts w:ascii="Times New Roman" w:hAnsi="Times New Roman" w:cs="Times New Roman"/>
          <w:b/>
          <w:sz w:val="20"/>
          <w:szCs w:val="20"/>
        </w:rPr>
      </w:pPr>
      <w:r w:rsidRPr="005D5436">
        <w:rPr>
          <w:rFonts w:ascii="Times New Roman" w:hAnsi="Times New Roman" w:cs="Times New Roman"/>
          <w:sz w:val="20"/>
          <w:szCs w:val="20"/>
        </w:rPr>
        <w:t xml:space="preserve">The Company shall disclose to stock exchange all events, as specified in Part A of Schedule III of the SEBI (LODR) Regulation, or information </w:t>
      </w:r>
      <w:r w:rsidRPr="005D5436">
        <w:rPr>
          <w:rFonts w:ascii="Times New Roman" w:hAnsi="Times New Roman" w:cs="Times New Roman"/>
          <w:b/>
          <w:sz w:val="20"/>
          <w:szCs w:val="20"/>
        </w:rPr>
        <w:t>within twenty-four hours from the occurrence of event or</w:t>
      </w:r>
      <w:r w:rsidRPr="005D5436">
        <w:rPr>
          <w:rFonts w:ascii="Times New Roman" w:hAnsi="Times New Roman" w:cs="Times New Roman"/>
          <w:b/>
          <w:spacing w:val="2"/>
          <w:sz w:val="20"/>
          <w:szCs w:val="20"/>
        </w:rPr>
        <w:t xml:space="preserve"> </w:t>
      </w:r>
      <w:r w:rsidRPr="005D5436">
        <w:rPr>
          <w:rFonts w:ascii="Times New Roman" w:hAnsi="Times New Roman" w:cs="Times New Roman"/>
          <w:b/>
          <w:sz w:val="20"/>
          <w:szCs w:val="20"/>
        </w:rPr>
        <w:t>information.</w:t>
      </w:r>
    </w:p>
    <w:p w14:paraId="146182C5" w14:textId="77777777" w:rsidR="00452CCE" w:rsidRPr="005D5436" w:rsidRDefault="00452CCE">
      <w:pPr>
        <w:pStyle w:val="BodyText"/>
        <w:spacing w:before="11"/>
        <w:rPr>
          <w:rFonts w:ascii="Times New Roman" w:hAnsi="Times New Roman" w:cs="Times New Roman"/>
          <w:b/>
          <w:sz w:val="20"/>
          <w:szCs w:val="20"/>
        </w:rPr>
      </w:pPr>
    </w:p>
    <w:p w14:paraId="7BE26AF2" w14:textId="77777777" w:rsidR="00452CCE" w:rsidRPr="005D5436" w:rsidRDefault="00637A79">
      <w:pPr>
        <w:pStyle w:val="BodyText"/>
        <w:ind w:left="340" w:right="107"/>
        <w:jc w:val="both"/>
        <w:rPr>
          <w:rFonts w:ascii="Times New Roman" w:hAnsi="Times New Roman" w:cs="Times New Roman"/>
          <w:sz w:val="20"/>
          <w:szCs w:val="20"/>
        </w:rPr>
      </w:pPr>
      <w:r w:rsidRPr="005D5436">
        <w:rPr>
          <w:rFonts w:ascii="Times New Roman" w:hAnsi="Times New Roman" w:cs="Times New Roman"/>
          <w:sz w:val="20"/>
          <w:szCs w:val="20"/>
        </w:rPr>
        <w:t>In case the disclosure is made after twenty</w:t>
      </w:r>
      <w:r w:rsidRPr="005D5436">
        <w:rPr>
          <w:rFonts w:cs="Times New Roman"/>
          <w:sz w:val="20"/>
          <w:szCs w:val="20"/>
        </w:rPr>
        <w:t>‐</w:t>
      </w:r>
      <w:r w:rsidRPr="005D5436">
        <w:rPr>
          <w:rFonts w:ascii="Times New Roman" w:hAnsi="Times New Roman" w:cs="Times New Roman"/>
          <w:sz w:val="20"/>
          <w:szCs w:val="20"/>
        </w:rPr>
        <w:t>four hours of occurrence of the event or information, the Company shall, along with such disclosures provide explanation for delay.</w:t>
      </w:r>
    </w:p>
    <w:p w14:paraId="382DCCA3" w14:textId="77777777" w:rsidR="00452CCE" w:rsidRPr="005D5436" w:rsidRDefault="00452CCE">
      <w:pPr>
        <w:pStyle w:val="BodyText"/>
        <w:rPr>
          <w:rFonts w:ascii="Times New Roman" w:hAnsi="Times New Roman" w:cs="Times New Roman"/>
          <w:sz w:val="20"/>
          <w:szCs w:val="20"/>
        </w:rPr>
      </w:pPr>
    </w:p>
    <w:p w14:paraId="50105378" w14:textId="77777777" w:rsidR="00452CCE" w:rsidRDefault="00637A79">
      <w:pPr>
        <w:pStyle w:val="BodyText"/>
        <w:ind w:left="340" w:right="108"/>
        <w:jc w:val="both"/>
        <w:rPr>
          <w:rFonts w:ascii="Times New Roman" w:hAnsi="Times New Roman" w:cs="Times New Roman"/>
          <w:sz w:val="20"/>
          <w:szCs w:val="20"/>
        </w:rPr>
      </w:pPr>
      <w:r w:rsidRPr="005D5436">
        <w:rPr>
          <w:rFonts w:ascii="Times New Roman" w:hAnsi="Times New Roman" w:cs="Times New Roman"/>
          <w:sz w:val="20"/>
          <w:szCs w:val="20"/>
        </w:rPr>
        <w:t>Disclosure with respect to events specified in sub</w:t>
      </w:r>
      <w:r w:rsidRPr="005D5436">
        <w:rPr>
          <w:rFonts w:cs="Times New Roman"/>
          <w:sz w:val="20"/>
          <w:szCs w:val="20"/>
        </w:rPr>
        <w:t>‐</w:t>
      </w:r>
      <w:r w:rsidRPr="005D5436">
        <w:rPr>
          <w:rFonts w:ascii="Times New Roman" w:hAnsi="Times New Roman" w:cs="Times New Roman"/>
          <w:sz w:val="20"/>
          <w:szCs w:val="20"/>
        </w:rPr>
        <w:t>para 4 of Para A of Part A of Schedule III of LODR Regulations, 2015 shall be made within thirty minutes of the conclusion of the board meeting.</w:t>
      </w:r>
    </w:p>
    <w:p w14:paraId="1D5EFCA9" w14:textId="77777777" w:rsidR="004E31E3" w:rsidRPr="005D5436" w:rsidRDefault="004E31E3">
      <w:pPr>
        <w:pStyle w:val="BodyText"/>
        <w:ind w:left="340" w:right="108"/>
        <w:jc w:val="both"/>
        <w:rPr>
          <w:rFonts w:ascii="Times New Roman" w:hAnsi="Times New Roman" w:cs="Times New Roman"/>
          <w:sz w:val="20"/>
          <w:szCs w:val="20"/>
        </w:rPr>
      </w:pPr>
    </w:p>
    <w:p w14:paraId="600F9F9B" w14:textId="77777777" w:rsidR="00452CCE" w:rsidRPr="005D5436" w:rsidRDefault="00452CCE">
      <w:pPr>
        <w:pStyle w:val="BodyText"/>
        <w:spacing w:before="1"/>
        <w:rPr>
          <w:rFonts w:ascii="Times New Roman" w:hAnsi="Times New Roman" w:cs="Times New Roman"/>
          <w:sz w:val="20"/>
          <w:szCs w:val="20"/>
        </w:rPr>
      </w:pPr>
    </w:p>
    <w:p w14:paraId="526AF0B3" w14:textId="77777777" w:rsidR="00452CCE" w:rsidRPr="005D5436" w:rsidRDefault="00637A79">
      <w:pPr>
        <w:pStyle w:val="Heading1"/>
        <w:numPr>
          <w:ilvl w:val="0"/>
          <w:numId w:val="4"/>
        </w:numPr>
        <w:tabs>
          <w:tab w:val="left" w:pos="767"/>
          <w:tab w:val="left" w:pos="768"/>
        </w:tabs>
        <w:spacing w:before="1"/>
        <w:rPr>
          <w:rFonts w:ascii="Times New Roman" w:hAnsi="Times New Roman" w:cs="Times New Roman"/>
          <w:sz w:val="20"/>
          <w:szCs w:val="20"/>
        </w:rPr>
      </w:pPr>
      <w:r w:rsidRPr="005D5436">
        <w:rPr>
          <w:rFonts w:ascii="Times New Roman" w:hAnsi="Times New Roman" w:cs="Times New Roman"/>
          <w:sz w:val="20"/>
          <w:szCs w:val="20"/>
        </w:rPr>
        <w:lastRenderedPageBreak/>
        <w:t>DISCLOSURES ON COMPANY’S WEBSITE AND DISCLOSURES PRESERVATION</w:t>
      </w:r>
      <w:r w:rsidRPr="005D5436">
        <w:rPr>
          <w:rFonts w:ascii="Times New Roman" w:hAnsi="Times New Roman" w:cs="Times New Roman"/>
          <w:spacing w:val="-11"/>
          <w:sz w:val="20"/>
          <w:szCs w:val="20"/>
        </w:rPr>
        <w:t xml:space="preserve"> </w:t>
      </w:r>
      <w:r w:rsidRPr="005D5436">
        <w:rPr>
          <w:rFonts w:ascii="Times New Roman" w:hAnsi="Times New Roman" w:cs="Times New Roman"/>
          <w:sz w:val="20"/>
          <w:szCs w:val="20"/>
        </w:rPr>
        <w:t>PERIOD</w:t>
      </w:r>
    </w:p>
    <w:p w14:paraId="6BA0D260" w14:textId="77777777" w:rsidR="00452CCE" w:rsidRPr="005D5436" w:rsidRDefault="00452CCE">
      <w:pPr>
        <w:pStyle w:val="BodyText"/>
        <w:spacing w:before="11"/>
        <w:rPr>
          <w:rFonts w:ascii="Times New Roman" w:hAnsi="Times New Roman" w:cs="Times New Roman"/>
          <w:b/>
          <w:sz w:val="20"/>
          <w:szCs w:val="20"/>
        </w:rPr>
      </w:pPr>
    </w:p>
    <w:p w14:paraId="13B3946E" w14:textId="77777777" w:rsidR="00452CCE" w:rsidRPr="005D5436" w:rsidRDefault="00637A79">
      <w:pPr>
        <w:pStyle w:val="BodyText"/>
        <w:ind w:left="339" w:right="109"/>
        <w:jc w:val="both"/>
        <w:rPr>
          <w:rFonts w:ascii="Times New Roman" w:hAnsi="Times New Roman" w:cs="Times New Roman"/>
          <w:sz w:val="20"/>
          <w:szCs w:val="20"/>
        </w:rPr>
      </w:pPr>
      <w:r w:rsidRPr="005D5436">
        <w:rPr>
          <w:rFonts w:ascii="Times New Roman" w:hAnsi="Times New Roman" w:cs="Times New Roman"/>
          <w:sz w:val="20"/>
          <w:szCs w:val="20"/>
        </w:rPr>
        <w:t>The Company shall disclose on its website all such events or information which has been disclosed to stock exchange under this policy, and such disclosures shall be hosted on the website of the company for a minimum period of five years and thereafter as per the Documents Preservation Policy of the Company, as disclosed on its website.</w:t>
      </w:r>
    </w:p>
    <w:p w14:paraId="6B51F4A2" w14:textId="77777777" w:rsidR="00452CCE" w:rsidRPr="005D5436" w:rsidRDefault="00452CCE">
      <w:pPr>
        <w:pStyle w:val="BodyText"/>
        <w:spacing w:before="12"/>
        <w:rPr>
          <w:rFonts w:ascii="Times New Roman" w:hAnsi="Times New Roman" w:cs="Times New Roman"/>
          <w:sz w:val="20"/>
          <w:szCs w:val="20"/>
        </w:rPr>
      </w:pPr>
    </w:p>
    <w:p w14:paraId="4222DF4A" w14:textId="77777777" w:rsidR="00452CCE" w:rsidRPr="005D5436" w:rsidRDefault="00637A79">
      <w:pPr>
        <w:pStyle w:val="Heading1"/>
        <w:numPr>
          <w:ilvl w:val="0"/>
          <w:numId w:val="4"/>
        </w:numPr>
        <w:tabs>
          <w:tab w:val="left" w:pos="768"/>
        </w:tabs>
        <w:ind w:hanging="429"/>
        <w:rPr>
          <w:rFonts w:ascii="Times New Roman" w:hAnsi="Times New Roman" w:cs="Times New Roman"/>
          <w:sz w:val="20"/>
          <w:szCs w:val="20"/>
        </w:rPr>
      </w:pPr>
      <w:r w:rsidRPr="005D5436">
        <w:rPr>
          <w:rFonts w:ascii="Times New Roman" w:hAnsi="Times New Roman" w:cs="Times New Roman"/>
          <w:sz w:val="20"/>
          <w:szCs w:val="20"/>
        </w:rPr>
        <w:t>REVIEW OF THE</w:t>
      </w:r>
      <w:r w:rsidRPr="005D5436">
        <w:rPr>
          <w:rFonts w:ascii="Times New Roman" w:hAnsi="Times New Roman" w:cs="Times New Roman"/>
          <w:spacing w:val="2"/>
          <w:sz w:val="20"/>
          <w:szCs w:val="20"/>
        </w:rPr>
        <w:t xml:space="preserve"> </w:t>
      </w:r>
      <w:r w:rsidRPr="005D5436">
        <w:rPr>
          <w:rFonts w:ascii="Times New Roman" w:hAnsi="Times New Roman" w:cs="Times New Roman"/>
          <w:sz w:val="20"/>
          <w:szCs w:val="20"/>
        </w:rPr>
        <w:t>POLICY</w:t>
      </w:r>
    </w:p>
    <w:p w14:paraId="4EDCFE36" w14:textId="77777777" w:rsidR="00452CCE" w:rsidRPr="005D5436" w:rsidRDefault="00452CCE">
      <w:pPr>
        <w:pStyle w:val="BodyText"/>
        <w:spacing w:before="11"/>
        <w:rPr>
          <w:rFonts w:ascii="Times New Roman" w:hAnsi="Times New Roman" w:cs="Times New Roman"/>
          <w:b/>
          <w:sz w:val="20"/>
          <w:szCs w:val="20"/>
        </w:rPr>
      </w:pPr>
    </w:p>
    <w:p w14:paraId="0F113FC7" w14:textId="77777777" w:rsidR="00452CCE" w:rsidRPr="005D5436" w:rsidRDefault="00637A79">
      <w:pPr>
        <w:pStyle w:val="BodyText"/>
        <w:spacing w:before="1"/>
        <w:ind w:left="340" w:right="109"/>
        <w:jc w:val="both"/>
        <w:rPr>
          <w:rFonts w:ascii="Times New Roman" w:hAnsi="Times New Roman" w:cs="Times New Roman"/>
          <w:sz w:val="20"/>
          <w:szCs w:val="20"/>
        </w:rPr>
      </w:pPr>
      <w:r w:rsidRPr="005D5436">
        <w:rPr>
          <w:rFonts w:ascii="Times New Roman" w:hAnsi="Times New Roman" w:cs="Times New Roman"/>
          <w:sz w:val="20"/>
          <w:szCs w:val="20"/>
        </w:rPr>
        <w:t>The Board of directors of the company shall review the policy on an annual basis. The authorized person shall provide regular assurance to board of directors on the effectiveness of the Policy.</w:t>
      </w:r>
    </w:p>
    <w:p w14:paraId="23C866D3" w14:textId="77777777" w:rsidR="00452CCE" w:rsidRPr="005D5436" w:rsidRDefault="00452CCE">
      <w:pPr>
        <w:pStyle w:val="BodyText"/>
        <w:spacing w:before="1"/>
        <w:rPr>
          <w:rFonts w:ascii="Times New Roman" w:hAnsi="Times New Roman" w:cs="Times New Roman"/>
          <w:sz w:val="20"/>
          <w:szCs w:val="20"/>
        </w:rPr>
      </w:pPr>
    </w:p>
    <w:p w14:paraId="5A1D6299" w14:textId="3951EAAF" w:rsidR="00452CCE" w:rsidRPr="005D5436" w:rsidRDefault="00452CCE">
      <w:pPr>
        <w:pStyle w:val="Heading1"/>
        <w:ind w:left="340" w:right="110" w:firstLine="0"/>
        <w:jc w:val="both"/>
        <w:rPr>
          <w:rFonts w:ascii="Times New Roman" w:hAnsi="Times New Roman" w:cs="Times New Roman"/>
          <w:sz w:val="20"/>
          <w:szCs w:val="20"/>
        </w:rPr>
      </w:pPr>
    </w:p>
    <w:sectPr w:rsidR="00452CCE" w:rsidRPr="005D5436" w:rsidSect="00D21E24">
      <w:headerReference w:type="default" r:id="rId8"/>
      <w:footerReference w:type="default" r:id="rId9"/>
      <w:pgSz w:w="11900" w:h="16840"/>
      <w:pgMar w:top="964" w:right="1320" w:bottom="1580" w:left="1100" w:header="4" w:footer="139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78000" w14:textId="77777777" w:rsidR="00691FC5" w:rsidRDefault="00691FC5" w:rsidP="00452CCE">
      <w:r>
        <w:separator/>
      </w:r>
    </w:p>
  </w:endnote>
  <w:endnote w:type="continuationSeparator" w:id="0">
    <w:p w14:paraId="24147490" w14:textId="77777777" w:rsidR="00691FC5" w:rsidRDefault="00691FC5" w:rsidP="00452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5123D" w14:textId="77777777" w:rsidR="00452CCE" w:rsidRDefault="00691FC5">
    <w:pPr>
      <w:pStyle w:val="BodyText"/>
      <w:spacing w:line="14" w:lineRule="auto"/>
      <w:rPr>
        <w:sz w:val="20"/>
      </w:rPr>
    </w:pPr>
    <w:r>
      <w:pict w14:anchorId="7A3829F4">
        <v:shapetype id="_x0000_t202" coordsize="21600,21600" o:spt="202" path="m,l,21600r21600,l21600,xe">
          <v:stroke joinstyle="miter"/>
          <v:path gradientshapeok="t" o:connecttype="rect"/>
        </v:shapetype>
        <v:shape id="_x0000_s2051" type="#_x0000_t202" style="position:absolute;margin-left:163.3pt;margin-top:760.6pt;width:109.65pt;height:12pt;z-index:-251917312;mso-position-horizontal-relative:page;mso-position-vertical-relative:page" filled="f" stroked="f">
          <v:textbox style="mso-next-textbox:#_x0000_s2051" inset="0,0,0,0">
            <w:txbxContent>
              <w:p w14:paraId="05E65F10" w14:textId="77777777" w:rsidR="00452CCE" w:rsidRPr="00B93B07" w:rsidRDefault="00452CCE" w:rsidP="00B93B07"/>
            </w:txbxContent>
          </v:textbox>
          <w10:wrap anchorx="page" anchory="page"/>
        </v:shape>
      </w:pict>
    </w:r>
    <w:r>
      <w:pict w14:anchorId="57AE6163">
        <v:shape id="_x0000_s2050" type="#_x0000_t202" style="position:absolute;margin-left:296pt;margin-top:760.6pt;width:173.65pt;height:63pt;z-index:-251916288;mso-position-horizontal-relative:page;mso-position-vertical-relative:page" filled="f" stroked="f">
          <v:textbox style="mso-next-textbox:#_x0000_s2050" inset="0,0,0,0">
            <w:txbxContent>
              <w:p w14:paraId="433F60B6" w14:textId="77777777" w:rsidR="00452CCE" w:rsidRPr="00B93B07" w:rsidRDefault="00452CCE" w:rsidP="00B93B07"/>
            </w:txbxContent>
          </v:textbox>
          <w10:wrap anchorx="page" anchory="page"/>
        </v:shape>
      </w:pict>
    </w:r>
    <w:r>
      <w:pict w14:anchorId="57DAF498">
        <v:shape id="_x0000_s2049" type="#_x0000_t202" style="position:absolute;margin-left:171.55pt;margin-top:786.05pt;width:35.95pt;height:37.55pt;z-index:-251915264;mso-position-horizontal-relative:page;mso-position-vertical-relative:page" filled="f" stroked="f">
          <v:textbox style="mso-next-textbox:#_x0000_s2049" inset="0,0,0,0">
            <w:txbxContent>
              <w:p w14:paraId="247FA5FD" w14:textId="77777777" w:rsidR="00452CCE" w:rsidRPr="00B93B07" w:rsidRDefault="00452CCE" w:rsidP="00B93B07"/>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12829B" w14:textId="77777777" w:rsidR="00691FC5" w:rsidRDefault="00691FC5" w:rsidP="00452CCE">
      <w:r>
        <w:separator/>
      </w:r>
    </w:p>
  </w:footnote>
  <w:footnote w:type="continuationSeparator" w:id="0">
    <w:p w14:paraId="2735B834" w14:textId="77777777" w:rsidR="00691FC5" w:rsidRDefault="00691FC5" w:rsidP="00452C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D1859" w14:textId="77777777" w:rsidR="00FB3DF7" w:rsidRDefault="00FB3DF7" w:rsidP="0013061F">
    <w:pPr>
      <w:pStyle w:val="Header"/>
      <w:jc w:val="center"/>
    </w:pPr>
  </w:p>
  <w:p w14:paraId="5B6BEE77" w14:textId="77777777" w:rsidR="00452CCE" w:rsidRPr="0013061F" w:rsidRDefault="0013061F" w:rsidP="0013061F">
    <w:pPr>
      <w:pStyle w:val="Header"/>
      <w:jc w:val="center"/>
    </w:pPr>
    <w:r>
      <w:t>ON THE LETTERHEAD OF THE COMPANY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72120"/>
    <w:multiLevelType w:val="hybridMultilevel"/>
    <w:tmpl w:val="E0060B48"/>
    <w:lvl w:ilvl="0" w:tplc="053AD3D4">
      <w:start w:val="1"/>
      <w:numFmt w:val="upperRoman"/>
      <w:lvlText w:val="%1."/>
      <w:lvlJc w:val="left"/>
      <w:pPr>
        <w:ind w:left="906" w:hanging="548"/>
        <w:jc w:val="right"/>
      </w:pPr>
      <w:rPr>
        <w:rFonts w:hint="default"/>
        <w:spacing w:val="-1"/>
        <w:w w:val="99"/>
        <w:lang w:val="en-US" w:eastAsia="en-US" w:bidi="en-US"/>
      </w:rPr>
    </w:lvl>
    <w:lvl w:ilvl="1" w:tplc="082AAFD8">
      <w:start w:val="1"/>
      <w:numFmt w:val="lowerLetter"/>
      <w:lvlText w:val="%2)"/>
      <w:lvlJc w:val="left"/>
      <w:pPr>
        <w:ind w:left="1333" w:hanging="428"/>
        <w:jc w:val="left"/>
      </w:pPr>
      <w:rPr>
        <w:rFonts w:ascii="Calibri" w:eastAsia="Calibri" w:hAnsi="Calibri" w:cs="Calibri" w:hint="default"/>
        <w:w w:val="99"/>
        <w:sz w:val="24"/>
        <w:szCs w:val="24"/>
        <w:lang w:val="en-US" w:eastAsia="en-US" w:bidi="en-US"/>
      </w:rPr>
    </w:lvl>
    <w:lvl w:ilvl="2" w:tplc="6DDC1B8E">
      <w:numFmt w:val="bullet"/>
      <w:lvlText w:val="•"/>
      <w:lvlJc w:val="left"/>
      <w:pPr>
        <w:ind w:left="2244" w:hanging="428"/>
      </w:pPr>
      <w:rPr>
        <w:rFonts w:hint="default"/>
        <w:lang w:val="en-US" w:eastAsia="en-US" w:bidi="en-US"/>
      </w:rPr>
    </w:lvl>
    <w:lvl w:ilvl="3" w:tplc="775EDE32">
      <w:numFmt w:val="bullet"/>
      <w:lvlText w:val="•"/>
      <w:lvlJc w:val="left"/>
      <w:pPr>
        <w:ind w:left="3148" w:hanging="428"/>
      </w:pPr>
      <w:rPr>
        <w:rFonts w:hint="default"/>
        <w:lang w:val="en-US" w:eastAsia="en-US" w:bidi="en-US"/>
      </w:rPr>
    </w:lvl>
    <w:lvl w:ilvl="4" w:tplc="A0CE7BD4">
      <w:numFmt w:val="bullet"/>
      <w:lvlText w:val="•"/>
      <w:lvlJc w:val="left"/>
      <w:pPr>
        <w:ind w:left="4053" w:hanging="428"/>
      </w:pPr>
      <w:rPr>
        <w:rFonts w:hint="default"/>
        <w:lang w:val="en-US" w:eastAsia="en-US" w:bidi="en-US"/>
      </w:rPr>
    </w:lvl>
    <w:lvl w:ilvl="5" w:tplc="00F411C4">
      <w:numFmt w:val="bullet"/>
      <w:lvlText w:val="•"/>
      <w:lvlJc w:val="left"/>
      <w:pPr>
        <w:ind w:left="4957" w:hanging="428"/>
      </w:pPr>
      <w:rPr>
        <w:rFonts w:hint="default"/>
        <w:lang w:val="en-US" w:eastAsia="en-US" w:bidi="en-US"/>
      </w:rPr>
    </w:lvl>
    <w:lvl w:ilvl="6" w:tplc="CAE8CA90">
      <w:numFmt w:val="bullet"/>
      <w:lvlText w:val="•"/>
      <w:lvlJc w:val="left"/>
      <w:pPr>
        <w:ind w:left="5862" w:hanging="428"/>
      </w:pPr>
      <w:rPr>
        <w:rFonts w:hint="default"/>
        <w:lang w:val="en-US" w:eastAsia="en-US" w:bidi="en-US"/>
      </w:rPr>
    </w:lvl>
    <w:lvl w:ilvl="7" w:tplc="8B0814E4">
      <w:numFmt w:val="bullet"/>
      <w:lvlText w:val="•"/>
      <w:lvlJc w:val="left"/>
      <w:pPr>
        <w:ind w:left="6766" w:hanging="428"/>
      </w:pPr>
      <w:rPr>
        <w:rFonts w:hint="default"/>
        <w:lang w:val="en-US" w:eastAsia="en-US" w:bidi="en-US"/>
      </w:rPr>
    </w:lvl>
    <w:lvl w:ilvl="8" w:tplc="DA8A7B04">
      <w:numFmt w:val="bullet"/>
      <w:lvlText w:val="•"/>
      <w:lvlJc w:val="left"/>
      <w:pPr>
        <w:ind w:left="7671" w:hanging="428"/>
      </w:pPr>
      <w:rPr>
        <w:rFonts w:hint="default"/>
        <w:lang w:val="en-US" w:eastAsia="en-US" w:bidi="en-US"/>
      </w:rPr>
    </w:lvl>
  </w:abstractNum>
  <w:abstractNum w:abstractNumId="1">
    <w:nsid w:val="635D2DF2"/>
    <w:multiLevelType w:val="hybridMultilevel"/>
    <w:tmpl w:val="B3B6BE96"/>
    <w:lvl w:ilvl="0" w:tplc="19B48B10">
      <w:start w:val="1"/>
      <w:numFmt w:val="decimal"/>
      <w:lvlText w:val="%1."/>
      <w:lvlJc w:val="left"/>
      <w:pPr>
        <w:ind w:left="767" w:hanging="428"/>
        <w:jc w:val="left"/>
      </w:pPr>
      <w:rPr>
        <w:rFonts w:ascii="Calibri" w:eastAsia="Calibri" w:hAnsi="Calibri" w:cs="Calibri" w:hint="default"/>
        <w:b/>
        <w:bCs/>
        <w:w w:val="99"/>
        <w:sz w:val="24"/>
        <w:szCs w:val="24"/>
        <w:lang w:val="en-US" w:eastAsia="en-US" w:bidi="en-US"/>
      </w:rPr>
    </w:lvl>
    <w:lvl w:ilvl="1" w:tplc="4502D6F6">
      <w:start w:val="1"/>
      <w:numFmt w:val="lowerRoman"/>
      <w:lvlText w:val="%2."/>
      <w:lvlJc w:val="left"/>
      <w:pPr>
        <w:ind w:left="1060" w:hanging="476"/>
        <w:jc w:val="right"/>
      </w:pPr>
      <w:rPr>
        <w:rFonts w:ascii="Calibri" w:eastAsia="Calibri" w:hAnsi="Calibri" w:cs="Calibri" w:hint="default"/>
        <w:w w:val="99"/>
        <w:sz w:val="24"/>
        <w:szCs w:val="24"/>
        <w:lang w:val="en-US" w:eastAsia="en-US" w:bidi="en-US"/>
      </w:rPr>
    </w:lvl>
    <w:lvl w:ilvl="2" w:tplc="531A9676">
      <w:numFmt w:val="bullet"/>
      <w:lvlText w:val="•"/>
      <w:lvlJc w:val="left"/>
      <w:pPr>
        <w:ind w:left="1995" w:hanging="476"/>
      </w:pPr>
      <w:rPr>
        <w:rFonts w:hint="default"/>
        <w:lang w:val="en-US" w:eastAsia="en-US" w:bidi="en-US"/>
      </w:rPr>
    </w:lvl>
    <w:lvl w:ilvl="3" w:tplc="C58E59D2">
      <w:numFmt w:val="bullet"/>
      <w:lvlText w:val="•"/>
      <w:lvlJc w:val="left"/>
      <w:pPr>
        <w:ind w:left="2931" w:hanging="476"/>
      </w:pPr>
      <w:rPr>
        <w:rFonts w:hint="default"/>
        <w:lang w:val="en-US" w:eastAsia="en-US" w:bidi="en-US"/>
      </w:rPr>
    </w:lvl>
    <w:lvl w:ilvl="4" w:tplc="3A123316">
      <w:numFmt w:val="bullet"/>
      <w:lvlText w:val="•"/>
      <w:lvlJc w:val="left"/>
      <w:pPr>
        <w:ind w:left="3866" w:hanging="476"/>
      </w:pPr>
      <w:rPr>
        <w:rFonts w:hint="default"/>
        <w:lang w:val="en-US" w:eastAsia="en-US" w:bidi="en-US"/>
      </w:rPr>
    </w:lvl>
    <w:lvl w:ilvl="5" w:tplc="54081BE0">
      <w:numFmt w:val="bullet"/>
      <w:lvlText w:val="•"/>
      <w:lvlJc w:val="left"/>
      <w:pPr>
        <w:ind w:left="4802" w:hanging="476"/>
      </w:pPr>
      <w:rPr>
        <w:rFonts w:hint="default"/>
        <w:lang w:val="en-US" w:eastAsia="en-US" w:bidi="en-US"/>
      </w:rPr>
    </w:lvl>
    <w:lvl w:ilvl="6" w:tplc="B7F4AA5E">
      <w:numFmt w:val="bullet"/>
      <w:lvlText w:val="•"/>
      <w:lvlJc w:val="left"/>
      <w:pPr>
        <w:ind w:left="5737" w:hanging="476"/>
      </w:pPr>
      <w:rPr>
        <w:rFonts w:hint="default"/>
        <w:lang w:val="en-US" w:eastAsia="en-US" w:bidi="en-US"/>
      </w:rPr>
    </w:lvl>
    <w:lvl w:ilvl="7" w:tplc="475A94BC">
      <w:numFmt w:val="bullet"/>
      <w:lvlText w:val="•"/>
      <w:lvlJc w:val="left"/>
      <w:pPr>
        <w:ind w:left="6673" w:hanging="476"/>
      </w:pPr>
      <w:rPr>
        <w:rFonts w:hint="default"/>
        <w:lang w:val="en-US" w:eastAsia="en-US" w:bidi="en-US"/>
      </w:rPr>
    </w:lvl>
    <w:lvl w:ilvl="8" w:tplc="6D2220F0">
      <w:numFmt w:val="bullet"/>
      <w:lvlText w:val="•"/>
      <w:lvlJc w:val="left"/>
      <w:pPr>
        <w:ind w:left="7608" w:hanging="476"/>
      </w:pPr>
      <w:rPr>
        <w:rFonts w:hint="default"/>
        <w:lang w:val="en-US" w:eastAsia="en-US" w:bidi="en-US"/>
      </w:rPr>
    </w:lvl>
  </w:abstractNum>
  <w:abstractNum w:abstractNumId="2">
    <w:nsid w:val="6D0E75DC"/>
    <w:multiLevelType w:val="hybridMultilevel"/>
    <w:tmpl w:val="B0AE7F2E"/>
    <w:lvl w:ilvl="0" w:tplc="7150A9E2">
      <w:start w:val="1"/>
      <w:numFmt w:val="upperRoman"/>
      <w:lvlText w:val="%1."/>
      <w:lvlJc w:val="left"/>
      <w:pPr>
        <w:ind w:left="906" w:hanging="552"/>
        <w:jc w:val="right"/>
      </w:pPr>
      <w:rPr>
        <w:rFonts w:ascii="Calibri" w:eastAsia="Calibri" w:hAnsi="Calibri" w:cs="Calibri" w:hint="default"/>
        <w:b/>
        <w:bCs/>
        <w:w w:val="99"/>
        <w:sz w:val="24"/>
        <w:szCs w:val="24"/>
        <w:lang w:val="en-US" w:eastAsia="en-US" w:bidi="en-US"/>
      </w:rPr>
    </w:lvl>
    <w:lvl w:ilvl="1" w:tplc="F3D289E6">
      <w:numFmt w:val="bullet"/>
      <w:lvlText w:val="•"/>
      <w:lvlJc w:val="left"/>
      <w:pPr>
        <w:ind w:left="1758" w:hanging="552"/>
      </w:pPr>
      <w:rPr>
        <w:rFonts w:hint="default"/>
        <w:lang w:val="en-US" w:eastAsia="en-US" w:bidi="en-US"/>
      </w:rPr>
    </w:lvl>
    <w:lvl w:ilvl="2" w:tplc="A490AE9C">
      <w:numFmt w:val="bullet"/>
      <w:lvlText w:val="•"/>
      <w:lvlJc w:val="left"/>
      <w:pPr>
        <w:ind w:left="2616" w:hanging="552"/>
      </w:pPr>
      <w:rPr>
        <w:rFonts w:hint="default"/>
        <w:lang w:val="en-US" w:eastAsia="en-US" w:bidi="en-US"/>
      </w:rPr>
    </w:lvl>
    <w:lvl w:ilvl="3" w:tplc="4B6834DE">
      <w:numFmt w:val="bullet"/>
      <w:lvlText w:val="•"/>
      <w:lvlJc w:val="left"/>
      <w:pPr>
        <w:ind w:left="3474" w:hanging="552"/>
      </w:pPr>
      <w:rPr>
        <w:rFonts w:hint="default"/>
        <w:lang w:val="en-US" w:eastAsia="en-US" w:bidi="en-US"/>
      </w:rPr>
    </w:lvl>
    <w:lvl w:ilvl="4" w:tplc="72B85C5A">
      <w:numFmt w:val="bullet"/>
      <w:lvlText w:val="•"/>
      <w:lvlJc w:val="left"/>
      <w:pPr>
        <w:ind w:left="4332" w:hanging="552"/>
      </w:pPr>
      <w:rPr>
        <w:rFonts w:hint="default"/>
        <w:lang w:val="en-US" w:eastAsia="en-US" w:bidi="en-US"/>
      </w:rPr>
    </w:lvl>
    <w:lvl w:ilvl="5" w:tplc="6E60C290">
      <w:numFmt w:val="bullet"/>
      <w:lvlText w:val="•"/>
      <w:lvlJc w:val="left"/>
      <w:pPr>
        <w:ind w:left="5190" w:hanging="552"/>
      </w:pPr>
      <w:rPr>
        <w:rFonts w:hint="default"/>
        <w:lang w:val="en-US" w:eastAsia="en-US" w:bidi="en-US"/>
      </w:rPr>
    </w:lvl>
    <w:lvl w:ilvl="6" w:tplc="A18C05DA">
      <w:numFmt w:val="bullet"/>
      <w:lvlText w:val="•"/>
      <w:lvlJc w:val="left"/>
      <w:pPr>
        <w:ind w:left="6048" w:hanging="552"/>
      </w:pPr>
      <w:rPr>
        <w:rFonts w:hint="default"/>
        <w:lang w:val="en-US" w:eastAsia="en-US" w:bidi="en-US"/>
      </w:rPr>
    </w:lvl>
    <w:lvl w:ilvl="7" w:tplc="DC24EEAE">
      <w:numFmt w:val="bullet"/>
      <w:lvlText w:val="•"/>
      <w:lvlJc w:val="left"/>
      <w:pPr>
        <w:ind w:left="6906" w:hanging="552"/>
      </w:pPr>
      <w:rPr>
        <w:rFonts w:hint="default"/>
        <w:lang w:val="en-US" w:eastAsia="en-US" w:bidi="en-US"/>
      </w:rPr>
    </w:lvl>
    <w:lvl w:ilvl="8" w:tplc="13FAC8A8">
      <w:numFmt w:val="bullet"/>
      <w:lvlText w:val="•"/>
      <w:lvlJc w:val="left"/>
      <w:pPr>
        <w:ind w:left="7764" w:hanging="552"/>
      </w:pPr>
      <w:rPr>
        <w:rFonts w:hint="default"/>
        <w:lang w:val="en-US" w:eastAsia="en-US" w:bidi="en-US"/>
      </w:rPr>
    </w:lvl>
  </w:abstractNum>
  <w:abstractNum w:abstractNumId="3">
    <w:nsid w:val="6D3424D3"/>
    <w:multiLevelType w:val="hybridMultilevel"/>
    <w:tmpl w:val="E18A1118"/>
    <w:lvl w:ilvl="0" w:tplc="3BFE01A0">
      <w:start w:val="1"/>
      <w:numFmt w:val="decimal"/>
      <w:lvlText w:val="%1."/>
      <w:lvlJc w:val="left"/>
      <w:pPr>
        <w:ind w:left="1060" w:hanging="360"/>
        <w:jc w:val="left"/>
      </w:pPr>
      <w:rPr>
        <w:rFonts w:ascii="Calibri" w:eastAsia="Calibri" w:hAnsi="Calibri" w:cs="Calibri" w:hint="default"/>
        <w:w w:val="99"/>
        <w:sz w:val="24"/>
        <w:szCs w:val="24"/>
        <w:lang w:val="en-US" w:eastAsia="en-US" w:bidi="en-US"/>
      </w:rPr>
    </w:lvl>
    <w:lvl w:ilvl="1" w:tplc="92C04AD6">
      <w:numFmt w:val="bullet"/>
      <w:lvlText w:val="•"/>
      <w:lvlJc w:val="left"/>
      <w:pPr>
        <w:ind w:left="1902" w:hanging="360"/>
      </w:pPr>
      <w:rPr>
        <w:rFonts w:hint="default"/>
        <w:lang w:val="en-US" w:eastAsia="en-US" w:bidi="en-US"/>
      </w:rPr>
    </w:lvl>
    <w:lvl w:ilvl="2" w:tplc="7908BB06">
      <w:numFmt w:val="bullet"/>
      <w:lvlText w:val="•"/>
      <w:lvlJc w:val="left"/>
      <w:pPr>
        <w:ind w:left="2744" w:hanging="360"/>
      </w:pPr>
      <w:rPr>
        <w:rFonts w:hint="default"/>
        <w:lang w:val="en-US" w:eastAsia="en-US" w:bidi="en-US"/>
      </w:rPr>
    </w:lvl>
    <w:lvl w:ilvl="3" w:tplc="8E387AA2">
      <w:numFmt w:val="bullet"/>
      <w:lvlText w:val="•"/>
      <w:lvlJc w:val="left"/>
      <w:pPr>
        <w:ind w:left="3586" w:hanging="360"/>
      </w:pPr>
      <w:rPr>
        <w:rFonts w:hint="default"/>
        <w:lang w:val="en-US" w:eastAsia="en-US" w:bidi="en-US"/>
      </w:rPr>
    </w:lvl>
    <w:lvl w:ilvl="4" w:tplc="13088BD4">
      <w:numFmt w:val="bullet"/>
      <w:lvlText w:val="•"/>
      <w:lvlJc w:val="left"/>
      <w:pPr>
        <w:ind w:left="4428" w:hanging="360"/>
      </w:pPr>
      <w:rPr>
        <w:rFonts w:hint="default"/>
        <w:lang w:val="en-US" w:eastAsia="en-US" w:bidi="en-US"/>
      </w:rPr>
    </w:lvl>
    <w:lvl w:ilvl="5" w:tplc="DF4CE106">
      <w:numFmt w:val="bullet"/>
      <w:lvlText w:val="•"/>
      <w:lvlJc w:val="left"/>
      <w:pPr>
        <w:ind w:left="5270" w:hanging="360"/>
      </w:pPr>
      <w:rPr>
        <w:rFonts w:hint="default"/>
        <w:lang w:val="en-US" w:eastAsia="en-US" w:bidi="en-US"/>
      </w:rPr>
    </w:lvl>
    <w:lvl w:ilvl="6" w:tplc="661CA3B0">
      <w:numFmt w:val="bullet"/>
      <w:lvlText w:val="•"/>
      <w:lvlJc w:val="left"/>
      <w:pPr>
        <w:ind w:left="6112" w:hanging="360"/>
      </w:pPr>
      <w:rPr>
        <w:rFonts w:hint="default"/>
        <w:lang w:val="en-US" w:eastAsia="en-US" w:bidi="en-US"/>
      </w:rPr>
    </w:lvl>
    <w:lvl w:ilvl="7" w:tplc="43F0CF44">
      <w:numFmt w:val="bullet"/>
      <w:lvlText w:val="•"/>
      <w:lvlJc w:val="left"/>
      <w:pPr>
        <w:ind w:left="6954" w:hanging="360"/>
      </w:pPr>
      <w:rPr>
        <w:rFonts w:hint="default"/>
        <w:lang w:val="en-US" w:eastAsia="en-US" w:bidi="en-US"/>
      </w:rPr>
    </w:lvl>
    <w:lvl w:ilvl="8" w:tplc="DD30347C">
      <w:numFmt w:val="bullet"/>
      <w:lvlText w:val="•"/>
      <w:lvlJc w:val="left"/>
      <w:pPr>
        <w:ind w:left="7796" w:hanging="360"/>
      </w:pPr>
      <w:rPr>
        <w:rFonts w:hint="default"/>
        <w:lang w:val="en-US" w:eastAsia="en-US" w:bidi="en-U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52CCE"/>
    <w:rsid w:val="00006DBA"/>
    <w:rsid w:val="00021CC1"/>
    <w:rsid w:val="000E6BE9"/>
    <w:rsid w:val="0010086B"/>
    <w:rsid w:val="0013061F"/>
    <w:rsid w:val="0015243D"/>
    <w:rsid w:val="001D1A6C"/>
    <w:rsid w:val="002519AA"/>
    <w:rsid w:val="002E0117"/>
    <w:rsid w:val="002F6BF1"/>
    <w:rsid w:val="00336D7C"/>
    <w:rsid w:val="003F3436"/>
    <w:rsid w:val="003F5085"/>
    <w:rsid w:val="00452CCE"/>
    <w:rsid w:val="004B427D"/>
    <w:rsid w:val="004C57E5"/>
    <w:rsid w:val="004C68AC"/>
    <w:rsid w:val="004D0B0C"/>
    <w:rsid w:val="004D69D8"/>
    <w:rsid w:val="004E31E3"/>
    <w:rsid w:val="00526DC6"/>
    <w:rsid w:val="00596B07"/>
    <w:rsid w:val="005A544E"/>
    <w:rsid w:val="005D5436"/>
    <w:rsid w:val="005E4179"/>
    <w:rsid w:val="00602357"/>
    <w:rsid w:val="00637A79"/>
    <w:rsid w:val="0067060D"/>
    <w:rsid w:val="00691FC5"/>
    <w:rsid w:val="006974E8"/>
    <w:rsid w:val="0071120F"/>
    <w:rsid w:val="007218B6"/>
    <w:rsid w:val="00726D04"/>
    <w:rsid w:val="00803D69"/>
    <w:rsid w:val="00816270"/>
    <w:rsid w:val="00830D91"/>
    <w:rsid w:val="00851BB6"/>
    <w:rsid w:val="008967A3"/>
    <w:rsid w:val="009A13F7"/>
    <w:rsid w:val="00B00159"/>
    <w:rsid w:val="00B374E8"/>
    <w:rsid w:val="00B779BA"/>
    <w:rsid w:val="00B93B07"/>
    <w:rsid w:val="00BB7DD1"/>
    <w:rsid w:val="00BD6FE8"/>
    <w:rsid w:val="00C05AF6"/>
    <w:rsid w:val="00C0630E"/>
    <w:rsid w:val="00C261B4"/>
    <w:rsid w:val="00C34A2B"/>
    <w:rsid w:val="00CB3D94"/>
    <w:rsid w:val="00CD32F7"/>
    <w:rsid w:val="00CF22E5"/>
    <w:rsid w:val="00D12D6C"/>
    <w:rsid w:val="00D21E24"/>
    <w:rsid w:val="00D760DA"/>
    <w:rsid w:val="00D85769"/>
    <w:rsid w:val="00DC25ED"/>
    <w:rsid w:val="00E52A33"/>
    <w:rsid w:val="00F62BAF"/>
    <w:rsid w:val="00F64979"/>
    <w:rsid w:val="00FB3DF7"/>
    <w:rsid w:val="00FC6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DDB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52CCE"/>
    <w:rPr>
      <w:rFonts w:ascii="Calibri" w:eastAsia="Calibri" w:hAnsi="Calibri" w:cs="Calibri"/>
      <w:lang w:bidi="en-US"/>
    </w:rPr>
  </w:style>
  <w:style w:type="paragraph" w:styleId="Heading1">
    <w:name w:val="heading 1"/>
    <w:basedOn w:val="Normal"/>
    <w:uiPriority w:val="1"/>
    <w:qFormat/>
    <w:rsid w:val="00452CCE"/>
    <w:pPr>
      <w:ind w:left="906" w:hanging="428"/>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52CCE"/>
    <w:rPr>
      <w:sz w:val="24"/>
      <w:szCs w:val="24"/>
    </w:rPr>
  </w:style>
  <w:style w:type="paragraph" w:styleId="ListParagraph">
    <w:name w:val="List Paragraph"/>
    <w:basedOn w:val="Normal"/>
    <w:uiPriority w:val="1"/>
    <w:qFormat/>
    <w:rsid w:val="00452CCE"/>
    <w:pPr>
      <w:ind w:left="906" w:hanging="428"/>
    </w:pPr>
  </w:style>
  <w:style w:type="paragraph" w:customStyle="1" w:styleId="TableParagraph">
    <w:name w:val="Table Paragraph"/>
    <w:basedOn w:val="Normal"/>
    <w:uiPriority w:val="1"/>
    <w:qFormat/>
    <w:rsid w:val="00452CCE"/>
  </w:style>
  <w:style w:type="paragraph" w:styleId="Header">
    <w:name w:val="header"/>
    <w:basedOn w:val="Normal"/>
    <w:link w:val="HeaderChar"/>
    <w:uiPriority w:val="99"/>
    <w:semiHidden/>
    <w:unhideWhenUsed/>
    <w:rsid w:val="00B93B07"/>
    <w:pPr>
      <w:tabs>
        <w:tab w:val="center" w:pos="4513"/>
        <w:tab w:val="right" w:pos="9026"/>
      </w:tabs>
    </w:pPr>
  </w:style>
  <w:style w:type="character" w:customStyle="1" w:styleId="HeaderChar">
    <w:name w:val="Header Char"/>
    <w:basedOn w:val="DefaultParagraphFont"/>
    <w:link w:val="Header"/>
    <w:uiPriority w:val="99"/>
    <w:semiHidden/>
    <w:rsid w:val="00B93B07"/>
    <w:rPr>
      <w:rFonts w:ascii="Calibri" w:eastAsia="Calibri" w:hAnsi="Calibri" w:cs="Calibri"/>
      <w:lang w:bidi="en-US"/>
    </w:rPr>
  </w:style>
  <w:style w:type="paragraph" w:styleId="Footer">
    <w:name w:val="footer"/>
    <w:basedOn w:val="Normal"/>
    <w:link w:val="FooterChar"/>
    <w:uiPriority w:val="99"/>
    <w:semiHidden/>
    <w:unhideWhenUsed/>
    <w:rsid w:val="00B93B07"/>
    <w:pPr>
      <w:tabs>
        <w:tab w:val="center" w:pos="4513"/>
        <w:tab w:val="right" w:pos="9026"/>
      </w:tabs>
    </w:pPr>
  </w:style>
  <w:style w:type="character" w:customStyle="1" w:styleId="FooterChar">
    <w:name w:val="Footer Char"/>
    <w:basedOn w:val="DefaultParagraphFont"/>
    <w:link w:val="Footer"/>
    <w:uiPriority w:val="99"/>
    <w:semiHidden/>
    <w:rsid w:val="00B93B07"/>
    <w:rPr>
      <w:rFonts w:ascii="Calibri" w:eastAsia="Calibri" w:hAnsi="Calibri" w:cs="Calibri"/>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023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2097</Words>
  <Characters>11955</Characters>
  <Application>Microsoft Office Word</Application>
  <DocSecurity>0</DocSecurity>
  <Lines>99</Lines>
  <Paragraphs>28</Paragraphs>
  <ScaleCrop>false</ScaleCrop>
  <Company/>
  <LinksUpToDate>false</LinksUpToDate>
  <CharactersWithSpaces>14024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Determining Materiality ok</dc:title>
  <dc:creator>Administrator</dc:creator>
  <cp:lastModifiedBy>HP</cp:lastModifiedBy>
  <cp:revision>64</cp:revision>
  <dcterms:created xsi:type="dcterms:W3CDTF">2020-02-19T07:52:00Z</dcterms:created>
  <dcterms:modified xsi:type="dcterms:W3CDTF">2020-09-09T06:41:00Z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2019-09-23T00:00:00Z</vt:filetime>
  </property>
  <property fmtid="{D5CDD505-2E9C-101B-9397-08002B2CF9AE}" pid="3" name="Creator">
    <vt:lpwstr>PScript5.dll Version 5.2.2</vt:lpwstr>
  </property>
  <property fmtid="{D5CDD505-2E9C-101B-9397-08002B2CF9AE}" pid="4" name="LastSaved">
    <vt:filetime>2020-02-19T00:00:00Z</vt:filetime>
  </property>
</Properties>
</file>