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AFFCB" w14:textId="77777777" w:rsidR="00925AEB" w:rsidRPr="001E63D9" w:rsidRDefault="00925AEB" w:rsidP="0095048B">
      <w:pPr>
        <w:jc w:val="right"/>
        <w:rPr>
          <w:rFonts w:ascii="Times New Roman" w:hAnsi="Times New Roman" w:cs="Times New Roman"/>
          <w:b/>
        </w:rPr>
      </w:pPr>
    </w:p>
    <w:p w14:paraId="1802CD66" w14:textId="77777777" w:rsidR="005239DD" w:rsidRDefault="005239DD" w:rsidP="0005471F">
      <w:pPr>
        <w:spacing w:after="0" w:line="240" w:lineRule="auto"/>
        <w:jc w:val="center"/>
        <w:outlineLvl w:val="2"/>
        <w:rPr>
          <w:rFonts w:ascii="Times New Roman" w:hAnsi="Times New Roman" w:cs="Times New Roman"/>
          <w:b/>
        </w:rPr>
      </w:pPr>
      <w:r w:rsidRPr="005239DD">
        <w:rPr>
          <w:rFonts w:ascii="Times New Roman" w:hAnsi="Times New Roman" w:cs="Times New Roman"/>
          <w:b/>
        </w:rPr>
        <w:t>BODHI TREE MULTIMEDIA LIMITED</w:t>
      </w:r>
    </w:p>
    <w:p w14:paraId="7BBB2301" w14:textId="77777777" w:rsidR="005239DD" w:rsidRDefault="005239DD" w:rsidP="0005471F">
      <w:pPr>
        <w:spacing w:after="0" w:line="240" w:lineRule="auto"/>
        <w:jc w:val="center"/>
        <w:outlineLvl w:val="2"/>
        <w:rPr>
          <w:rFonts w:ascii="Times New Roman" w:hAnsi="Times New Roman" w:cs="Times New Roman"/>
          <w:b/>
        </w:rPr>
      </w:pPr>
    </w:p>
    <w:p w14:paraId="02B116DE" w14:textId="3E8E7F6C" w:rsidR="00EA503F" w:rsidRPr="002175DE" w:rsidRDefault="002175DE" w:rsidP="0005471F">
      <w:pPr>
        <w:spacing w:after="0" w:line="240" w:lineRule="auto"/>
        <w:jc w:val="center"/>
        <w:outlineLvl w:val="2"/>
        <w:rPr>
          <w:rFonts w:ascii="Times New Roman" w:eastAsia="Times New Roman" w:hAnsi="Times New Roman" w:cs="Times New Roman"/>
          <w:b/>
          <w:bCs/>
          <w:color w:val="2A2B2B"/>
          <w:u w:val="single"/>
        </w:rPr>
      </w:pPr>
      <w:r w:rsidRPr="002175DE">
        <w:rPr>
          <w:rFonts w:ascii="Times New Roman" w:eastAsia="Times New Roman" w:hAnsi="Times New Roman" w:cs="Times New Roman"/>
          <w:b/>
          <w:bCs/>
          <w:color w:val="2A2B2B"/>
          <w:u w:val="single"/>
        </w:rPr>
        <w:t>POLICY FOR IDENTIFICATION OF 'MATERIAL' LITIGATION</w:t>
      </w:r>
    </w:p>
    <w:p w14:paraId="5EC6F8D2" w14:textId="77777777" w:rsidR="0005471F" w:rsidRPr="001E63D9" w:rsidRDefault="0005471F" w:rsidP="0005471F">
      <w:pPr>
        <w:spacing w:after="0" w:line="240" w:lineRule="auto"/>
        <w:jc w:val="center"/>
        <w:outlineLvl w:val="2"/>
        <w:rPr>
          <w:rFonts w:ascii="Times New Roman" w:eastAsia="Times New Roman" w:hAnsi="Times New Roman" w:cs="Times New Roman"/>
          <w:b/>
          <w:bCs/>
          <w:color w:val="2A2B2B"/>
        </w:rPr>
      </w:pPr>
      <w:bookmarkStart w:id="0" w:name="_GoBack"/>
      <w:bookmarkEnd w:id="0"/>
    </w:p>
    <w:p w14:paraId="124476A6" w14:textId="77777777" w:rsidR="00EA503F" w:rsidRPr="001E63D9" w:rsidRDefault="00EA503F" w:rsidP="00EA503F">
      <w:pPr>
        <w:spacing w:after="0" w:line="330" w:lineRule="atLeast"/>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 xml:space="preserve">In terms of the SEBI ICDR Regulations, the Issuer shall disclose all the litigations involving the Issuer, its directors, promoters, </w:t>
      </w:r>
      <w:r w:rsidR="001A20F9" w:rsidRPr="001E63D9">
        <w:rPr>
          <w:rFonts w:ascii="Times New Roman" w:eastAsia="Times New Roman" w:hAnsi="Times New Roman" w:cs="Times New Roman"/>
          <w:color w:val="2A2B2B"/>
        </w:rPr>
        <w:t>g</w:t>
      </w:r>
      <w:r w:rsidRPr="001E63D9">
        <w:rPr>
          <w:rFonts w:ascii="Times New Roman" w:eastAsia="Times New Roman" w:hAnsi="Times New Roman" w:cs="Times New Roman"/>
          <w:color w:val="2A2B2B"/>
        </w:rPr>
        <w:t xml:space="preserve">roup </w:t>
      </w:r>
      <w:r w:rsidR="001A20F9" w:rsidRPr="001E63D9">
        <w:rPr>
          <w:rFonts w:ascii="Times New Roman" w:eastAsia="Times New Roman" w:hAnsi="Times New Roman" w:cs="Times New Roman"/>
          <w:color w:val="2A2B2B"/>
        </w:rPr>
        <w:t>c</w:t>
      </w:r>
      <w:r w:rsidRPr="001E63D9">
        <w:rPr>
          <w:rFonts w:ascii="Times New Roman" w:eastAsia="Times New Roman" w:hAnsi="Times New Roman" w:cs="Times New Roman"/>
          <w:color w:val="2A2B2B"/>
        </w:rPr>
        <w:t>ompanies and subsidiaries, related to:</w:t>
      </w:r>
    </w:p>
    <w:p w14:paraId="67886710" w14:textId="77777777" w:rsidR="00B63704" w:rsidRPr="001E63D9" w:rsidRDefault="00B63704" w:rsidP="00EA503F">
      <w:pPr>
        <w:spacing w:after="0" w:line="330" w:lineRule="atLeast"/>
        <w:jc w:val="both"/>
        <w:rPr>
          <w:rFonts w:ascii="Times New Roman" w:eastAsia="Times New Roman" w:hAnsi="Times New Roman" w:cs="Times New Roman"/>
          <w:color w:val="2A2B2B"/>
        </w:rPr>
      </w:pPr>
    </w:p>
    <w:p w14:paraId="76E6C9D2" w14:textId="77777777" w:rsidR="00EA503F" w:rsidRPr="001E63D9" w:rsidRDefault="00EA503F" w:rsidP="00EA503F">
      <w:pPr>
        <w:numPr>
          <w:ilvl w:val="0"/>
          <w:numId w:val="3"/>
        </w:numPr>
        <w:spacing w:after="0" w:line="330" w:lineRule="atLeast"/>
        <w:ind w:left="900"/>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All criminal proceedings;</w:t>
      </w:r>
    </w:p>
    <w:p w14:paraId="0ED9648B" w14:textId="77777777" w:rsidR="00EA503F" w:rsidRPr="001E63D9" w:rsidRDefault="00EA503F" w:rsidP="00EA503F">
      <w:pPr>
        <w:numPr>
          <w:ilvl w:val="0"/>
          <w:numId w:val="3"/>
        </w:numPr>
        <w:spacing w:after="0" w:line="330" w:lineRule="atLeast"/>
        <w:ind w:left="900"/>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All actions by statutory / regulatory authorities; and</w:t>
      </w:r>
    </w:p>
    <w:p w14:paraId="44F2E7A9" w14:textId="77777777" w:rsidR="00EA503F" w:rsidRPr="001E63D9" w:rsidRDefault="00EA503F" w:rsidP="00EA503F">
      <w:pPr>
        <w:numPr>
          <w:ilvl w:val="0"/>
          <w:numId w:val="3"/>
        </w:numPr>
        <w:spacing w:after="0" w:line="330" w:lineRule="atLeast"/>
        <w:ind w:hanging="180"/>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Taxation - Separate disclosures regarding claims related to direct and indirect taxes, in a consolidated manner giving details of number of cases and total amount.</w:t>
      </w:r>
    </w:p>
    <w:p w14:paraId="35AE1CF4" w14:textId="77777777" w:rsidR="00EA503F" w:rsidRPr="001E63D9" w:rsidRDefault="00EA503F" w:rsidP="00EA503F">
      <w:pPr>
        <w:spacing w:after="0" w:line="330" w:lineRule="atLeast"/>
        <w:ind w:left="720"/>
        <w:jc w:val="both"/>
        <w:rPr>
          <w:rFonts w:ascii="Times New Roman" w:eastAsia="Times New Roman" w:hAnsi="Times New Roman" w:cs="Times New Roman"/>
          <w:color w:val="2A2B2B"/>
        </w:rPr>
      </w:pPr>
    </w:p>
    <w:p w14:paraId="73999F52" w14:textId="77777777" w:rsidR="00EA503F" w:rsidRPr="001E63D9" w:rsidRDefault="00EA503F" w:rsidP="00EA503F">
      <w:pPr>
        <w:spacing w:after="0" w:line="330" w:lineRule="atLeast"/>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 xml:space="preserve">Besides the abovementioned litigations, other material pending litigations, as per policy of materiality </w:t>
      </w:r>
      <w:proofErr w:type="gramStart"/>
      <w:r w:rsidRPr="001E63D9">
        <w:rPr>
          <w:rFonts w:ascii="Times New Roman" w:eastAsia="Times New Roman" w:hAnsi="Times New Roman" w:cs="Times New Roman"/>
          <w:color w:val="2A2B2B"/>
        </w:rPr>
        <w:t>defined</w:t>
      </w:r>
      <w:proofErr w:type="gramEnd"/>
      <w:r w:rsidRPr="001E63D9">
        <w:rPr>
          <w:rFonts w:ascii="Times New Roman" w:eastAsia="Times New Roman" w:hAnsi="Times New Roman" w:cs="Times New Roman"/>
          <w:color w:val="2A2B2B"/>
        </w:rPr>
        <w:t xml:space="preserve"> by the Board shall also be disclosed in the Offer Documents.</w:t>
      </w:r>
    </w:p>
    <w:p w14:paraId="6781EF18" w14:textId="77777777" w:rsidR="00EA503F" w:rsidRPr="001E63D9" w:rsidRDefault="00EA503F" w:rsidP="00EA503F">
      <w:pPr>
        <w:spacing w:after="0" w:line="330" w:lineRule="atLeast"/>
        <w:jc w:val="both"/>
        <w:rPr>
          <w:rFonts w:ascii="Times New Roman" w:eastAsia="Times New Roman" w:hAnsi="Times New Roman" w:cs="Times New Roman"/>
          <w:color w:val="2A2B2B"/>
        </w:rPr>
      </w:pPr>
    </w:p>
    <w:p w14:paraId="7EBE518B" w14:textId="77777777" w:rsidR="00EA503F" w:rsidRPr="001E63D9" w:rsidRDefault="00EA503F" w:rsidP="00EA503F">
      <w:pPr>
        <w:spacing w:after="0" w:line="330" w:lineRule="atLeast"/>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In this regard, all other pending litigation involving the Issuer, its directors, promoters, group companies and subsidiaries, other than criminal proceedings, statutory or regulatory actions and taxation matters, would be considered ‘material’ for the purpose of disclosure in the Offer Documents, if:</w:t>
      </w:r>
    </w:p>
    <w:p w14:paraId="664B3BED" w14:textId="77777777" w:rsidR="00EA503F" w:rsidRPr="001E63D9" w:rsidRDefault="00EA503F" w:rsidP="00EA503F">
      <w:pPr>
        <w:spacing w:after="0" w:line="330" w:lineRule="atLeast"/>
        <w:jc w:val="both"/>
        <w:rPr>
          <w:rFonts w:ascii="Times New Roman" w:eastAsia="Times New Roman" w:hAnsi="Times New Roman" w:cs="Times New Roman"/>
          <w:color w:val="2A2B2B"/>
        </w:rPr>
      </w:pPr>
    </w:p>
    <w:p w14:paraId="6F46EBCE" w14:textId="77777777" w:rsidR="00EA503F" w:rsidRPr="001E63D9" w:rsidRDefault="00EA503F" w:rsidP="001A20F9">
      <w:pPr>
        <w:numPr>
          <w:ilvl w:val="0"/>
          <w:numId w:val="4"/>
        </w:numPr>
        <w:spacing w:after="0" w:line="330" w:lineRule="atLeast"/>
        <w:ind w:hanging="180"/>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 xml:space="preserve">The monetary amount of claim by or against the entity or person in any such pending matter(s) is in excess </w:t>
      </w:r>
      <w:r w:rsidR="00B63704" w:rsidRPr="001E63D9">
        <w:rPr>
          <w:rFonts w:ascii="Times New Roman" w:eastAsia="Times New Roman" w:hAnsi="Times New Roman" w:cs="Times New Roman"/>
          <w:color w:val="2A2B2B"/>
        </w:rPr>
        <w:t xml:space="preserve">of </w:t>
      </w:r>
      <w:proofErr w:type="spellStart"/>
      <w:r w:rsidRPr="001E63D9">
        <w:rPr>
          <w:rFonts w:ascii="Times New Roman" w:eastAsia="Times New Roman" w:hAnsi="Times New Roman" w:cs="Times New Roman"/>
          <w:color w:val="2A2B2B"/>
        </w:rPr>
        <w:t>Rs</w:t>
      </w:r>
      <w:proofErr w:type="spellEnd"/>
      <w:r w:rsidRPr="001E63D9">
        <w:rPr>
          <w:rFonts w:ascii="Times New Roman" w:eastAsia="Times New Roman" w:hAnsi="Times New Roman" w:cs="Times New Roman"/>
          <w:color w:val="2A2B2B"/>
        </w:rPr>
        <w:t>. 20 million; or 5% of the net profits after tax of the Company for the most recent audited fiscal period whichever is higher</w:t>
      </w:r>
      <w:r w:rsidR="003C70DD" w:rsidRPr="001E63D9">
        <w:rPr>
          <w:rFonts w:ascii="Times New Roman" w:eastAsia="Times New Roman" w:hAnsi="Times New Roman" w:cs="Times New Roman"/>
          <w:color w:val="2A2B2B"/>
        </w:rPr>
        <w:t>;</w:t>
      </w:r>
    </w:p>
    <w:p w14:paraId="0ED12F95" w14:textId="77777777" w:rsidR="00EA503F" w:rsidRPr="001E63D9" w:rsidRDefault="00EA503F" w:rsidP="001A20F9">
      <w:pPr>
        <w:numPr>
          <w:ilvl w:val="0"/>
          <w:numId w:val="4"/>
        </w:numPr>
        <w:spacing w:after="0" w:line="330" w:lineRule="atLeast"/>
        <w:ind w:hanging="180"/>
        <w:jc w:val="both"/>
        <w:rPr>
          <w:rFonts w:ascii="Times New Roman" w:eastAsia="Times New Roman" w:hAnsi="Times New Roman" w:cs="Times New Roman"/>
          <w:color w:val="2A2B2B"/>
        </w:rPr>
      </w:pPr>
      <w:r w:rsidRPr="001E63D9">
        <w:rPr>
          <w:rFonts w:ascii="Times New Roman" w:eastAsia="Times New Roman" w:hAnsi="Times New Roman" w:cs="Times New Roman"/>
          <w:color w:val="2A2B2B"/>
        </w:rPr>
        <w:t>Such pending cases are material from the perspective of the Issuer’s business, operations, prospects or reputation.</w:t>
      </w:r>
    </w:p>
    <w:p w14:paraId="0A1B106B" w14:textId="77777777" w:rsidR="007320A1" w:rsidRPr="001E63D9" w:rsidRDefault="007320A1" w:rsidP="007320A1">
      <w:pPr>
        <w:spacing w:after="0" w:line="240" w:lineRule="auto"/>
        <w:jc w:val="both"/>
        <w:outlineLvl w:val="1"/>
        <w:rPr>
          <w:rFonts w:ascii="Times New Roman" w:eastAsia="Times New Roman" w:hAnsi="Times New Roman" w:cs="Times New Roman"/>
          <w:caps/>
          <w:color w:val="2A2B2B"/>
        </w:rPr>
      </w:pPr>
    </w:p>
    <w:p w14:paraId="4B518F92" w14:textId="77777777" w:rsidR="001A20F9" w:rsidRPr="001E63D9" w:rsidRDefault="001A20F9" w:rsidP="007320A1">
      <w:pPr>
        <w:spacing w:after="0" w:line="240" w:lineRule="auto"/>
        <w:jc w:val="both"/>
        <w:outlineLvl w:val="1"/>
        <w:rPr>
          <w:rFonts w:ascii="Times New Roman" w:eastAsia="Times New Roman" w:hAnsi="Times New Roman" w:cs="Times New Roman"/>
          <w:caps/>
          <w:color w:val="2A2B2B"/>
        </w:rPr>
      </w:pPr>
    </w:p>
    <w:sectPr w:rsidR="001A20F9" w:rsidRPr="001E63D9" w:rsidSect="0005471F">
      <w:headerReference w:type="default" r:id="rId8"/>
      <w:pgSz w:w="12240" w:h="15840"/>
      <w:pgMar w:top="810" w:right="1440" w:bottom="7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55F8E" w14:textId="77777777" w:rsidR="00E1389A" w:rsidRDefault="00E1389A" w:rsidP="00563181">
      <w:pPr>
        <w:spacing w:after="0" w:line="240" w:lineRule="auto"/>
      </w:pPr>
      <w:r>
        <w:separator/>
      </w:r>
    </w:p>
  </w:endnote>
  <w:endnote w:type="continuationSeparator" w:id="0">
    <w:p w14:paraId="6F5FCDD5" w14:textId="77777777" w:rsidR="00E1389A" w:rsidRDefault="00E1389A" w:rsidP="00563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2F41" w14:textId="77777777" w:rsidR="00E1389A" w:rsidRDefault="00E1389A" w:rsidP="00563181">
      <w:pPr>
        <w:spacing w:after="0" w:line="240" w:lineRule="auto"/>
      </w:pPr>
      <w:r>
        <w:separator/>
      </w:r>
    </w:p>
  </w:footnote>
  <w:footnote w:type="continuationSeparator" w:id="0">
    <w:p w14:paraId="2F31933E" w14:textId="77777777" w:rsidR="00E1389A" w:rsidRDefault="00E1389A" w:rsidP="00563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4BB51" w14:textId="77777777" w:rsidR="00563181" w:rsidRDefault="00563181" w:rsidP="00563181">
    <w:pPr>
      <w:pStyle w:val="Header"/>
      <w:jc w:val="center"/>
    </w:pPr>
    <w:r>
      <w:t>ON THE LETTERHEAD OF THE COMPANY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3E01"/>
    <w:multiLevelType w:val="multilevel"/>
    <w:tmpl w:val="C7D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6700A"/>
    <w:multiLevelType w:val="multilevel"/>
    <w:tmpl w:val="F8DCDB0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1F89134D"/>
    <w:multiLevelType w:val="multilevel"/>
    <w:tmpl w:val="42A4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FD72B1"/>
    <w:multiLevelType w:val="multilevel"/>
    <w:tmpl w:val="A3A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691F"/>
    <w:rsid w:val="0005471F"/>
    <w:rsid w:val="00181670"/>
    <w:rsid w:val="001A20F9"/>
    <w:rsid w:val="001E63D9"/>
    <w:rsid w:val="002175DE"/>
    <w:rsid w:val="00242F4F"/>
    <w:rsid w:val="00293E3F"/>
    <w:rsid w:val="00322727"/>
    <w:rsid w:val="003C70DD"/>
    <w:rsid w:val="0041138E"/>
    <w:rsid w:val="00417FC2"/>
    <w:rsid w:val="005239DD"/>
    <w:rsid w:val="00530161"/>
    <w:rsid w:val="00563181"/>
    <w:rsid w:val="005B71F4"/>
    <w:rsid w:val="007320A1"/>
    <w:rsid w:val="0079666F"/>
    <w:rsid w:val="0080691F"/>
    <w:rsid w:val="00834415"/>
    <w:rsid w:val="008B4B8D"/>
    <w:rsid w:val="008F0BB6"/>
    <w:rsid w:val="00925AEB"/>
    <w:rsid w:val="0095048B"/>
    <w:rsid w:val="00A727E1"/>
    <w:rsid w:val="00AF4B9E"/>
    <w:rsid w:val="00B63704"/>
    <w:rsid w:val="00B96F3F"/>
    <w:rsid w:val="00CC00D4"/>
    <w:rsid w:val="00D7191A"/>
    <w:rsid w:val="00E1389A"/>
    <w:rsid w:val="00EA503F"/>
    <w:rsid w:val="00EC2B3C"/>
    <w:rsid w:val="00EC5622"/>
    <w:rsid w:val="00F231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3F"/>
  </w:style>
  <w:style w:type="paragraph" w:styleId="Heading2">
    <w:name w:val="heading 2"/>
    <w:basedOn w:val="Normal"/>
    <w:link w:val="Heading2Char"/>
    <w:uiPriority w:val="9"/>
    <w:qFormat/>
    <w:rsid w:val="00732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20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20A1"/>
  </w:style>
  <w:style w:type="character" w:styleId="Strong">
    <w:name w:val="Strong"/>
    <w:basedOn w:val="DefaultParagraphFont"/>
    <w:uiPriority w:val="22"/>
    <w:qFormat/>
    <w:rsid w:val="007320A1"/>
    <w:rPr>
      <w:b/>
      <w:bCs/>
    </w:rPr>
  </w:style>
  <w:style w:type="character" w:customStyle="1" w:styleId="Heading2Char">
    <w:name w:val="Heading 2 Char"/>
    <w:basedOn w:val="DefaultParagraphFont"/>
    <w:link w:val="Heading2"/>
    <w:uiPriority w:val="9"/>
    <w:rsid w:val="007320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20A1"/>
    <w:rPr>
      <w:rFonts w:ascii="Times New Roman" w:eastAsia="Times New Roman" w:hAnsi="Times New Roman" w:cs="Times New Roman"/>
      <w:b/>
      <w:bCs/>
      <w:sz w:val="27"/>
      <w:szCs w:val="27"/>
    </w:rPr>
  </w:style>
  <w:style w:type="paragraph" w:styleId="NoSpacing">
    <w:name w:val="No Spacing"/>
    <w:uiPriority w:val="1"/>
    <w:qFormat/>
    <w:rsid w:val="007320A1"/>
    <w:pPr>
      <w:spacing w:after="0" w:line="240" w:lineRule="auto"/>
    </w:pPr>
  </w:style>
  <w:style w:type="paragraph" w:styleId="BalloonText">
    <w:name w:val="Balloon Text"/>
    <w:basedOn w:val="Normal"/>
    <w:link w:val="BalloonTextChar"/>
    <w:uiPriority w:val="99"/>
    <w:semiHidden/>
    <w:unhideWhenUsed/>
    <w:rsid w:val="00950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48B"/>
    <w:rPr>
      <w:rFonts w:ascii="Tahoma" w:hAnsi="Tahoma" w:cs="Tahoma"/>
      <w:sz w:val="16"/>
      <w:szCs w:val="16"/>
    </w:rPr>
  </w:style>
  <w:style w:type="paragraph" w:styleId="Header">
    <w:name w:val="header"/>
    <w:basedOn w:val="Normal"/>
    <w:link w:val="HeaderChar"/>
    <w:uiPriority w:val="99"/>
    <w:semiHidden/>
    <w:unhideWhenUsed/>
    <w:rsid w:val="008B4B8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semiHidden/>
    <w:rsid w:val="008B4B8D"/>
  </w:style>
  <w:style w:type="paragraph" w:styleId="Footer">
    <w:name w:val="footer"/>
    <w:basedOn w:val="Normal"/>
    <w:link w:val="FooterChar"/>
    <w:uiPriority w:val="99"/>
    <w:semiHidden/>
    <w:unhideWhenUsed/>
    <w:rsid w:val="005631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3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6910">
      <w:bodyDiv w:val="1"/>
      <w:marLeft w:val="0"/>
      <w:marRight w:val="0"/>
      <w:marTop w:val="0"/>
      <w:marBottom w:val="0"/>
      <w:divBdr>
        <w:top w:val="none" w:sz="0" w:space="0" w:color="auto"/>
        <w:left w:val="none" w:sz="0" w:space="0" w:color="auto"/>
        <w:bottom w:val="none" w:sz="0" w:space="0" w:color="auto"/>
        <w:right w:val="none" w:sz="0" w:space="0" w:color="auto"/>
      </w:divBdr>
    </w:div>
    <w:div w:id="827984864">
      <w:bodyDiv w:val="1"/>
      <w:marLeft w:val="0"/>
      <w:marRight w:val="0"/>
      <w:marTop w:val="0"/>
      <w:marBottom w:val="0"/>
      <w:divBdr>
        <w:top w:val="none" w:sz="0" w:space="0" w:color="auto"/>
        <w:left w:val="none" w:sz="0" w:space="0" w:color="auto"/>
        <w:bottom w:val="none" w:sz="0" w:space="0" w:color="auto"/>
        <w:right w:val="none" w:sz="0" w:space="0" w:color="auto"/>
      </w:divBdr>
      <w:divsChild>
        <w:div w:id="541137494">
          <w:marLeft w:val="0"/>
          <w:marRight w:val="0"/>
          <w:marTop w:val="0"/>
          <w:marBottom w:val="0"/>
          <w:divBdr>
            <w:top w:val="none" w:sz="0" w:space="0" w:color="auto"/>
            <w:left w:val="none" w:sz="0" w:space="0" w:color="auto"/>
            <w:bottom w:val="none" w:sz="0" w:space="0" w:color="auto"/>
            <w:right w:val="none" w:sz="0" w:space="0" w:color="auto"/>
          </w:divBdr>
          <w:divsChild>
            <w:div w:id="607935342">
              <w:marLeft w:val="0"/>
              <w:marRight w:val="0"/>
              <w:marTop w:val="0"/>
              <w:marBottom w:val="0"/>
              <w:divBdr>
                <w:top w:val="none" w:sz="0" w:space="0" w:color="auto"/>
                <w:left w:val="none" w:sz="0" w:space="0" w:color="auto"/>
                <w:bottom w:val="none" w:sz="0" w:space="0" w:color="auto"/>
                <w:right w:val="none" w:sz="0" w:space="0" w:color="auto"/>
              </w:divBdr>
              <w:divsChild>
                <w:div w:id="213590149">
                  <w:marLeft w:val="0"/>
                  <w:marRight w:val="0"/>
                  <w:marTop w:val="225"/>
                  <w:marBottom w:val="0"/>
                  <w:divBdr>
                    <w:top w:val="none" w:sz="0" w:space="0" w:color="auto"/>
                    <w:left w:val="none" w:sz="0" w:space="0" w:color="auto"/>
                    <w:bottom w:val="none" w:sz="0" w:space="0" w:color="auto"/>
                    <w:right w:val="none" w:sz="0" w:space="0" w:color="auto"/>
                  </w:divBdr>
                  <w:divsChild>
                    <w:div w:id="1567257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5868">
      <w:bodyDiv w:val="1"/>
      <w:marLeft w:val="0"/>
      <w:marRight w:val="0"/>
      <w:marTop w:val="0"/>
      <w:marBottom w:val="0"/>
      <w:divBdr>
        <w:top w:val="none" w:sz="0" w:space="0" w:color="auto"/>
        <w:left w:val="none" w:sz="0" w:space="0" w:color="auto"/>
        <w:bottom w:val="none" w:sz="0" w:space="0" w:color="auto"/>
        <w:right w:val="none" w:sz="0" w:space="0" w:color="auto"/>
      </w:divBdr>
    </w:div>
    <w:div w:id="1242373285">
      <w:bodyDiv w:val="1"/>
      <w:marLeft w:val="0"/>
      <w:marRight w:val="0"/>
      <w:marTop w:val="0"/>
      <w:marBottom w:val="0"/>
      <w:divBdr>
        <w:top w:val="none" w:sz="0" w:space="0" w:color="auto"/>
        <w:left w:val="none" w:sz="0" w:space="0" w:color="auto"/>
        <w:bottom w:val="none" w:sz="0" w:space="0" w:color="auto"/>
        <w:right w:val="none" w:sz="0" w:space="0" w:color="auto"/>
      </w:divBdr>
    </w:div>
    <w:div w:id="12991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Padhiar</dc:creator>
  <cp:lastModifiedBy>HP</cp:lastModifiedBy>
  <cp:revision>17</cp:revision>
  <cp:lastPrinted>2017-08-17T08:07:00Z</cp:lastPrinted>
  <dcterms:created xsi:type="dcterms:W3CDTF">2017-08-17T06:03:00Z</dcterms:created>
  <dcterms:modified xsi:type="dcterms:W3CDTF">2020-09-09T05:42:00Z</dcterms:modified>
</cp:coreProperties>
</file>