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INSTRUCCIÓN DE TRABAJO IT-L1-PR400-03</w:t>
      </w:r>
    </w:p>
    <w:p>
      <w:r>
        <w:rPr>
          <w:i/>
          <w:sz w:val="20"/>
        </w:rPr>
        <w:t>Estampación transfer en la prensa PR-400 (AR-1002 / AR-1003 / AR-1004 / AR-1005 / AR-1010)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IT-L1-PR400-03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Emisión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02/06/2025</w:t>
            </w:r>
          </w:p>
        </w:tc>
      </w:tr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Elaborado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U. Ezkurra (Matricería)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Revisado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J. Elizalde (Producción L1)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Aprobado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I. Etxeberria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Objeto y alcance</w:t>
      </w:r>
    </w:p>
    <w:p>
      <w:r>
        <w:rPr>
          <w:b w:val="0"/>
          <w:i w:val="0"/>
        </w:rPr>
        <w:t>Operación de la prensa transfer PR-400 (400 t) con las matrices MT-02, MT-03, MT-04, MT-05 y MT-10.</w:t>
      </w:r>
    </w:p>
    <w:p>
      <w:pPr>
        <w:pStyle w:val="Heading1"/>
      </w:pPr>
      <w:r>
        <w:rPr>
          <w:color w:val="1F4E79"/>
        </w:rPr>
        <w:t>2. Arranque</w:t>
      </w:r>
    </w:p>
    <w:p>
      <w:pPr>
        <w:pStyle w:val="ListBullet"/>
      </w:pPr>
      <w:r>
        <w:t>Lubricación de la banda: nivel y boquillas.</w:t>
      </w:r>
    </w:p>
    <w:p>
      <w:pPr>
        <w:pStyle w:val="ListBullet"/>
      </w:pPr>
      <w:r>
        <w:t>Transfer: verificar dedos y sensores de pieza.</w:t>
      </w:r>
    </w:p>
    <w:p>
      <w:pPr>
        <w:pStyle w:val="ListBullet"/>
      </w:pPr>
      <w:r>
        <w:t>Bobina: comprobar material y espesor contra la orden de fabricación (etiqueta de lote de S-ULTZ).</w:t>
      </w:r>
    </w:p>
    <w:p>
      <w:pPr>
        <w:pStyle w:val="Heading1"/>
      </w:pPr>
      <w:r>
        <w:rPr>
          <w:color w:val="1F4E79"/>
        </w:rPr>
        <w:t>3. Liberación de matriz tras reparación</w:t>
      </w:r>
    </w:p>
    <w:p>
      <w:r>
        <w:rPr>
          <w:b w:val="0"/>
          <w:i w:val="0"/>
        </w:rPr>
        <w:t>Toda matriz que vuelva de reparación o de cambio de insertos se libera con medición completa de primera pieza (cotas SC/CC y planitud) por Calidad. La matricería entrega la hoja de reparación con la revisión del plano utilizada.</w:t>
      </w:r>
    </w:p>
    <w:p>
      <w:pPr>
        <w:pStyle w:val="Heading1"/>
      </w:pPr>
      <w:r>
        <w:rPr>
          <w:color w:val="1F4E79"/>
        </w:rPr>
        <w:t>4.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Frecuencia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AR-1002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Planitud ≤ 0,5 mm (mármol + galga)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Cada 2 h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AR-1003/1004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Holgura de encaje ≤ 1,0 mm (útil)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Inicio de turno y cada 4 h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AR-1005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Espesor en radio ≥ 2,12 mm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Por lote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AR-1010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Útil de control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Por turno</w:t>
            </w:r>
          </w:p>
        </w:tc>
      </w:tr>
    </w:tbl>
    <w:p/>
    <w:p>
      <w:pPr>
        <w:pStyle w:val="Heading1"/>
      </w:pPr>
      <w:r>
        <w:rPr>
          <w:color w:val="1F4E79"/>
        </w:rPr>
        <w:t>5.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Cambio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03/2023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Emisión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02/06/2025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Liberación tras reparación con medición completa; planitud cada 2 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IT-L1-PR400-03  v2    |    Instrucción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IT-L1-PR400-03 Estampación transfer en la prensa PR-400 (AR-1002 / AR-1003 / AR-1004 / AR-1005 / AR-1010)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