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INSTRUCCIÓN DE TRABAJO IT-L3-VI01-01</w:t>
      </w:r>
    </w:p>
    <w:p>
      <w:r>
        <w:rPr>
          <w:i/>
          <w:sz w:val="20"/>
        </w:rPr>
        <w:t>Inspección final por visión (VI-01) y embalaje en cajas retornables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IT-L3-VI01-01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Emisión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04/07/2024</w:t>
            </w:r>
          </w:p>
        </w:tc>
      </w:tr>
      <w:tr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Elaborado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M. Irigoyen (Calidad)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Revisado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A. Olaberri (Logística)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Aprobado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I. Etxeberria (Calidad)</w:t>
            </w:r>
          </w:p>
        </w:tc>
      </w:tr>
    </w:tbl>
    <w:p/>
    <w:p>
      <w:pPr>
        <w:pStyle w:val="Heading1"/>
      </w:pPr>
      <w:r>
        <w:rPr>
          <w:color w:val="1F4E79"/>
        </w:rPr>
        <w:t>1. Objeto</w:t>
      </w:r>
    </w:p>
    <w:p>
      <w:r>
        <w:rPr>
          <w:b w:val="0"/>
          <w:i w:val="0"/>
        </w:rPr>
        <w:t>Inspección final por visión artificial en VI-01 y embalaje de producto terminado en cajas retornables con separadores.</w:t>
      </w:r>
    </w:p>
    <w:p>
      <w:pPr>
        <w:pStyle w:val="Heading1"/>
      </w:pPr>
      <w:r>
        <w:rPr>
          <w:color w:val="1F4E79"/>
        </w:rPr>
        <w:t>2. Inspección VI-01</w:t>
      </w:r>
    </w:p>
    <w:p>
      <w:pPr>
        <w:pStyle w:val="ListBullet"/>
      </w:pPr>
      <w:r>
        <w:t>Cargar la receta de la referencia (lector de código de la orden).</w:t>
      </w:r>
    </w:p>
    <w:p>
      <w:pPr>
        <w:pStyle w:val="ListBullet"/>
      </w:pPr>
      <w:r>
        <w:t>Piezas rechazadas por visión: a la caja roja; revisión por Calidad.</w:t>
      </w:r>
    </w:p>
    <w:p>
      <w:pPr>
        <w:pStyle w:val="ListBullet"/>
      </w:pPr>
      <w:r>
        <w:t>Verificación de la cámara con la pieza patrón al inicio de turno.</w:t>
      </w:r>
    </w:p>
    <w:p>
      <w:pPr>
        <w:pStyle w:val="Heading1"/>
      </w:pPr>
      <w:r>
        <w:rPr>
          <w:color w:val="1F4E79"/>
        </w:rPr>
        <w:t>3. Embalaje</w:t>
      </w:r>
    </w:p>
    <w:p>
      <w:pPr>
        <w:pStyle w:val="ListBullet"/>
      </w:pPr>
      <w:r>
        <w:t>Solo separadores de cartón de 5 mm (proveedor S-ERRO) íntegros y secos; desechar los aplastados o húmedos.</w:t>
      </w:r>
    </w:p>
    <w:p>
      <w:pPr>
        <w:pStyle w:val="ListBullet"/>
      </w:pPr>
      <w:r>
        <w:t>Cantidad por caja según la ficha de embalaje del cliente.</w:t>
      </w:r>
    </w:p>
    <w:p>
      <w:pPr>
        <w:pStyle w:val="ListBullet"/>
      </w:pPr>
      <w:r>
        <w:t>Máximo 4 alturas de caja en el camión.</w:t>
      </w:r>
    </w:p>
    <w:p>
      <w:pPr>
        <w:pStyle w:val="ListBullet"/>
      </w:pPr>
      <w:r>
        <w:t>Etiqueta con lote de producción y albarán.</w:t>
      </w:r>
    </w:p>
    <w:p>
      <w:pPr>
        <w:pStyle w:val="Heading1"/>
      </w:pPr>
      <w:r>
        <w:rPr>
          <w:color w:val="1F4E79"/>
        </w:rPr>
        <w:t>4. 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Cambio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03/2023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Emisión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04/07/2024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Control del estado de separadores y límite de apilado (reclamación de cliente)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IT-L3-VI01-01  v2    |    Instrucción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IT-L3-VI01-01 Inspección final por visión (VI-01) y embalaje en cajas retornables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