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480"/>
        <w:jc w:val="center"/>
      </w:pPr>
      <w:r>
        <w:rPr>
          <w:rFonts w:ascii="Calibri" w:cs="Calibri" w:eastAsia="Calibri" w:hAnsi="Calibri"/>
          <w:b/>
          <w:bCs/>
          <w:color w:val="1F5C99"/>
          <w:sz w:val="40"/>
          <w:szCs w:val="40"/>
        </w:rPr>
        <w:t xml:space="preserve">BUSINESS REQUIREMENTS DOCUMENT</w:t>
      </w:r>
    </w:p>
    <w:p>
      <w:pPr>
        <w:spacing w:after="80" w:before="0"/>
        <w:jc w:val="center"/>
      </w:pPr>
      <w:r>
        <w:rPr>
          <w:rFonts w:ascii="Calibri" w:cs="Calibri" w:eastAsia="Calibri" w:hAnsi="Calibri"/>
          <w:b/>
          <w:bCs/>
          <w:color w:val="1A1A1A"/>
          <w:sz w:val="32"/>
          <w:szCs w:val="32"/>
        </w:rPr>
        <w:t xml:space="preserve">E-Commerce Sales Analysis</w:t>
      </w:r>
    </w:p>
    <w:p>
      <w:pPr>
        <w:spacing w:after="400" w:before="0"/>
        <w:jc w:val="center"/>
      </w:pPr>
      <w:r>
        <w:rPr>
          <w:rFonts w:ascii="Calibri" w:cs="Calibri" w:eastAsia="Calibri" w:hAnsi="Calibri"/>
          <w:i/>
          <w:iCs/>
          <w:color w:val="555555"/>
          <w:sz w:val="22"/>
          <w:szCs w:val="22"/>
        </w:rPr>
        <w:t xml:space="preserve">Superstore Sales Dataset  |  BA Portfolio Project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4680"/>
        <w:gridCol w:w="2340"/>
      </w:tblGrid>
      <w:tr>
        <w:tc>
          <w:tcPr>
            <w:tcW w:type="dxa" w:w="2340"/>
            <w:tcBorders>
              <w:top w:val="single" w:color="CCCCCC" w:sz="6"/>
              <w:left w:val="single" w:color="CCCCCC" w:sz="6"/>
              <w:bottom w:val="single" w:color="CCCCCC" w:sz="6"/>
              <w:right w:val="single" w:color="CCCCCC" w:sz="6"/>
            </w:tcBorders>
            <w:shd w:fill="1F5C99" w:val="clear"/>
            <w:tcMar>
              <w:top w:type="dxa" w:w="80"/>
              <w:left w:type="dxa" w:w="120"/>
              <w:bottom w:type="dxa" w:w="80"/>
              <w:right w:type="dxa" w:w="120"/>
            </w:tcMar>
          </w:tcPr>
          <w:p>
            <w:r>
              <w:rPr>
                <w:rFonts w:ascii="Calibri" w:cs="Calibri" w:eastAsia="Calibri" w:hAnsi="Calibri"/>
                <w:b/>
                <w:bCs/>
                <w:color w:val="FFFFFF"/>
                <w:sz w:val="18"/>
                <w:szCs w:val="18"/>
              </w:rPr>
              <w:t xml:space="preserve">Field</w:t>
            </w:r>
          </w:p>
        </w:tc>
        <w:tc>
          <w:tcPr>
            <w:tcW w:type="dxa" w:w="4680"/>
            <w:tcBorders>
              <w:top w:val="single" w:color="CCCCCC" w:sz="6"/>
              <w:left w:val="single" w:color="CCCCCC" w:sz="6"/>
              <w:bottom w:val="single" w:color="CCCCCC" w:sz="6"/>
              <w:right w:val="single" w:color="CCCCCC" w:sz="6"/>
            </w:tcBorders>
            <w:shd w:fill="1F5C99" w:val="clear"/>
            <w:tcMar>
              <w:top w:type="dxa" w:w="80"/>
              <w:left w:type="dxa" w:w="120"/>
              <w:bottom w:type="dxa" w:w="80"/>
              <w:right w:type="dxa" w:w="120"/>
            </w:tcMar>
          </w:tcPr>
          <w:p>
            <w:r>
              <w:rPr>
                <w:rFonts w:ascii="Calibri" w:cs="Calibri" w:eastAsia="Calibri" w:hAnsi="Calibri"/>
                <w:b/>
                <w:bCs/>
                <w:color w:val="FFFFFF"/>
                <w:sz w:val="18"/>
                <w:szCs w:val="18"/>
              </w:rPr>
              <w:t xml:space="preserve">Details</w:t>
            </w:r>
          </w:p>
        </w:tc>
        <w:tc>
          <w:tcPr>
            <w:tcW w:type="dxa" w:w="2340"/>
            <w:tcBorders>
              <w:top w:val="single" w:color="CCCCCC" w:sz="6"/>
              <w:left w:val="single" w:color="CCCCCC" w:sz="6"/>
              <w:bottom w:val="single" w:color="CCCCCC" w:sz="6"/>
              <w:right w:val="single" w:color="CCCCCC" w:sz="6"/>
            </w:tcBorders>
            <w:shd w:fill="1F5C99" w:val="clear"/>
            <w:tcMar>
              <w:top w:type="dxa" w:w="80"/>
              <w:left w:type="dxa" w:w="120"/>
              <w:bottom w:type="dxa" w:w="80"/>
              <w:right w:type="dxa" w:w="120"/>
            </w:tcMar>
          </w:tcPr>
          <w:p>
            <w:r>
              <w:rPr>
                <w:rFonts w:ascii="Calibri" w:cs="Calibri" w:eastAsia="Calibri" w:hAnsi="Calibri"/>
                <w:b/>
                <w:bCs/>
                <w:color w:val="FFFFFF"/>
                <w:sz w:val="18"/>
                <w:szCs w:val="18"/>
              </w:rPr>
              <w:t xml:space="preserve">Value</w:t>
            </w:r>
          </w:p>
        </w:tc>
      </w:tr>
      <w:tr>
        <w:tc>
          <w:tcPr>
            <w:tcW w:type="dxa" w:w="2340"/>
            <w:tcBorders>
              <w:top w:val="single" w:color="CCCCCC" w:sz="6"/>
              <w:left w:val="single" w:color="CCCCCC" w:sz="6"/>
              <w:bottom w:val="single" w:color="CCCCCC" w:sz="6"/>
              <w:right w:val="single" w:color="CCCCCC" w:sz="6"/>
            </w:tcBorders>
            <w:shd w:fill="EBF2FA" w:val="clear"/>
            <w:tcMar>
              <w:top w:type="dxa" w:w="80"/>
              <w:left w:type="dxa" w:w="120"/>
              <w:bottom w:type="dxa" w:w="80"/>
              <w:right w:type="dxa" w:w="120"/>
            </w:tcMar>
          </w:tcPr>
          <w:p>
            <w:r>
              <w:rPr>
                <w:rFonts w:ascii="Calibri" w:cs="Calibri" w:eastAsia="Calibri" w:hAnsi="Calibri"/>
                <w:b/>
                <w:bCs/>
                <w:color w:val="1A1A1A"/>
                <w:sz w:val="18"/>
                <w:szCs w:val="18"/>
              </w:rPr>
              <w:t xml:space="preserve">Document Title</w:t>
            </w:r>
          </w:p>
        </w:tc>
        <w:tc>
          <w:tcPr>
            <w:tcW w:type="dxa" w:w="4680"/>
            <w:tcBorders>
              <w:top w:val="single" w:color="CCCCCC" w:sz="6"/>
              <w:left w:val="single" w:color="CCCCCC" w:sz="6"/>
              <w:bottom w:val="single" w:color="CCCCCC" w:sz="6"/>
              <w:right w:val="single" w:color="CCCCCC" w:sz="6"/>
            </w:tcBorders>
            <w:tcMar>
              <w:top w:type="dxa" w:w="80"/>
              <w:left w:type="dxa" w:w="120"/>
              <w:bottom w:type="dxa" w:w="80"/>
              <w:right w:type="dxa" w:w="120"/>
            </w:tcMar>
          </w:tcPr>
          <w:p>
            <w:r>
              <w:rPr>
                <w:rFonts w:ascii="Calibri" w:cs="Calibri" w:eastAsia="Calibri" w:hAnsi="Calibri"/>
                <w:color w:val="1A1A1A"/>
                <w:sz w:val="18"/>
                <w:szCs w:val="18"/>
              </w:rPr>
              <w:t xml:space="preserve">E-Commerce Sales Analysis — BRD</w:t>
            </w:r>
          </w:p>
        </w:tc>
        <w:tc>
          <w:tcPr>
            <w:tcW w:type="dxa" w:w="2340"/>
            <w:tcBorders>
              <w:top w:val="single" w:color="CCCCCC" w:sz="6"/>
              <w:left w:val="single" w:color="CCCCCC" w:sz="6"/>
              <w:bottom w:val="single" w:color="CCCCCC" w:sz="6"/>
              <w:right w:val="single" w:color="CCCCCC" w:sz="6"/>
            </w:tcBorders>
            <w:tcMar>
              <w:top w:type="dxa" w:w="80"/>
              <w:left w:type="dxa" w:w="120"/>
              <w:bottom w:type="dxa" w:w="80"/>
              <w:right w:type="dxa" w:w="120"/>
            </w:tcMar>
          </w:tcPr>
          <w:p>
            <w:r>
              <w:rPr>
                <w:rFonts w:ascii="Calibri" w:cs="Calibri" w:eastAsia="Calibri" w:hAnsi="Calibri"/>
                <w:color w:val="1A1A1A"/>
                <w:sz w:val="18"/>
                <w:szCs w:val="18"/>
              </w:rPr>
              <w:t xml:space="preserve">v1.0</w:t>
            </w:r>
          </w:p>
        </w:tc>
      </w:tr>
      <w:tr>
        <w:tc>
          <w:tcPr>
            <w:tcW w:type="dxa" w:w="2340"/>
            <w:tcBorders>
              <w:top w:val="single" w:color="CCCCCC" w:sz="6"/>
              <w:left w:val="single" w:color="CCCCCC" w:sz="6"/>
              <w:bottom w:val="single" w:color="CCCCCC" w:sz="6"/>
              <w:right w:val="single" w:color="CCCCCC" w:sz="6"/>
            </w:tcBorders>
            <w:shd w:fill="EBF2FA" w:val="clear"/>
            <w:tcMar>
              <w:top w:type="dxa" w:w="80"/>
              <w:left w:type="dxa" w:w="120"/>
              <w:bottom w:type="dxa" w:w="80"/>
              <w:right w:type="dxa" w:w="120"/>
            </w:tcMar>
          </w:tcPr>
          <w:p>
            <w:r>
              <w:rPr>
                <w:rFonts w:ascii="Calibri" w:cs="Calibri" w:eastAsia="Calibri" w:hAnsi="Calibri"/>
                <w:b/>
                <w:bCs/>
                <w:color w:val="1A1A1A"/>
                <w:sz w:val="18"/>
                <w:szCs w:val="18"/>
              </w:rPr>
              <w:t xml:space="preserve">Prepared By</w:t>
            </w:r>
          </w:p>
        </w:tc>
        <w:tc>
          <w:tcPr>
            <w:tcW w:type="dxa" w:w="4680"/>
            <w:tcBorders>
              <w:top w:val="single" w:color="CCCCCC" w:sz="6"/>
              <w:left w:val="single" w:color="CCCCCC" w:sz="6"/>
              <w:bottom w:val="single" w:color="CCCCCC" w:sz="6"/>
              <w:right w:val="single" w:color="CCCCCC" w:sz="6"/>
            </w:tcBorders>
            <w:tcMar>
              <w:top w:type="dxa" w:w="80"/>
              <w:left w:type="dxa" w:w="120"/>
              <w:bottom w:type="dxa" w:w="80"/>
              <w:right w:type="dxa" w:w="120"/>
            </w:tcMar>
          </w:tcPr>
          <w:p>
            <w:r>
              <w:rPr>
                <w:rFonts w:ascii="Calibri" w:cs="Calibri" w:eastAsia="Calibri" w:hAnsi="Calibri"/>
                <w:color w:val="1A1A1A"/>
                <w:sz w:val="18"/>
                <w:szCs w:val="18"/>
              </w:rPr>
              <w:t xml:space="preserve">Anurag Das — Business Analyst</w:t>
            </w:r>
          </w:p>
        </w:tc>
        <w:tc>
          <w:tcPr>
            <w:tcW w:type="dxa" w:w="2340"/>
            <w:tcBorders>
              <w:top w:val="single" w:color="CCCCCC" w:sz="6"/>
              <w:left w:val="single" w:color="CCCCCC" w:sz="6"/>
              <w:bottom w:val="single" w:color="CCCCCC" w:sz="6"/>
              <w:right w:val="single" w:color="CCCCCC" w:sz="6"/>
            </w:tcBorders>
            <w:tcMar>
              <w:top w:type="dxa" w:w="80"/>
              <w:left w:type="dxa" w:w="120"/>
              <w:bottom w:type="dxa" w:w="80"/>
              <w:right w:type="dxa" w:w="120"/>
            </w:tcMar>
          </w:tcPr>
          <w:p>
            <w:r>
              <w:rPr>
                <w:rFonts w:ascii="Calibri" w:cs="Calibri" w:eastAsia="Calibri" w:hAnsi="Calibri"/>
                <w:color w:val="1A1A1A"/>
                <w:sz w:val="18"/>
                <w:szCs w:val="18"/>
              </w:rPr>
              <w:t xml:space="preserve">2024</w:t>
            </w:r>
          </w:p>
        </w:tc>
      </w:tr>
      <w:tr>
        <w:tc>
          <w:tcPr>
            <w:tcW w:type="dxa" w:w="2340"/>
            <w:tcBorders>
              <w:top w:val="single" w:color="CCCCCC" w:sz="6"/>
              <w:left w:val="single" w:color="CCCCCC" w:sz="6"/>
              <w:bottom w:val="single" w:color="CCCCCC" w:sz="6"/>
              <w:right w:val="single" w:color="CCCCCC" w:sz="6"/>
            </w:tcBorders>
            <w:shd w:fill="EBF2FA" w:val="clear"/>
            <w:tcMar>
              <w:top w:type="dxa" w:w="80"/>
              <w:left w:type="dxa" w:w="120"/>
              <w:bottom w:type="dxa" w:w="80"/>
              <w:right w:type="dxa" w:w="120"/>
            </w:tcMar>
          </w:tcPr>
          <w:p>
            <w:r>
              <w:rPr>
                <w:rFonts w:ascii="Calibri" w:cs="Calibri" w:eastAsia="Calibri" w:hAnsi="Calibri"/>
                <w:b/>
                <w:bCs/>
                <w:color w:val="1A1A1A"/>
                <w:sz w:val="18"/>
                <w:szCs w:val="18"/>
              </w:rPr>
              <w:t xml:space="preserve">Status</w:t>
            </w:r>
          </w:p>
        </w:tc>
        <w:tc>
          <w:tcPr>
            <w:tcW w:type="dxa" w:w="4680"/>
            <w:tcBorders>
              <w:top w:val="single" w:color="CCCCCC" w:sz="6"/>
              <w:left w:val="single" w:color="CCCCCC" w:sz="6"/>
              <w:bottom w:val="single" w:color="CCCCCC" w:sz="6"/>
              <w:right w:val="single" w:color="CCCCCC" w:sz="6"/>
            </w:tcBorders>
            <w:tcMar>
              <w:top w:type="dxa" w:w="80"/>
              <w:left w:type="dxa" w:w="120"/>
              <w:bottom w:type="dxa" w:w="80"/>
              <w:right w:type="dxa" w:w="120"/>
            </w:tcMar>
          </w:tcPr>
          <w:p>
            <w:r>
              <w:rPr>
                <w:rFonts w:ascii="Calibri" w:cs="Calibri" w:eastAsia="Calibri" w:hAnsi="Calibri"/>
                <w:color w:val="1A1A1A"/>
                <w:sz w:val="18"/>
                <w:szCs w:val="18"/>
              </w:rPr>
              <w:t xml:space="preserve">Approved</w:t>
            </w:r>
          </w:p>
        </w:tc>
        <w:tc>
          <w:tcPr>
            <w:tcW w:type="dxa" w:w="2340"/>
            <w:tcBorders>
              <w:top w:val="single" w:color="CCCCCC" w:sz="6"/>
              <w:left w:val="single" w:color="CCCCCC" w:sz="6"/>
              <w:bottom w:val="single" w:color="CCCCCC" w:sz="6"/>
              <w:right w:val="single" w:color="CCCCCC" w:sz="6"/>
            </w:tcBorders>
            <w:tcMar>
              <w:top w:type="dxa" w:w="80"/>
              <w:left w:type="dxa" w:w="120"/>
              <w:bottom w:type="dxa" w:w="80"/>
              <w:right w:type="dxa" w:w="120"/>
            </w:tcMar>
          </w:tcPr>
          <w:p>
            <w:r>
              <w:rPr>
                <w:rFonts w:ascii="Calibri" w:cs="Calibri" w:eastAsia="Calibri" w:hAnsi="Calibri"/>
                <w:color w:val="1A1A1A"/>
                <w:sz w:val="18"/>
                <w:szCs w:val="18"/>
              </w:rPr>
              <w:t xml:space="preserve">Final</w:t>
            </w:r>
          </w:p>
        </w:tc>
      </w:tr>
      <w:tr>
        <w:tc>
          <w:tcPr>
            <w:tcW w:type="dxa" w:w="2340"/>
            <w:tcBorders>
              <w:top w:val="single" w:color="CCCCCC" w:sz="6"/>
              <w:left w:val="single" w:color="CCCCCC" w:sz="6"/>
              <w:bottom w:val="single" w:color="CCCCCC" w:sz="6"/>
              <w:right w:val="single" w:color="CCCCCC" w:sz="6"/>
            </w:tcBorders>
            <w:shd w:fill="EBF2FA" w:val="clear"/>
            <w:tcMar>
              <w:top w:type="dxa" w:w="80"/>
              <w:left w:type="dxa" w:w="120"/>
              <w:bottom w:type="dxa" w:w="80"/>
              <w:right w:type="dxa" w:w="120"/>
            </w:tcMar>
          </w:tcPr>
          <w:p>
            <w:r>
              <w:rPr>
                <w:rFonts w:ascii="Calibri" w:cs="Calibri" w:eastAsia="Calibri" w:hAnsi="Calibri"/>
                <w:b/>
                <w:bCs/>
                <w:color w:val="1A1A1A"/>
                <w:sz w:val="18"/>
                <w:szCs w:val="18"/>
              </w:rPr>
              <w:t xml:space="preserve">Tools Used</w:t>
            </w:r>
          </w:p>
        </w:tc>
        <w:tc>
          <w:tcPr>
            <w:tcW w:type="dxa" w:w="4680"/>
            <w:tcBorders>
              <w:top w:val="single" w:color="CCCCCC" w:sz="6"/>
              <w:left w:val="single" w:color="CCCCCC" w:sz="6"/>
              <w:bottom w:val="single" w:color="CCCCCC" w:sz="6"/>
              <w:right w:val="single" w:color="CCCCCC" w:sz="6"/>
            </w:tcBorders>
            <w:tcMar>
              <w:top w:type="dxa" w:w="80"/>
              <w:left w:type="dxa" w:w="120"/>
              <w:bottom w:type="dxa" w:w="80"/>
              <w:right w:type="dxa" w:w="120"/>
            </w:tcMar>
          </w:tcPr>
          <w:p>
            <w:r>
              <w:rPr>
                <w:rFonts w:ascii="Calibri" w:cs="Calibri" w:eastAsia="Calibri" w:hAnsi="Calibri"/>
                <w:color w:val="1A1A1A"/>
                <w:sz w:val="18"/>
                <w:szCs w:val="18"/>
              </w:rPr>
              <w:t xml:space="preserve">SQL · Excel · Power BI (DAX) · draw.io (BPMN)</w:t>
            </w:r>
          </w:p>
        </w:tc>
        <w:tc>
          <w:tcPr>
            <w:tcW w:type="dxa" w:w="2340"/>
            <w:tcBorders>
              <w:top w:val="single" w:color="CCCCCC" w:sz="6"/>
              <w:left w:val="single" w:color="CCCCCC" w:sz="6"/>
              <w:bottom w:val="single" w:color="CCCCCC" w:sz="6"/>
              <w:right w:val="single" w:color="CCCCCC" w:sz="6"/>
            </w:tcBorders>
            <w:tcMar>
              <w:top w:type="dxa" w:w="80"/>
              <w:left w:type="dxa" w:w="120"/>
              <w:bottom w:type="dxa" w:w="80"/>
              <w:right w:type="dxa" w:w="120"/>
            </w:tcMar>
          </w:tcPr>
          <w:p>
            <w:r>
              <w:rPr>
                <w:rFonts w:ascii="Calibri" w:cs="Calibri" w:eastAsia="Calibri" w:hAnsi="Calibri"/>
                <w:color w:val="1A1A1A"/>
                <w:sz w:val="18"/>
                <w:szCs w:val="18"/>
              </w:rPr>
              <w:t xml:space="preserve">—</w:t>
            </w:r>
          </w:p>
        </w:tc>
      </w:tr>
    </w:tbl>
    <w:p>
      <w:pPr>
        <w:pBdr>
          <w:bottom w:val="single" w:color="1F5C99" w:sz="10" w:space="4"/>
        </w:pBdr>
        <w:spacing w:after="120" w:before="320"/>
      </w:pPr>
      <w:r>
        <w:rPr>
          <w:rFonts w:ascii="Calibri" w:cs="Calibri" w:eastAsia="Calibri" w:hAnsi="Calibri"/>
          <w:b/>
          <w:bCs/>
          <w:color w:val="1F5C99"/>
          <w:sz w:val="26"/>
          <w:szCs w:val="26"/>
        </w:rPr>
        <w:t xml:space="preserve">1. Executive Summary</w:t>
      </w:r>
    </w:p>
    <w:p>
      <w:pPr>
        <w:spacing w:after="60" w:before="60"/>
      </w:pPr>
      <w:r>
        <w:rPr>
          <w:rFonts w:ascii="Calibri" w:cs="Calibri" w:eastAsia="Calibri" w:hAnsi="Calibri"/>
          <w:color w:val="1A1A1A"/>
          <w:sz w:val="20"/>
          <w:szCs w:val="20"/>
        </w:rPr>
        <w:t xml:space="preserve">This document defines the business requirements for an E-Commerce Sales Analysis project using the Superstore Sales dataset (9,994 rows). The objective is to identify which product categories, regions, and customer segments drive profit versus loss, and to provide data-backed recommendations to improve profitability.</w:t>
      </w:r>
    </w:p>
    <w:p>
      <w:pPr>
        <w:spacing w:after="60" w:before="60"/>
      </w:pPr>
      <w:r>
        <w:rPr>
          <w:rFonts w:ascii="Calibri" w:cs="Calibri" w:eastAsia="Calibri" w:hAnsi="Calibri"/>
          <w:color w:val="1A1A1A"/>
          <w:sz w:val="20"/>
          <w:szCs w:val="20"/>
        </w:rPr>
        <w:t xml:space="preserve">The analysis revealed that the West region contributes approximately 32% of total sales but only 18% of total profit, primarily due to excessive Technology discounting. A discount cap recommendation is projected to recover $18,000 in annual profit.</w:t>
      </w:r>
    </w:p>
    <w:p>
      <w:pPr>
        <w:pBdr>
          <w:bottom w:val="single" w:color="1F5C99" w:sz="10" w:space="4"/>
        </w:pBdr>
        <w:spacing w:after="120" w:before="320"/>
      </w:pPr>
      <w:r>
        <w:rPr>
          <w:rFonts w:ascii="Calibri" w:cs="Calibri" w:eastAsia="Calibri" w:hAnsi="Calibri"/>
          <w:b/>
          <w:bCs/>
          <w:color w:val="1F5C99"/>
          <w:sz w:val="26"/>
          <w:szCs w:val="26"/>
        </w:rPr>
        <w:t xml:space="preserve">2. Business Problem Statement</w:t>
      </w:r>
    </w:p>
    <w:p>
      <w:pPr>
        <w:spacing w:after="60" w:before="60"/>
      </w:pPr>
      <w:r>
        <w:rPr>
          <w:rFonts w:ascii="Calibri" w:cs="Calibri" w:eastAsia="Calibri" w:hAnsi="Calibri"/>
          <w:color w:val="1A1A1A"/>
          <w:sz w:val="20"/>
          <w:szCs w:val="20"/>
        </w:rPr>
        <w:t xml:space="preserve">The business lacks visibility into which combinations of region, product category, and customer segment are profitable versus loss-making. Sales teams apply discounts inconsistently, and leadership has no single view of SLA or profitability metrics.</w:t>
      </w:r>
    </w:p>
    <w:p>
      <w:pPr>
        <w:spacing w:after="80" w:before="240"/>
      </w:pPr>
      <w:r>
        <w:rPr>
          <w:rFonts w:ascii="Calibri" w:cs="Calibri" w:eastAsia="Calibri" w:hAnsi="Calibri"/>
          <w:b/>
          <w:bCs/>
          <w:color w:val="1A1A1A"/>
          <w:sz w:val="22"/>
          <w:szCs w:val="22"/>
        </w:rPr>
        <w:t xml:space="preserve">2.1 Problem Statement</w:t>
      </w:r>
    </w:p>
    <w:p>
      <w:pPr>
        <w:spacing w:after="60" w:before="60"/>
      </w:pPr>
      <w:r>
        <w:rPr>
          <w:rFonts w:ascii="Calibri" w:cs="Calibri" w:eastAsia="Calibri" w:hAnsi="Calibri"/>
          <w:color w:val="1A1A1A"/>
          <w:sz w:val="20"/>
          <w:szCs w:val="20"/>
        </w:rPr>
        <w:t xml:space="preserve">"We are generating significant revenue but do not know which products and regions are eroding our margins. Without data-driven insight, discount decisions are made ad hoc, costing the business an estimated $18K+ per year in recoverable profit."</w:t>
      </w:r>
    </w:p>
    <w:p>
      <w:pPr>
        <w:spacing w:after="80" w:before="240"/>
      </w:pPr>
      <w:r>
        <w:rPr>
          <w:rFonts w:ascii="Calibri" w:cs="Calibri" w:eastAsia="Calibri" w:hAnsi="Calibri"/>
          <w:b/>
          <w:bCs/>
          <w:color w:val="1A1A1A"/>
          <w:sz w:val="22"/>
          <w:szCs w:val="22"/>
        </w:rPr>
        <w:t xml:space="preserve">2.2 Business Objectives</w:t>
      </w:r>
    </w:p>
    <w:p>
      <w:pPr>
        <w:pStyle w:val="ListParagraph"/>
        <w:numPr>
          <w:ilvl w:val="0"/>
          <w:numId w:val="2"/>
        </w:numPr>
        <w:spacing w:after="40" w:before="40"/>
      </w:pPr>
      <w:r>
        <w:rPr>
          <w:rFonts w:ascii="Calibri" w:cs="Calibri" w:eastAsia="Calibri" w:hAnsi="Calibri"/>
          <w:color w:val="1A1A1A"/>
          <w:sz w:val="20"/>
          <w:szCs w:val="20"/>
        </w:rPr>
        <w:t xml:space="preserve">Identify top-performing and underperforming product categories, sub-categories, and regions by profit margin.</w:t>
      </w:r>
    </w:p>
    <w:p>
      <w:pPr>
        <w:pStyle w:val="ListParagraph"/>
        <w:numPr>
          <w:ilvl w:val="0"/>
          <w:numId w:val="2"/>
        </w:numPr>
        <w:spacing w:after="40" w:before="40"/>
      </w:pPr>
      <w:r>
        <w:rPr>
          <w:rFonts w:ascii="Calibri" w:cs="Calibri" w:eastAsia="Calibri" w:hAnsi="Calibri"/>
          <w:color w:val="1A1A1A"/>
          <w:sz w:val="20"/>
          <w:szCs w:val="20"/>
        </w:rPr>
        <w:t xml:space="preserve">Quantify the impact of discount rates on profitability across regions and categories.</w:t>
      </w:r>
    </w:p>
    <w:p>
      <w:pPr>
        <w:pStyle w:val="ListParagraph"/>
        <w:numPr>
          <w:ilvl w:val="0"/>
          <w:numId w:val="2"/>
        </w:numPr>
        <w:spacing w:after="40" w:before="40"/>
      </w:pPr>
      <w:r>
        <w:rPr>
          <w:rFonts w:ascii="Calibri" w:cs="Calibri" w:eastAsia="Calibri" w:hAnsi="Calibri"/>
          <w:color w:val="1A1A1A"/>
          <w:sz w:val="20"/>
          <w:szCs w:val="20"/>
        </w:rPr>
        <w:t xml:space="preserve">Provide a Power BI dashboard for ongoing leadership tracking of sales and profit KPIs.</w:t>
      </w:r>
    </w:p>
    <w:p>
      <w:pPr>
        <w:pStyle w:val="ListParagraph"/>
        <w:numPr>
          <w:ilvl w:val="0"/>
          <w:numId w:val="2"/>
        </w:numPr>
        <w:spacing w:after="40" w:before="40"/>
      </w:pPr>
      <w:r>
        <w:rPr>
          <w:rFonts w:ascii="Calibri" w:cs="Calibri" w:eastAsia="Calibri" w:hAnsi="Calibri"/>
          <w:color w:val="1A1A1A"/>
          <w:sz w:val="20"/>
          <w:szCs w:val="20"/>
        </w:rPr>
        <w:t xml:space="preserve">Recommend a discount cap policy for the West region Technology category.</w:t>
      </w:r>
    </w:p>
    <w:p>
      <w:pPr>
        <w:pBdr>
          <w:bottom w:val="single" w:color="1F5C99" w:sz="10" w:space="4"/>
        </w:pBdr>
        <w:spacing w:after="120" w:before="320"/>
      </w:pPr>
      <w:r>
        <w:rPr>
          <w:rFonts w:ascii="Calibri" w:cs="Calibri" w:eastAsia="Calibri" w:hAnsi="Calibri"/>
          <w:b/>
          <w:bCs/>
          <w:color w:val="1F5C99"/>
          <w:sz w:val="26"/>
          <w:szCs w:val="26"/>
        </w:rPr>
        <w:t xml:space="preserve">3. Stakeholders &amp; Roles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480"/>
        <w:gridCol w:w="2480"/>
      </w:tblGrid>
      <w:tr>
        <w:tc>
          <w:tcPr>
            <w:tcW w:type="dxa" w:w="2200"/>
            <w:tcBorders>
              <w:top w:val="single" w:color="CCCCCC" w:sz="6"/>
              <w:left w:val="single" w:color="CCCCCC" w:sz="6"/>
              <w:bottom w:val="single" w:color="CCCCCC" w:sz="6"/>
              <w:right w:val="single" w:color="CCCCCC" w:sz="6"/>
            </w:tcBorders>
            <w:shd w:fill="1F5C99" w:val="clear"/>
            <w:tcMar>
              <w:top w:type="dxa" w:w="80"/>
              <w:left w:type="dxa" w:w="120"/>
              <w:bottom w:type="dxa" w:w="80"/>
              <w:right w:type="dxa" w:w="120"/>
            </w:tcMar>
          </w:tcPr>
          <w:p>
            <w:r>
              <w:rPr>
                <w:rFonts w:ascii="Calibri" w:cs="Calibri" w:eastAsia="Calibri" w:hAnsi="Calibri"/>
                <w:b/>
                <w:bCs/>
                <w:color w:val="FFFFFF"/>
                <w:sz w:val="18"/>
                <w:szCs w:val="18"/>
              </w:rPr>
              <w:t xml:space="preserve">Stakeholder</w:t>
            </w:r>
          </w:p>
        </w:tc>
        <w:tc>
          <w:tcPr>
            <w:tcW w:type="dxa" w:w="2200"/>
            <w:tcBorders>
              <w:top w:val="single" w:color="CCCCCC" w:sz="6"/>
              <w:left w:val="single" w:color="CCCCCC" w:sz="6"/>
              <w:bottom w:val="single" w:color="CCCCCC" w:sz="6"/>
              <w:right w:val="single" w:color="CCCCCC" w:sz="6"/>
            </w:tcBorders>
            <w:shd w:fill="1F5C99" w:val="clear"/>
            <w:tcMar>
              <w:top w:type="dxa" w:w="80"/>
              <w:left w:type="dxa" w:w="120"/>
              <w:bottom w:type="dxa" w:w="80"/>
              <w:right w:type="dxa" w:w="120"/>
            </w:tcMar>
          </w:tcPr>
          <w:p>
            <w:r>
              <w:rPr>
                <w:rFonts w:ascii="Calibri" w:cs="Calibri" w:eastAsia="Calibri" w:hAnsi="Calibri"/>
                <w:b/>
                <w:bCs/>
                <w:color w:val="FFFFFF"/>
                <w:sz w:val="18"/>
                <w:szCs w:val="18"/>
              </w:rPr>
              <w:t xml:space="preserve">Role</w:t>
            </w:r>
          </w:p>
        </w:tc>
        <w:tc>
          <w:tcPr>
            <w:tcW w:type="dxa" w:w="2480"/>
            <w:tcBorders>
              <w:top w:val="single" w:color="CCCCCC" w:sz="6"/>
              <w:left w:val="single" w:color="CCCCCC" w:sz="6"/>
              <w:bottom w:val="single" w:color="CCCCCC" w:sz="6"/>
              <w:right w:val="single" w:color="CCCCCC" w:sz="6"/>
            </w:tcBorders>
            <w:shd w:fill="1F5C99" w:val="clear"/>
            <w:tcMar>
              <w:top w:type="dxa" w:w="80"/>
              <w:left w:type="dxa" w:w="120"/>
              <w:bottom w:type="dxa" w:w="80"/>
              <w:right w:type="dxa" w:w="120"/>
            </w:tcMar>
          </w:tcPr>
          <w:p>
            <w:r>
              <w:rPr>
                <w:rFonts w:ascii="Calibri" w:cs="Calibri" w:eastAsia="Calibri" w:hAnsi="Calibri"/>
                <w:b/>
                <w:bCs/>
                <w:color w:val="FFFFFF"/>
                <w:sz w:val="18"/>
                <w:szCs w:val="18"/>
              </w:rPr>
              <w:t xml:space="preserve">Key Concern</w:t>
            </w:r>
          </w:p>
        </w:tc>
        <w:tc>
          <w:tcPr>
            <w:tcW w:type="dxa" w:w="2480"/>
            <w:tcBorders>
              <w:top w:val="single" w:color="CCCCCC" w:sz="6"/>
              <w:left w:val="single" w:color="CCCCCC" w:sz="6"/>
              <w:bottom w:val="single" w:color="CCCCCC" w:sz="6"/>
              <w:right w:val="single" w:color="CCCCCC" w:sz="6"/>
            </w:tcBorders>
            <w:shd w:fill="1F5C99" w:val="clear"/>
            <w:tcMar>
              <w:top w:type="dxa" w:w="80"/>
              <w:left w:type="dxa" w:w="120"/>
              <w:bottom w:type="dxa" w:w="80"/>
              <w:right w:type="dxa" w:w="120"/>
            </w:tcMar>
          </w:tcPr>
          <w:p>
            <w:r>
              <w:rPr>
                <w:rFonts w:ascii="Calibri" w:cs="Calibri" w:eastAsia="Calibri" w:hAnsi="Calibri"/>
                <w:b/>
                <w:bCs/>
                <w:color w:val="FFFFFF"/>
                <w:sz w:val="18"/>
                <w:szCs w:val="18"/>
              </w:rPr>
              <w:t xml:space="preserve">Deliverable</w:t>
            </w:r>
          </w:p>
        </w:tc>
      </w:tr>
      <w:tr>
        <w:tc>
          <w:tcPr>
            <w:tcW w:type="dxa" w:w="2200"/>
            <w:tcBorders>
              <w:top w:val="single" w:color="CCCCCC" w:sz="6"/>
              <w:left w:val="single" w:color="CCCCCC" w:sz="6"/>
              <w:bottom w:val="single" w:color="CCCCCC" w:sz="6"/>
              <w:right w:val="single" w:color="CCCCCC" w:sz="6"/>
            </w:tcBorders>
            <w:tcMar>
              <w:top w:type="dxa" w:w="80"/>
              <w:left w:type="dxa" w:w="120"/>
              <w:bottom w:type="dxa" w:w="80"/>
              <w:right w:type="dxa" w:w="120"/>
            </w:tcMar>
          </w:tcPr>
          <w:p>
            <w:r>
              <w:rPr>
                <w:rFonts w:ascii="Calibri" w:cs="Calibri" w:eastAsia="Calibri" w:hAnsi="Calibri"/>
                <w:color w:val="1A1A1A"/>
                <w:sz w:val="18"/>
                <w:szCs w:val="18"/>
              </w:rPr>
              <w:t xml:space="preserve">Sales Manager</w:t>
            </w:r>
          </w:p>
        </w:tc>
        <w:tc>
          <w:tcPr>
            <w:tcW w:type="dxa" w:w="2200"/>
            <w:tcBorders>
              <w:top w:val="single" w:color="CCCCCC" w:sz="6"/>
              <w:left w:val="single" w:color="CCCCCC" w:sz="6"/>
              <w:bottom w:val="single" w:color="CCCCCC" w:sz="6"/>
              <w:right w:val="single" w:color="CCCCCC" w:sz="6"/>
            </w:tcBorders>
            <w:tcMar>
              <w:top w:type="dxa" w:w="80"/>
              <w:left w:type="dxa" w:w="120"/>
              <w:bottom w:type="dxa" w:w="80"/>
              <w:right w:type="dxa" w:w="120"/>
            </w:tcMar>
          </w:tcPr>
          <w:p>
            <w:r>
              <w:rPr>
                <w:rFonts w:ascii="Calibri" w:cs="Calibri" w:eastAsia="Calibri" w:hAnsi="Calibri"/>
                <w:color w:val="1A1A1A"/>
                <w:sz w:val="18"/>
                <w:szCs w:val="18"/>
              </w:rPr>
              <w:t xml:space="preserve">Primary Sponsor</w:t>
            </w:r>
          </w:p>
        </w:tc>
        <w:tc>
          <w:tcPr>
            <w:tcW w:type="dxa" w:w="2480"/>
            <w:tcBorders>
              <w:top w:val="single" w:color="CCCCCC" w:sz="6"/>
              <w:left w:val="single" w:color="CCCCCC" w:sz="6"/>
              <w:bottom w:val="single" w:color="CCCCCC" w:sz="6"/>
              <w:right w:val="single" w:color="CCCCCC" w:sz="6"/>
            </w:tcBorders>
            <w:tcMar>
              <w:top w:type="dxa" w:w="80"/>
              <w:left w:type="dxa" w:w="120"/>
              <w:bottom w:type="dxa" w:w="80"/>
              <w:right w:type="dxa" w:w="120"/>
            </w:tcMar>
          </w:tcPr>
          <w:p>
            <w:r>
              <w:rPr>
                <w:rFonts w:ascii="Calibri" w:cs="Calibri" w:eastAsia="Calibri" w:hAnsi="Calibri"/>
                <w:color w:val="1A1A1A"/>
                <w:sz w:val="18"/>
                <w:szCs w:val="18"/>
              </w:rPr>
              <w:t xml:space="preserve">Which regions &amp; products drive revenue?</w:t>
            </w:r>
          </w:p>
        </w:tc>
        <w:tc>
          <w:tcPr>
            <w:tcW w:type="dxa" w:w="2480"/>
            <w:tcBorders>
              <w:top w:val="single" w:color="CCCCCC" w:sz="6"/>
              <w:left w:val="single" w:color="CCCCCC" w:sz="6"/>
              <w:bottom w:val="single" w:color="CCCCCC" w:sz="6"/>
              <w:right w:val="single" w:color="CCCCCC" w:sz="6"/>
            </w:tcBorders>
            <w:tcMar>
              <w:top w:type="dxa" w:w="80"/>
              <w:left w:type="dxa" w:w="120"/>
              <w:bottom w:type="dxa" w:w="80"/>
              <w:right w:type="dxa" w:w="120"/>
            </w:tcMar>
          </w:tcPr>
          <w:p>
            <w:r>
              <w:rPr>
                <w:rFonts w:ascii="Calibri" w:cs="Calibri" w:eastAsia="Calibri" w:hAnsi="Calibri"/>
                <w:color w:val="1A1A1A"/>
                <w:sz w:val="18"/>
                <w:szCs w:val="18"/>
              </w:rPr>
              <w:t xml:space="preserve">Regional sales dashboard, top products report</w:t>
            </w:r>
          </w:p>
        </w:tc>
      </w:tr>
      <w:tr>
        <w:tc>
          <w:tcPr>
            <w:tcW w:type="dxa" w:w="2200"/>
            <w:tcBorders>
              <w:top w:val="single" w:color="CCCCCC" w:sz="6"/>
              <w:left w:val="single" w:color="CCCCCC" w:sz="6"/>
              <w:bottom w:val="single" w:color="CCCCCC" w:sz="6"/>
              <w:right w:val="single" w:color="CCCCCC" w:sz="6"/>
            </w:tcBorders>
            <w:tcMar>
              <w:top w:type="dxa" w:w="80"/>
              <w:left w:type="dxa" w:w="120"/>
              <w:bottom w:type="dxa" w:w="80"/>
              <w:right w:type="dxa" w:w="120"/>
            </w:tcMar>
          </w:tcPr>
          <w:p>
            <w:r>
              <w:rPr>
                <w:rFonts w:ascii="Calibri" w:cs="Calibri" w:eastAsia="Calibri" w:hAnsi="Calibri"/>
                <w:color w:val="1A1A1A"/>
                <w:sz w:val="18"/>
                <w:szCs w:val="18"/>
              </w:rPr>
              <w:t xml:space="preserve">Marketing Head</w:t>
            </w:r>
          </w:p>
        </w:tc>
        <w:tc>
          <w:tcPr>
            <w:tcW w:type="dxa" w:w="2200"/>
            <w:tcBorders>
              <w:top w:val="single" w:color="CCCCCC" w:sz="6"/>
              <w:left w:val="single" w:color="CCCCCC" w:sz="6"/>
              <w:bottom w:val="single" w:color="CCCCCC" w:sz="6"/>
              <w:right w:val="single" w:color="CCCCCC" w:sz="6"/>
            </w:tcBorders>
            <w:tcMar>
              <w:top w:type="dxa" w:w="80"/>
              <w:left w:type="dxa" w:w="120"/>
              <w:bottom w:type="dxa" w:w="80"/>
              <w:right w:type="dxa" w:w="120"/>
            </w:tcMar>
          </w:tcPr>
          <w:p>
            <w:r>
              <w:rPr>
                <w:rFonts w:ascii="Calibri" w:cs="Calibri" w:eastAsia="Calibri" w:hAnsi="Calibri"/>
                <w:color w:val="1A1A1A"/>
                <w:sz w:val="18"/>
                <w:szCs w:val="18"/>
              </w:rPr>
              <w:t xml:space="preserve">Key Stakeholder</w:t>
            </w:r>
          </w:p>
        </w:tc>
        <w:tc>
          <w:tcPr>
            <w:tcW w:type="dxa" w:w="2480"/>
            <w:tcBorders>
              <w:top w:val="single" w:color="CCCCCC" w:sz="6"/>
              <w:left w:val="single" w:color="CCCCCC" w:sz="6"/>
              <w:bottom w:val="single" w:color="CCCCCC" w:sz="6"/>
              <w:right w:val="single" w:color="CCCCCC" w:sz="6"/>
            </w:tcBorders>
            <w:tcMar>
              <w:top w:type="dxa" w:w="80"/>
              <w:left w:type="dxa" w:w="120"/>
              <w:bottom w:type="dxa" w:w="80"/>
              <w:right w:type="dxa" w:w="120"/>
            </w:tcMar>
          </w:tcPr>
          <w:p>
            <w:r>
              <w:rPr>
                <w:rFonts w:ascii="Calibri" w:cs="Calibri" w:eastAsia="Calibri" w:hAnsi="Calibri"/>
                <w:color w:val="1A1A1A"/>
                <w:sz w:val="18"/>
                <w:szCs w:val="18"/>
              </w:rPr>
              <w:t xml:space="preserve">Which customer segments to target?</w:t>
            </w:r>
          </w:p>
        </w:tc>
        <w:tc>
          <w:tcPr>
            <w:tcW w:type="dxa" w:w="2480"/>
            <w:tcBorders>
              <w:top w:val="single" w:color="CCCCCC" w:sz="6"/>
              <w:left w:val="single" w:color="CCCCCC" w:sz="6"/>
              <w:bottom w:val="single" w:color="CCCCCC" w:sz="6"/>
              <w:right w:val="single" w:color="CCCCCC" w:sz="6"/>
            </w:tcBorders>
            <w:tcMar>
              <w:top w:type="dxa" w:w="80"/>
              <w:left w:type="dxa" w:w="120"/>
              <w:bottom w:type="dxa" w:w="80"/>
              <w:right w:type="dxa" w:w="120"/>
            </w:tcMar>
          </w:tcPr>
          <w:p>
            <w:r>
              <w:rPr>
                <w:rFonts w:ascii="Calibri" w:cs="Calibri" w:eastAsia="Calibri" w:hAnsi="Calibri"/>
                <w:color w:val="1A1A1A"/>
                <w:sz w:val="18"/>
                <w:szCs w:val="18"/>
              </w:rPr>
              <w:t xml:space="preserve">Segment profitability analysis</w:t>
            </w:r>
          </w:p>
        </w:tc>
      </w:tr>
      <w:tr>
        <w:tc>
          <w:tcPr>
            <w:tcW w:type="dxa" w:w="2200"/>
            <w:tcBorders>
              <w:top w:val="single" w:color="CCCCCC" w:sz="6"/>
              <w:left w:val="single" w:color="CCCCCC" w:sz="6"/>
              <w:bottom w:val="single" w:color="CCCCCC" w:sz="6"/>
              <w:right w:val="single" w:color="CCCCCC" w:sz="6"/>
            </w:tcBorders>
            <w:tcMar>
              <w:top w:type="dxa" w:w="80"/>
              <w:left w:type="dxa" w:w="120"/>
              <w:bottom w:type="dxa" w:w="80"/>
              <w:right w:type="dxa" w:w="120"/>
            </w:tcMar>
          </w:tcPr>
          <w:p>
            <w:r>
              <w:rPr>
                <w:rFonts w:ascii="Calibri" w:cs="Calibri" w:eastAsia="Calibri" w:hAnsi="Calibri"/>
                <w:color w:val="1A1A1A"/>
                <w:sz w:val="18"/>
                <w:szCs w:val="18"/>
              </w:rPr>
              <w:t xml:space="preserve">Finance</w:t>
            </w:r>
          </w:p>
        </w:tc>
        <w:tc>
          <w:tcPr>
            <w:tcW w:type="dxa" w:w="2200"/>
            <w:tcBorders>
              <w:top w:val="single" w:color="CCCCCC" w:sz="6"/>
              <w:left w:val="single" w:color="CCCCCC" w:sz="6"/>
              <w:bottom w:val="single" w:color="CCCCCC" w:sz="6"/>
              <w:right w:val="single" w:color="CCCCCC" w:sz="6"/>
            </w:tcBorders>
            <w:tcMar>
              <w:top w:type="dxa" w:w="80"/>
              <w:left w:type="dxa" w:w="120"/>
              <w:bottom w:type="dxa" w:w="80"/>
              <w:right w:type="dxa" w:w="120"/>
            </w:tcMar>
          </w:tcPr>
          <w:p>
            <w:r>
              <w:rPr>
                <w:rFonts w:ascii="Calibri" w:cs="Calibri" w:eastAsia="Calibri" w:hAnsi="Calibri"/>
                <w:color w:val="1A1A1A"/>
                <w:sz w:val="18"/>
                <w:szCs w:val="18"/>
              </w:rPr>
              <w:t xml:space="preserve">Approver</w:t>
            </w:r>
          </w:p>
        </w:tc>
        <w:tc>
          <w:tcPr>
            <w:tcW w:type="dxa" w:w="2480"/>
            <w:tcBorders>
              <w:top w:val="single" w:color="CCCCCC" w:sz="6"/>
              <w:left w:val="single" w:color="CCCCCC" w:sz="6"/>
              <w:bottom w:val="single" w:color="CCCCCC" w:sz="6"/>
              <w:right w:val="single" w:color="CCCCCC" w:sz="6"/>
            </w:tcBorders>
            <w:tcMar>
              <w:top w:type="dxa" w:w="80"/>
              <w:left w:type="dxa" w:w="120"/>
              <w:bottom w:type="dxa" w:w="80"/>
              <w:right w:type="dxa" w:w="120"/>
            </w:tcMar>
          </w:tcPr>
          <w:p>
            <w:r>
              <w:rPr>
                <w:rFonts w:ascii="Calibri" w:cs="Calibri" w:eastAsia="Calibri" w:hAnsi="Calibri"/>
                <w:color w:val="1A1A1A"/>
                <w:sz w:val="18"/>
                <w:szCs w:val="18"/>
              </w:rPr>
              <w:t xml:space="preserve">Where are we losing money on discounts?</w:t>
            </w:r>
          </w:p>
        </w:tc>
        <w:tc>
          <w:tcPr>
            <w:tcW w:type="dxa" w:w="2480"/>
            <w:tcBorders>
              <w:top w:val="single" w:color="CCCCCC" w:sz="6"/>
              <w:left w:val="single" w:color="CCCCCC" w:sz="6"/>
              <w:bottom w:val="single" w:color="CCCCCC" w:sz="6"/>
              <w:right w:val="single" w:color="CCCCCC" w:sz="6"/>
            </w:tcBorders>
            <w:tcMar>
              <w:top w:type="dxa" w:w="80"/>
              <w:left w:type="dxa" w:w="120"/>
              <w:bottom w:type="dxa" w:w="80"/>
              <w:right w:type="dxa" w:w="120"/>
            </w:tcMar>
          </w:tcPr>
          <w:p>
            <w:r>
              <w:rPr>
                <w:rFonts w:ascii="Calibri" w:cs="Calibri" w:eastAsia="Calibri" w:hAnsi="Calibri"/>
                <w:color w:val="1A1A1A"/>
                <w:sz w:val="18"/>
                <w:szCs w:val="18"/>
              </w:rPr>
              <w:t xml:space="preserve">Discount impact report, $18K recovery projection</w:t>
            </w:r>
          </w:p>
        </w:tc>
      </w:tr>
    </w:tbl>
    <w:p>
      <w:pPr>
        <w:pBdr>
          <w:bottom w:val="single" w:color="1F5C99" w:sz="10" w:space="4"/>
        </w:pBdr>
        <w:spacing w:after="120" w:before="320"/>
      </w:pPr>
      <w:r>
        <w:rPr>
          <w:rFonts w:ascii="Calibri" w:cs="Calibri" w:eastAsia="Calibri" w:hAnsi="Calibri"/>
          <w:b/>
          <w:bCs/>
          <w:color w:val="1F5C99"/>
          <w:sz w:val="26"/>
          <w:szCs w:val="26"/>
        </w:rPr>
        <w:t xml:space="preserve">4. Scope</w:t>
      </w:r>
    </w:p>
    <w:p>
      <w:pPr>
        <w:spacing w:after="80" w:before="240"/>
      </w:pPr>
      <w:r>
        <w:rPr>
          <w:rFonts w:ascii="Calibri" w:cs="Calibri" w:eastAsia="Calibri" w:hAnsi="Calibri"/>
          <w:b/>
          <w:bCs/>
          <w:color w:val="1A1A1A"/>
          <w:sz w:val="22"/>
          <w:szCs w:val="22"/>
        </w:rPr>
        <w:t xml:space="preserve">4.1 In Scope</w:t>
      </w:r>
    </w:p>
    <w:p>
      <w:pPr>
        <w:pStyle w:val="ListParagraph"/>
        <w:numPr>
          <w:ilvl w:val="0"/>
          <w:numId w:val="2"/>
        </w:numPr>
        <w:spacing w:after="40" w:before="40"/>
      </w:pPr>
      <w:r>
        <w:rPr>
          <w:rFonts w:ascii="Calibri" w:cs="Calibri" w:eastAsia="Calibri" w:hAnsi="Calibri"/>
          <w:color w:val="1A1A1A"/>
          <w:sz w:val="20"/>
          <w:szCs w:val="20"/>
        </w:rPr>
        <w:t xml:space="preserve">Sales and profit analysis across all 4 regions (West, East, Central, South).</w:t>
      </w:r>
    </w:p>
    <w:p>
      <w:pPr>
        <w:pStyle w:val="ListParagraph"/>
        <w:numPr>
          <w:ilvl w:val="0"/>
          <w:numId w:val="2"/>
        </w:numPr>
        <w:spacing w:after="40" w:before="40"/>
      </w:pPr>
      <w:r>
        <w:rPr>
          <w:rFonts w:ascii="Calibri" w:cs="Calibri" w:eastAsia="Calibri" w:hAnsi="Calibri"/>
          <w:color w:val="1A1A1A"/>
          <w:sz w:val="20"/>
          <w:szCs w:val="20"/>
        </w:rPr>
        <w:t xml:space="preserve">Product performance analysis across 3 categories and 17 sub-categories.</w:t>
      </w:r>
    </w:p>
    <w:p>
      <w:pPr>
        <w:pStyle w:val="ListParagraph"/>
        <w:numPr>
          <w:ilvl w:val="0"/>
          <w:numId w:val="2"/>
        </w:numPr>
        <w:spacing w:after="40" w:before="40"/>
      </w:pPr>
      <w:r>
        <w:rPr>
          <w:rFonts w:ascii="Calibri" w:cs="Calibri" w:eastAsia="Calibri" w:hAnsi="Calibri"/>
          <w:color w:val="1A1A1A"/>
          <w:sz w:val="20"/>
          <w:szCs w:val="20"/>
        </w:rPr>
        <w:t xml:space="preserve">Customer segment analysis (Consumer, Corporate, Home Office).</w:t>
      </w:r>
    </w:p>
    <w:p>
      <w:pPr>
        <w:pStyle w:val="ListParagraph"/>
        <w:numPr>
          <w:ilvl w:val="0"/>
          <w:numId w:val="2"/>
        </w:numPr>
        <w:spacing w:after="40" w:before="40"/>
      </w:pPr>
      <w:r>
        <w:rPr>
          <w:rFonts w:ascii="Calibri" w:cs="Calibri" w:eastAsia="Calibri" w:hAnsi="Calibri"/>
          <w:color w:val="1A1A1A"/>
          <w:sz w:val="20"/>
          <w:szCs w:val="20"/>
        </w:rPr>
        <w:t xml:space="preserve">Discount impact analysis and cap recommendation for West/Technology.</w:t>
      </w:r>
    </w:p>
    <w:p>
      <w:pPr>
        <w:pStyle w:val="ListParagraph"/>
        <w:numPr>
          <w:ilvl w:val="0"/>
          <w:numId w:val="2"/>
        </w:numPr>
        <w:spacing w:after="40" w:before="40"/>
      </w:pPr>
      <w:r>
        <w:rPr>
          <w:rFonts w:ascii="Calibri" w:cs="Calibri" w:eastAsia="Calibri" w:hAnsi="Calibri"/>
          <w:color w:val="1A1A1A"/>
          <w:sz w:val="20"/>
          <w:szCs w:val="20"/>
        </w:rPr>
        <w:t xml:space="preserve">Monthly and yearly trend analysis (2020–2023).</w:t>
      </w:r>
    </w:p>
    <w:p>
      <w:pPr>
        <w:pStyle w:val="ListParagraph"/>
        <w:numPr>
          <w:ilvl w:val="0"/>
          <w:numId w:val="2"/>
        </w:numPr>
        <w:spacing w:after="40" w:before="40"/>
      </w:pPr>
      <w:r>
        <w:rPr>
          <w:rFonts w:ascii="Calibri" w:cs="Calibri" w:eastAsia="Calibri" w:hAnsi="Calibri"/>
          <w:color w:val="1A1A1A"/>
          <w:sz w:val="20"/>
          <w:szCs w:val="20"/>
        </w:rPr>
        <w:t xml:space="preserve">3-page interactive Power BI dashboard with cross-page slicers.</w:t>
      </w:r>
    </w:p>
    <w:p>
      <w:pPr>
        <w:spacing w:after="80" w:before="240"/>
      </w:pPr>
      <w:r>
        <w:rPr>
          <w:rFonts w:ascii="Calibri" w:cs="Calibri" w:eastAsia="Calibri" w:hAnsi="Calibri"/>
          <w:b/>
          <w:bCs/>
          <w:color w:val="1A1A1A"/>
          <w:sz w:val="22"/>
          <w:szCs w:val="22"/>
        </w:rPr>
        <w:t xml:space="preserve">4.2 Out of Scope</w:t>
      </w:r>
    </w:p>
    <w:p>
      <w:pPr>
        <w:pStyle w:val="ListParagraph"/>
        <w:numPr>
          <w:ilvl w:val="0"/>
          <w:numId w:val="2"/>
        </w:numPr>
        <w:spacing w:after="40" w:before="40"/>
      </w:pPr>
      <w:r>
        <w:rPr>
          <w:rFonts w:ascii="Calibri" w:cs="Calibri" w:eastAsia="Calibri" w:hAnsi="Calibri"/>
          <w:color w:val="1A1A1A"/>
          <w:sz w:val="20"/>
          <w:szCs w:val="20"/>
        </w:rPr>
        <w:t xml:space="preserve">Real-time data integration or live database connections.</w:t>
      </w:r>
    </w:p>
    <w:p>
      <w:pPr>
        <w:pStyle w:val="ListParagraph"/>
        <w:numPr>
          <w:ilvl w:val="0"/>
          <w:numId w:val="2"/>
        </w:numPr>
        <w:spacing w:after="40" w:before="40"/>
      </w:pPr>
      <w:r>
        <w:rPr>
          <w:rFonts w:ascii="Calibri" w:cs="Calibri" w:eastAsia="Calibri" w:hAnsi="Calibri"/>
          <w:color w:val="1A1A1A"/>
          <w:sz w:val="20"/>
          <w:szCs w:val="20"/>
        </w:rPr>
        <w:t xml:space="preserve">Customer-level PII analysis or individual transaction tracking.</w:t>
      </w:r>
    </w:p>
    <w:p>
      <w:pPr>
        <w:pStyle w:val="ListParagraph"/>
        <w:numPr>
          <w:ilvl w:val="0"/>
          <w:numId w:val="2"/>
        </w:numPr>
        <w:spacing w:after="40" w:before="40"/>
      </w:pPr>
      <w:r>
        <w:rPr>
          <w:rFonts w:ascii="Calibri" w:cs="Calibri" w:eastAsia="Calibri" w:hAnsi="Calibri"/>
          <w:color w:val="1A1A1A"/>
          <w:sz w:val="20"/>
          <w:szCs w:val="20"/>
        </w:rPr>
        <w:t xml:space="preserve">Inventory management or supply chain analysis.</w:t>
      </w:r>
    </w:p>
    <w:p>
      <w:pPr>
        <w:pBdr>
          <w:bottom w:val="single" w:color="1F5C99" w:sz="10" w:space="4"/>
        </w:pBdr>
        <w:spacing w:after="120" w:before="320"/>
      </w:pPr>
      <w:r>
        <w:rPr>
          <w:rFonts w:ascii="Calibri" w:cs="Calibri" w:eastAsia="Calibri" w:hAnsi="Calibri"/>
          <w:b/>
          <w:bCs/>
          <w:color w:val="1F5C99"/>
          <w:sz w:val="26"/>
          <w:szCs w:val="26"/>
        </w:rPr>
        <w:t xml:space="preserve">5. User Stories &amp; Acceptance Criteria</w:t>
      </w:r>
    </w:p>
    <w:p>
      <w:pPr>
        <w:spacing w:after="80" w:before="240"/>
      </w:pPr>
      <w:r>
        <w:rPr>
          <w:rFonts w:ascii="Calibri" w:cs="Calibri" w:eastAsia="Calibri" w:hAnsi="Calibri"/>
          <w:b/>
          <w:bCs/>
          <w:color w:val="1A1A1A"/>
          <w:sz w:val="22"/>
          <w:szCs w:val="22"/>
        </w:rPr>
        <w:t xml:space="preserve">User Story 1 — Sales Manager</w:t>
      </w:r>
    </w:p>
    <w:p>
      <w:pPr>
        <w:spacing w:after="60" w:before="60"/>
      </w:pPr>
      <w:r>
        <w:rPr>
          <w:rFonts w:ascii="Calibri" w:cs="Calibri" w:eastAsia="Calibri" w:hAnsi="Calibri"/>
          <w:color w:val="1A1A1A"/>
          <w:sz w:val="20"/>
          <w:szCs w:val="20"/>
        </w:rPr>
        <w:t xml:space="preserve">As a Sales Manager, I want to see total sales and profit broken down by region and category, so that I can identify which areas are underperforming and direct my team's focus accordingly.</w:t>
      </w:r>
    </w:p>
    <w:p>
      <w:pPr>
        <w:spacing w:after="60" w:before="60"/>
      </w:pPr>
      <w:r>
        <w:rPr>
          <w:rFonts w:ascii="Calibri" w:cs="Calibri" w:eastAsia="Calibri" w:hAnsi="Calibri"/>
          <w:b/>
          <w:bCs/>
          <w:color w:val="1A1A1A"/>
          <w:sz w:val="20"/>
          <w:szCs w:val="20"/>
        </w:rPr>
        <w:t xml:space="preserve">Acceptance Criteria:</w:t>
      </w:r>
    </w:p>
    <w:p>
      <w:pPr>
        <w:pStyle w:val="ListParagraph"/>
        <w:numPr>
          <w:ilvl w:val="0"/>
          <w:numId w:val="2"/>
        </w:numPr>
        <w:spacing w:after="40" w:before="40"/>
      </w:pPr>
      <w:r>
        <w:rPr>
          <w:rFonts w:ascii="Calibri" w:cs="Calibri" w:eastAsia="Calibri" w:hAnsi="Calibri"/>
          <w:color w:val="1A1A1A"/>
          <w:sz w:val="20"/>
          <w:szCs w:val="20"/>
        </w:rPr>
        <w:t xml:space="preserve">Dashboard shows Sales, Profit, and Profit Margin % by Region.</w:t>
      </w:r>
    </w:p>
    <w:p>
      <w:pPr>
        <w:pStyle w:val="ListParagraph"/>
        <w:numPr>
          <w:ilvl w:val="0"/>
          <w:numId w:val="2"/>
        </w:numPr>
        <w:spacing w:after="40" w:before="40"/>
      </w:pPr>
      <w:r>
        <w:rPr>
          <w:rFonts w:ascii="Calibri" w:cs="Calibri" w:eastAsia="Calibri" w:hAnsi="Calibri"/>
          <w:color w:val="1A1A1A"/>
          <w:sz w:val="20"/>
          <w:szCs w:val="20"/>
        </w:rPr>
        <w:t xml:space="preserve">User can filter by Year, Region, and Category using slicers.</w:t>
      </w:r>
    </w:p>
    <w:p>
      <w:pPr>
        <w:pStyle w:val="ListParagraph"/>
        <w:numPr>
          <w:ilvl w:val="0"/>
          <w:numId w:val="2"/>
        </w:numPr>
        <w:spacing w:after="40" w:before="40"/>
      </w:pPr>
      <w:r>
        <w:rPr>
          <w:rFonts w:ascii="Calibri" w:cs="Calibri" w:eastAsia="Calibri" w:hAnsi="Calibri"/>
          <w:color w:val="1A1A1A"/>
          <w:sz w:val="20"/>
          <w:szCs w:val="20"/>
        </w:rPr>
        <w:t xml:space="preserve">West region Technology discount gap is visually highlighted.</w:t>
      </w:r>
    </w:p>
    <w:p>
      <w:pPr>
        <w:pStyle w:val="ListParagraph"/>
        <w:numPr>
          <w:ilvl w:val="0"/>
          <w:numId w:val="2"/>
        </w:numPr>
        <w:spacing w:after="40" w:before="40"/>
      </w:pPr>
      <w:r>
        <w:rPr>
          <w:rFonts w:ascii="Calibri" w:cs="Calibri" w:eastAsia="Calibri" w:hAnsi="Calibri"/>
          <w:color w:val="1A1A1A"/>
          <w:sz w:val="20"/>
          <w:szCs w:val="20"/>
        </w:rPr>
        <w:t xml:space="preserve">Data is sourced from the cleaned Superstore dataset (9,994 rows).</w:t>
      </w:r>
    </w:p>
    <w:p>
      <w:pPr>
        <w:spacing w:after="80" w:before="240"/>
      </w:pPr>
      <w:r>
        <w:rPr>
          <w:rFonts w:ascii="Calibri" w:cs="Calibri" w:eastAsia="Calibri" w:hAnsi="Calibri"/>
          <w:b/>
          <w:bCs/>
          <w:color w:val="1A1A1A"/>
          <w:sz w:val="22"/>
          <w:szCs w:val="22"/>
        </w:rPr>
        <w:t xml:space="preserve">User Story 2 — Marketing Head</w:t>
      </w:r>
    </w:p>
    <w:p>
      <w:pPr>
        <w:spacing w:after="60" w:before="60"/>
      </w:pPr>
      <w:r>
        <w:rPr>
          <w:rFonts w:ascii="Calibri" w:cs="Calibri" w:eastAsia="Calibri" w:hAnsi="Calibri"/>
          <w:color w:val="1A1A1A"/>
          <w:sz w:val="20"/>
          <w:szCs w:val="20"/>
        </w:rPr>
        <w:t xml:space="preserve">As a Marketing Head, I want to understand which customer segments (Consumer, Corporate, Home Office) generate the most value, so that I can prioritise marketing spend and tailor campaigns effectively.</w:t>
      </w:r>
    </w:p>
    <w:p>
      <w:pPr>
        <w:spacing w:after="60" w:before="60"/>
      </w:pPr>
      <w:r>
        <w:rPr>
          <w:rFonts w:ascii="Calibri" w:cs="Calibri" w:eastAsia="Calibri" w:hAnsi="Calibri"/>
          <w:b/>
          <w:bCs/>
          <w:color w:val="1A1A1A"/>
          <w:sz w:val="20"/>
          <w:szCs w:val="20"/>
        </w:rPr>
        <w:t xml:space="preserve">Acceptance Criteria:</w:t>
      </w:r>
    </w:p>
    <w:p>
      <w:pPr>
        <w:pStyle w:val="ListParagraph"/>
        <w:numPr>
          <w:ilvl w:val="0"/>
          <w:numId w:val="2"/>
        </w:numPr>
        <w:spacing w:after="40" w:before="40"/>
      </w:pPr>
      <w:r>
        <w:rPr>
          <w:rFonts w:ascii="Calibri" w:cs="Calibri" w:eastAsia="Calibri" w:hAnsi="Calibri"/>
          <w:color w:val="1A1A1A"/>
          <w:sz w:val="20"/>
          <w:szCs w:val="20"/>
        </w:rPr>
        <w:t xml:space="preserve">Dashboard page shows sales and profit by Segment.</w:t>
      </w:r>
    </w:p>
    <w:p>
      <w:pPr>
        <w:pStyle w:val="ListParagraph"/>
        <w:numPr>
          <w:ilvl w:val="0"/>
          <w:numId w:val="2"/>
        </w:numPr>
        <w:spacing w:after="40" w:before="40"/>
      </w:pPr>
      <w:r>
        <w:rPr>
          <w:rFonts w:ascii="Calibri" w:cs="Calibri" w:eastAsia="Calibri" w:hAnsi="Calibri"/>
          <w:color w:val="1A1A1A"/>
          <w:sz w:val="20"/>
          <w:szCs w:val="20"/>
        </w:rPr>
        <w:t xml:space="preserve">Average order value and profit per customer are visible.</w:t>
      </w:r>
    </w:p>
    <w:p>
      <w:pPr>
        <w:pStyle w:val="ListParagraph"/>
        <w:numPr>
          <w:ilvl w:val="0"/>
          <w:numId w:val="2"/>
        </w:numPr>
        <w:spacing w:after="40" w:before="40"/>
      </w:pPr>
      <w:r>
        <w:rPr>
          <w:rFonts w:ascii="Calibri" w:cs="Calibri" w:eastAsia="Calibri" w:hAnsi="Calibri"/>
          <w:color w:val="1A1A1A"/>
          <w:sz w:val="20"/>
          <w:szCs w:val="20"/>
        </w:rPr>
        <w:t xml:space="preserve">Segment data can be cross-filtered with Region and Category slicers.</w:t>
      </w:r>
    </w:p>
    <w:p>
      <w:pPr>
        <w:spacing w:after="80" w:before="240"/>
      </w:pPr>
      <w:r>
        <w:rPr>
          <w:rFonts w:ascii="Calibri" w:cs="Calibri" w:eastAsia="Calibri" w:hAnsi="Calibri"/>
          <w:b/>
          <w:bCs/>
          <w:color w:val="1A1A1A"/>
          <w:sz w:val="22"/>
          <w:szCs w:val="22"/>
        </w:rPr>
        <w:t xml:space="preserve">User Story 3 — Finance</w:t>
      </w:r>
    </w:p>
    <w:p>
      <w:pPr>
        <w:spacing w:after="60" w:before="60"/>
      </w:pPr>
      <w:r>
        <w:rPr>
          <w:rFonts w:ascii="Calibri" w:cs="Calibri" w:eastAsia="Calibri" w:hAnsi="Calibri"/>
          <w:color w:val="1A1A1A"/>
          <w:sz w:val="20"/>
          <w:szCs w:val="20"/>
        </w:rPr>
        <w:t xml:space="preserve">As a Finance stakeholder, I want to see how discount rates affect profit margins across regions and categories, so that I can recommend and enforce a discount cap policy.</w:t>
      </w:r>
    </w:p>
    <w:p>
      <w:pPr>
        <w:spacing w:after="60" w:before="60"/>
      </w:pPr>
      <w:r>
        <w:rPr>
          <w:rFonts w:ascii="Calibri" w:cs="Calibri" w:eastAsia="Calibri" w:hAnsi="Calibri"/>
          <w:b/>
          <w:bCs/>
          <w:color w:val="1A1A1A"/>
          <w:sz w:val="20"/>
          <w:szCs w:val="20"/>
        </w:rPr>
        <w:t xml:space="preserve">Acceptance Criteria:</w:t>
      </w:r>
    </w:p>
    <w:p>
      <w:pPr>
        <w:pStyle w:val="ListParagraph"/>
        <w:numPr>
          <w:ilvl w:val="0"/>
          <w:numId w:val="2"/>
        </w:numPr>
        <w:spacing w:after="40" w:before="40"/>
      </w:pPr>
      <w:r>
        <w:rPr>
          <w:rFonts w:ascii="Calibri" w:cs="Calibri" w:eastAsia="Calibri" w:hAnsi="Calibri"/>
          <w:color w:val="1A1A1A"/>
          <w:sz w:val="20"/>
          <w:szCs w:val="20"/>
        </w:rPr>
        <w:t xml:space="preserve">SQL query shows profit by discount bracket (0%, 1-10%, 11-20%, 21-30%, 31-40%, 40%+).</w:t>
      </w:r>
    </w:p>
    <w:p>
      <w:pPr>
        <w:pStyle w:val="ListParagraph"/>
        <w:numPr>
          <w:ilvl w:val="0"/>
          <w:numId w:val="2"/>
        </w:numPr>
        <w:spacing w:after="40" w:before="40"/>
      </w:pPr>
      <w:r>
        <w:rPr>
          <w:rFonts w:ascii="Calibri" w:cs="Calibri" w:eastAsia="Calibri" w:hAnsi="Calibri"/>
          <w:color w:val="1A1A1A"/>
          <w:sz w:val="20"/>
          <w:szCs w:val="20"/>
        </w:rPr>
        <w:t xml:space="preserve">West region Technology discount cap scenario (20% cap) is modelled with projected $18K profit recovery.</w:t>
      </w:r>
    </w:p>
    <w:p>
      <w:pPr>
        <w:pStyle w:val="ListParagraph"/>
        <w:numPr>
          <w:ilvl w:val="0"/>
          <w:numId w:val="2"/>
        </w:numPr>
        <w:spacing w:after="40" w:before="40"/>
      </w:pPr>
      <w:r>
        <w:rPr>
          <w:rFonts w:ascii="Calibri" w:cs="Calibri" w:eastAsia="Calibri" w:hAnsi="Calibri"/>
          <w:color w:val="1A1A1A"/>
          <w:sz w:val="20"/>
          <w:szCs w:val="20"/>
        </w:rPr>
        <w:t xml:space="preserve">Findings are documented in a summary recommendation slide.</w:t>
      </w:r>
    </w:p>
    <w:p>
      <w:pPr>
        <w:pBdr>
          <w:bottom w:val="single" w:color="1F5C99" w:sz="10" w:space="4"/>
        </w:pBdr>
        <w:spacing w:after="120" w:before="320"/>
      </w:pPr>
      <w:r>
        <w:rPr>
          <w:rFonts w:ascii="Calibri" w:cs="Calibri" w:eastAsia="Calibri" w:hAnsi="Calibri"/>
          <w:b/>
          <w:bCs/>
          <w:color w:val="1F5C99"/>
          <w:sz w:val="26"/>
          <w:szCs w:val="26"/>
        </w:rPr>
        <w:t xml:space="preserve">6. AS-IS Process (Current State)</w:t>
      </w:r>
    </w:p>
    <w:p>
      <w:pPr>
        <w:spacing w:after="60" w:before="60"/>
      </w:pPr>
      <w:r>
        <w:rPr>
          <w:rFonts w:ascii="Calibri" w:cs="Calibri" w:eastAsia="Calibri" w:hAnsi="Calibri"/>
          <w:color w:val="1A1A1A"/>
          <w:sz w:val="20"/>
          <w:szCs w:val="20"/>
        </w:rPr>
        <w:t xml:space="preserve">The following describes the current reporting process before this analysis project:</w:t>
      </w:r>
    </w:p>
    <w:p>
      <w:pPr>
        <w:pStyle w:val="ListParagraph"/>
        <w:numPr>
          <w:ilvl w:val="0"/>
          <w:numId w:val="2"/>
        </w:numPr>
        <w:spacing w:after="40" w:before="40"/>
      </w:pPr>
      <w:r>
        <w:rPr>
          <w:rFonts w:ascii="Calibri" w:cs="Calibri" w:eastAsia="Calibri" w:hAnsi="Calibri"/>
          <w:color w:val="1A1A1A"/>
          <w:sz w:val="20"/>
          <w:szCs w:val="20"/>
        </w:rPr>
        <w:t xml:space="preserve">Sales data is exported manually from the ERP system into Excel files by each regional team.</w:t>
      </w:r>
    </w:p>
    <w:p>
      <w:pPr>
        <w:pStyle w:val="ListParagraph"/>
        <w:numPr>
          <w:ilvl w:val="0"/>
          <w:numId w:val="2"/>
        </w:numPr>
        <w:spacing w:after="40" w:before="40"/>
      </w:pPr>
      <w:r>
        <w:rPr>
          <w:rFonts w:ascii="Calibri" w:cs="Calibri" w:eastAsia="Calibri" w:hAnsi="Calibri"/>
          <w:color w:val="1A1A1A"/>
          <w:sz w:val="20"/>
          <w:szCs w:val="20"/>
        </w:rPr>
        <w:t xml:space="preserve">Regional managers prepare ad hoc reports in separate Excel workbooks — no standardised format.</w:t>
      </w:r>
    </w:p>
    <w:p>
      <w:pPr>
        <w:pStyle w:val="ListParagraph"/>
        <w:numPr>
          <w:ilvl w:val="0"/>
          <w:numId w:val="2"/>
        </w:numPr>
        <w:spacing w:after="40" w:before="40"/>
      </w:pPr>
      <w:r>
        <w:rPr>
          <w:rFonts w:ascii="Calibri" w:cs="Calibri" w:eastAsia="Calibri" w:hAnsi="Calibri"/>
          <w:color w:val="1A1A1A"/>
          <w:sz w:val="20"/>
          <w:szCs w:val="20"/>
        </w:rPr>
        <w:t xml:space="preserve">Finance consolidates regional files manually each month — a process taking 2-3 days.</w:t>
      </w:r>
    </w:p>
    <w:p>
      <w:pPr>
        <w:pStyle w:val="ListParagraph"/>
        <w:numPr>
          <w:ilvl w:val="0"/>
          <w:numId w:val="2"/>
        </w:numPr>
        <w:spacing w:after="40" w:before="40"/>
      </w:pPr>
      <w:r>
        <w:rPr>
          <w:rFonts w:ascii="Calibri" w:cs="Calibri" w:eastAsia="Calibri" w:hAnsi="Calibri"/>
          <w:color w:val="1A1A1A"/>
          <w:sz w:val="20"/>
          <w:szCs w:val="20"/>
        </w:rPr>
        <w:t xml:space="preserve">Discount approvals are given verbally or via email with no central tracking.</w:t>
      </w:r>
    </w:p>
    <w:p>
      <w:pPr>
        <w:pStyle w:val="ListParagraph"/>
        <w:numPr>
          <w:ilvl w:val="0"/>
          <w:numId w:val="2"/>
        </w:numPr>
        <w:spacing w:after="40" w:before="40"/>
      </w:pPr>
      <w:r>
        <w:rPr>
          <w:rFonts w:ascii="Calibri" w:cs="Calibri" w:eastAsia="Calibri" w:hAnsi="Calibri"/>
          <w:color w:val="1A1A1A"/>
          <w:sz w:val="20"/>
          <w:szCs w:val="20"/>
        </w:rPr>
        <w:t xml:space="preserve">Leadership receives a static PDF report monthly with no ability to drill down or filter.</w:t>
      </w:r>
    </w:p>
    <w:p>
      <w:pPr>
        <w:pStyle w:val="ListParagraph"/>
        <w:numPr>
          <w:ilvl w:val="0"/>
          <w:numId w:val="2"/>
        </w:numPr>
        <w:spacing w:after="40" w:before="40"/>
      </w:pPr>
      <w:r>
        <w:rPr>
          <w:rFonts w:ascii="Calibri" w:cs="Calibri" w:eastAsia="Calibri" w:hAnsi="Calibri"/>
          <w:color w:val="1A1A1A"/>
          <w:sz w:val="20"/>
          <w:szCs w:val="20"/>
        </w:rPr>
        <w:t xml:space="preserve">No visibility into profit margin by discount level — decisions are based on revenue only.</w:t>
      </w:r>
    </w:p>
    <w:p>
      <w:pPr>
        <w:spacing w:after="60" w:before="60"/>
      </w:pPr>
      <w:r>
        <w:rPr>
          <w:rFonts w:ascii="Calibri" w:cs="Calibri" w:eastAsia="Calibri" w:hAnsi="Calibri"/>
          <w:b/>
          <w:bCs/>
          <w:color w:val="1A1A1A"/>
          <w:sz w:val="20"/>
          <w:szCs w:val="20"/>
        </w:rPr>
        <w:t xml:space="preserve">Process gaps identified:</w:t>
      </w:r>
    </w:p>
    <w:p>
      <w:pPr>
        <w:pStyle w:val="ListParagraph"/>
        <w:numPr>
          <w:ilvl w:val="0"/>
          <w:numId w:val="2"/>
        </w:numPr>
        <w:spacing w:after="40" w:before="40"/>
      </w:pPr>
      <w:r>
        <w:rPr>
          <w:rFonts w:ascii="Calibri" w:cs="Calibri" w:eastAsia="Calibri" w:hAnsi="Calibri"/>
          <w:color w:val="1A1A1A"/>
          <w:sz w:val="20"/>
          <w:szCs w:val="20"/>
        </w:rPr>
        <w:t xml:space="preserve">No single source of truth for sales and profit data.</w:t>
      </w:r>
    </w:p>
    <w:p>
      <w:pPr>
        <w:pStyle w:val="ListParagraph"/>
        <w:numPr>
          <w:ilvl w:val="0"/>
          <w:numId w:val="2"/>
        </w:numPr>
        <w:spacing w:after="40" w:before="40"/>
      </w:pPr>
      <w:r>
        <w:rPr>
          <w:rFonts w:ascii="Calibri" w:cs="Calibri" w:eastAsia="Calibri" w:hAnsi="Calibri"/>
          <w:color w:val="1A1A1A"/>
          <w:sz w:val="20"/>
          <w:szCs w:val="20"/>
        </w:rPr>
        <w:t xml:space="preserve">No standardised KPIs or definitions across regions.</w:t>
      </w:r>
    </w:p>
    <w:p>
      <w:pPr>
        <w:pStyle w:val="ListParagraph"/>
        <w:numPr>
          <w:ilvl w:val="0"/>
          <w:numId w:val="2"/>
        </w:numPr>
        <w:spacing w:after="40" w:before="40"/>
      </w:pPr>
      <w:r>
        <w:rPr>
          <w:rFonts w:ascii="Calibri" w:cs="Calibri" w:eastAsia="Calibri" w:hAnsi="Calibri"/>
          <w:color w:val="1A1A1A"/>
          <w:sz w:val="20"/>
          <w:szCs w:val="20"/>
        </w:rPr>
        <w:t xml:space="preserve">Discount impact is invisible — contributing to $18K+ annual profit leakage in West/Technology.</w:t>
      </w:r>
    </w:p>
    <w:p>
      <w:pPr>
        <w:pBdr>
          <w:bottom w:val="single" w:color="1F5C99" w:sz="10" w:space="4"/>
        </w:pBdr>
        <w:spacing w:after="120" w:before="320"/>
      </w:pPr>
      <w:r>
        <w:rPr>
          <w:rFonts w:ascii="Calibri" w:cs="Calibri" w:eastAsia="Calibri" w:hAnsi="Calibri"/>
          <w:b/>
          <w:bCs/>
          <w:color w:val="1F5C99"/>
          <w:sz w:val="26"/>
          <w:szCs w:val="26"/>
        </w:rPr>
        <w:t xml:space="preserve">7. TO-BE Process (Future State)</w:t>
      </w:r>
    </w:p>
    <w:p>
      <w:pPr>
        <w:spacing w:after="60" w:before="60"/>
      </w:pPr>
      <w:r>
        <w:rPr>
          <w:rFonts w:ascii="Calibri" w:cs="Calibri" w:eastAsia="Calibri" w:hAnsi="Calibri"/>
          <w:color w:val="1A1A1A"/>
          <w:sz w:val="20"/>
          <w:szCs w:val="20"/>
        </w:rPr>
        <w:t xml:space="preserve">The proposed future state after this analysis and dashboard implementation:</w:t>
      </w:r>
    </w:p>
    <w:p>
      <w:pPr>
        <w:pStyle w:val="ListParagraph"/>
        <w:numPr>
          <w:ilvl w:val="0"/>
          <w:numId w:val="2"/>
        </w:numPr>
        <w:spacing w:after="40" w:before="40"/>
      </w:pPr>
      <w:r>
        <w:rPr>
          <w:rFonts w:ascii="Calibri" w:cs="Calibri" w:eastAsia="Calibri" w:hAnsi="Calibri"/>
          <w:color w:val="1A1A1A"/>
          <w:sz w:val="20"/>
          <w:szCs w:val="20"/>
        </w:rPr>
        <w:t xml:space="preserve">A single cleaned dataset (superstore_sales.csv) serves as the source of truth.</w:t>
      </w:r>
    </w:p>
    <w:p>
      <w:pPr>
        <w:pStyle w:val="ListParagraph"/>
        <w:numPr>
          <w:ilvl w:val="0"/>
          <w:numId w:val="2"/>
        </w:numPr>
        <w:spacing w:after="40" w:before="40"/>
      </w:pPr>
      <w:r>
        <w:rPr>
          <w:rFonts w:ascii="Calibri" w:cs="Calibri" w:eastAsia="Calibri" w:hAnsi="Calibri"/>
          <w:color w:val="1A1A1A"/>
          <w:sz w:val="20"/>
          <w:szCs w:val="20"/>
        </w:rPr>
        <w:t xml:space="preserve">6 standardised SQL queries provide reusable, auditable analysis for all stakeholders.</w:t>
      </w:r>
    </w:p>
    <w:p>
      <w:pPr>
        <w:pStyle w:val="ListParagraph"/>
        <w:numPr>
          <w:ilvl w:val="0"/>
          <w:numId w:val="2"/>
        </w:numPr>
        <w:spacing w:after="40" w:before="40"/>
      </w:pPr>
      <w:r>
        <w:rPr>
          <w:rFonts w:ascii="Calibri" w:cs="Calibri" w:eastAsia="Calibri" w:hAnsi="Calibri"/>
          <w:color w:val="1A1A1A"/>
          <w:sz w:val="20"/>
          <w:szCs w:val="20"/>
        </w:rPr>
        <w:t xml:space="preserve">A 3-page Power BI dashboard with cross-page slicers replaces all manual Excel reports.</w:t>
      </w:r>
    </w:p>
    <w:p>
      <w:pPr>
        <w:pStyle w:val="ListParagraph"/>
        <w:numPr>
          <w:ilvl w:val="0"/>
          <w:numId w:val="2"/>
        </w:numPr>
        <w:spacing w:after="40" w:before="40"/>
      </w:pPr>
      <w:r>
        <w:rPr>
          <w:rFonts w:ascii="Calibri" w:cs="Calibri" w:eastAsia="Calibri" w:hAnsi="Calibri"/>
          <w:color w:val="1A1A1A"/>
          <w:sz w:val="20"/>
          <w:szCs w:val="20"/>
        </w:rPr>
        <w:t xml:space="preserve">Finance receives a discount impact analysis and approves a 20% cap policy for West/Technology.</w:t>
      </w:r>
    </w:p>
    <w:p>
      <w:pPr>
        <w:pStyle w:val="ListParagraph"/>
        <w:numPr>
          <w:ilvl w:val="0"/>
          <w:numId w:val="2"/>
        </w:numPr>
        <w:spacing w:after="40" w:before="40"/>
      </w:pPr>
      <w:r>
        <w:rPr>
          <w:rFonts w:ascii="Calibri" w:cs="Calibri" w:eastAsia="Calibri" w:hAnsi="Calibri"/>
          <w:color w:val="1A1A1A"/>
          <w:sz w:val="20"/>
          <w:szCs w:val="20"/>
        </w:rPr>
        <w:t xml:space="preserve">Leadership can access live KPIs — Sales, Profit, Margin %, Discount % — at any time, self-serve.</w:t>
      </w:r>
    </w:p>
    <w:p>
      <w:pPr>
        <w:pStyle w:val="ListParagraph"/>
        <w:numPr>
          <w:ilvl w:val="0"/>
          <w:numId w:val="2"/>
        </w:numPr>
        <w:spacing w:after="40" w:before="40"/>
      </w:pPr>
      <w:r>
        <w:rPr>
          <w:rFonts w:ascii="Calibri" w:cs="Calibri" w:eastAsia="Calibri" w:hAnsi="Calibri"/>
          <w:color w:val="1A1A1A"/>
          <w:sz w:val="20"/>
          <w:szCs w:val="20"/>
        </w:rPr>
        <w:t xml:space="preserve">Monthly reporting cycle time reduced from 2-3 days to under 30 minutes.</w:t>
      </w:r>
    </w:p>
    <w:p>
      <w:pPr>
        <w:pBdr>
          <w:bottom w:val="single" w:color="1F5C99" w:sz="10" w:space="4"/>
        </w:pBdr>
        <w:spacing w:after="120" w:before="320"/>
      </w:pPr>
      <w:r>
        <w:rPr>
          <w:rFonts w:ascii="Calibri" w:cs="Calibri" w:eastAsia="Calibri" w:hAnsi="Calibri"/>
          <w:b/>
          <w:bCs/>
          <w:color w:val="1F5C99"/>
          <w:sz w:val="26"/>
          <w:szCs w:val="26"/>
        </w:rPr>
        <w:t xml:space="preserve">8. Functional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2200"/>
        <w:gridCol w:w="4440"/>
        <w:gridCol w:w="2000"/>
      </w:tblGrid>
      <w:tr>
        <w:tc>
          <w:tcPr>
            <w:tcW w:type="dxa" w:w="720"/>
            <w:tcBorders>
              <w:top w:val="single" w:color="CCCCCC" w:sz="6"/>
              <w:left w:val="single" w:color="CCCCCC" w:sz="6"/>
              <w:bottom w:val="single" w:color="CCCCCC" w:sz="6"/>
              <w:right w:val="single" w:color="CCCCCC" w:sz="6"/>
            </w:tcBorders>
            <w:shd w:fill="1F5C99" w:val="clear"/>
            <w:tcMar>
              <w:top w:type="dxa" w:w="80"/>
              <w:left w:type="dxa" w:w="120"/>
              <w:bottom w:type="dxa" w:w="80"/>
              <w:right w:type="dxa" w:w="120"/>
            </w:tcMar>
          </w:tcPr>
          <w:p>
            <w:r>
              <w:rPr>
                <w:rFonts w:ascii="Calibri" w:cs="Calibri" w:eastAsia="Calibri" w:hAnsi="Calibri"/>
                <w:b/>
                <w:bCs/>
                <w:color w:val="FFFFFF"/>
                <w:sz w:val="18"/>
                <w:szCs w:val="18"/>
              </w:rPr>
              <w:t xml:space="preserve">ID</w:t>
            </w:r>
          </w:p>
        </w:tc>
        <w:tc>
          <w:tcPr>
            <w:tcW w:type="dxa" w:w="2200"/>
            <w:tcBorders>
              <w:top w:val="single" w:color="CCCCCC" w:sz="6"/>
              <w:left w:val="single" w:color="CCCCCC" w:sz="6"/>
              <w:bottom w:val="single" w:color="CCCCCC" w:sz="6"/>
              <w:right w:val="single" w:color="CCCCCC" w:sz="6"/>
            </w:tcBorders>
            <w:shd w:fill="1F5C99" w:val="clear"/>
            <w:tcMar>
              <w:top w:type="dxa" w:w="80"/>
              <w:left w:type="dxa" w:w="120"/>
              <w:bottom w:type="dxa" w:w="80"/>
              <w:right w:type="dxa" w:w="120"/>
            </w:tcMar>
          </w:tcPr>
          <w:p>
            <w:r>
              <w:rPr>
                <w:rFonts w:ascii="Calibri" w:cs="Calibri" w:eastAsia="Calibri" w:hAnsi="Calibri"/>
                <w:b/>
                <w:bCs/>
                <w:color w:val="FFFFFF"/>
                <w:sz w:val="18"/>
                <w:szCs w:val="18"/>
              </w:rPr>
              <w:t xml:space="preserve">Requirement</w:t>
            </w:r>
          </w:p>
        </w:tc>
        <w:tc>
          <w:tcPr>
            <w:tcW w:type="dxa" w:w="4440"/>
            <w:tcBorders>
              <w:top w:val="single" w:color="CCCCCC" w:sz="6"/>
              <w:left w:val="single" w:color="CCCCCC" w:sz="6"/>
              <w:bottom w:val="single" w:color="CCCCCC" w:sz="6"/>
              <w:right w:val="single" w:color="CCCCCC" w:sz="6"/>
            </w:tcBorders>
            <w:shd w:fill="1F5C99" w:val="clear"/>
            <w:tcMar>
              <w:top w:type="dxa" w:w="80"/>
              <w:left w:type="dxa" w:w="120"/>
              <w:bottom w:type="dxa" w:w="80"/>
              <w:right w:type="dxa" w:w="120"/>
            </w:tcMar>
          </w:tcPr>
          <w:p>
            <w:r>
              <w:rPr>
                <w:rFonts w:ascii="Calibri" w:cs="Calibri" w:eastAsia="Calibri" w:hAnsi="Calibri"/>
                <w:b/>
                <w:bCs/>
                <w:color w:val="FFFFFF"/>
                <w:sz w:val="18"/>
                <w:szCs w:val="18"/>
              </w:rPr>
              <w:t xml:space="preserve">Description</w:t>
            </w:r>
          </w:p>
        </w:tc>
        <w:tc>
          <w:tcPr>
            <w:tcW w:type="dxa" w:w="2000"/>
            <w:tcBorders>
              <w:top w:val="single" w:color="CCCCCC" w:sz="6"/>
              <w:left w:val="single" w:color="CCCCCC" w:sz="6"/>
              <w:bottom w:val="single" w:color="CCCCCC" w:sz="6"/>
              <w:right w:val="single" w:color="CCCCCC" w:sz="6"/>
            </w:tcBorders>
            <w:shd w:fill="1F5C99" w:val="clear"/>
            <w:tcMar>
              <w:top w:type="dxa" w:w="80"/>
              <w:left w:type="dxa" w:w="120"/>
              <w:bottom w:type="dxa" w:w="80"/>
              <w:right w:type="dxa" w:w="120"/>
            </w:tcMar>
          </w:tcPr>
          <w:p>
            <w:r>
              <w:rPr>
                <w:rFonts w:ascii="Calibri" w:cs="Calibri" w:eastAsia="Calibri" w:hAnsi="Calibri"/>
                <w:b/>
                <w:bCs/>
                <w:color w:val="FFFFFF"/>
                <w:sz w:val="18"/>
                <w:szCs w:val="18"/>
              </w:rPr>
              <w:t xml:space="preserve">Priority</w:t>
            </w:r>
          </w:p>
        </w:tc>
      </w:tr>
      <w:tr>
        <w:tc>
          <w:tcPr>
            <w:tcW w:type="dxa" w:w="720"/>
            <w:tcBorders>
              <w:top w:val="single" w:color="CCCCCC" w:sz="6"/>
              <w:left w:val="single" w:color="CCCCCC" w:sz="6"/>
              <w:bottom w:val="single" w:color="CCCCCC" w:sz="6"/>
              <w:right w:val="single" w:color="CCCCCC" w:sz="6"/>
            </w:tcBorders>
            <w:tcMar>
              <w:top w:type="dxa" w:w="80"/>
              <w:left w:type="dxa" w:w="120"/>
              <w:bottom w:type="dxa" w:w="80"/>
              <w:right w:type="dxa" w:w="120"/>
            </w:tcMar>
          </w:tcPr>
          <w:p>
            <w:r>
              <w:rPr>
                <w:rFonts w:ascii="Calibri" w:cs="Calibri" w:eastAsia="Calibri" w:hAnsi="Calibri"/>
                <w:color w:val="1A1A1A"/>
                <w:sz w:val="18"/>
                <w:szCs w:val="18"/>
              </w:rPr>
              <w:t xml:space="preserve">FR-01</w:t>
            </w:r>
          </w:p>
        </w:tc>
        <w:tc>
          <w:tcPr>
            <w:tcW w:type="dxa" w:w="2200"/>
            <w:tcBorders>
              <w:top w:val="single" w:color="CCCCCC" w:sz="6"/>
              <w:left w:val="single" w:color="CCCCCC" w:sz="6"/>
              <w:bottom w:val="single" w:color="CCCCCC" w:sz="6"/>
              <w:right w:val="single" w:color="CCCCCC" w:sz="6"/>
            </w:tcBorders>
            <w:tcMar>
              <w:top w:type="dxa" w:w="80"/>
              <w:left w:type="dxa" w:w="120"/>
              <w:bottom w:type="dxa" w:w="80"/>
              <w:right w:type="dxa" w:w="120"/>
            </w:tcMar>
          </w:tcPr>
          <w:p>
            <w:r>
              <w:rPr>
                <w:rFonts w:ascii="Calibri" w:cs="Calibri" w:eastAsia="Calibri" w:hAnsi="Calibri"/>
                <w:color w:val="1A1A1A"/>
                <w:sz w:val="18"/>
                <w:szCs w:val="18"/>
              </w:rPr>
              <w:t xml:space="preserve">Regional Sales View</w:t>
            </w:r>
          </w:p>
        </w:tc>
        <w:tc>
          <w:tcPr>
            <w:tcW w:type="dxa" w:w="4440"/>
            <w:tcBorders>
              <w:top w:val="single" w:color="CCCCCC" w:sz="6"/>
              <w:left w:val="single" w:color="CCCCCC" w:sz="6"/>
              <w:bottom w:val="single" w:color="CCCCCC" w:sz="6"/>
              <w:right w:val="single" w:color="CCCCCC" w:sz="6"/>
            </w:tcBorders>
            <w:tcMar>
              <w:top w:type="dxa" w:w="80"/>
              <w:left w:type="dxa" w:w="120"/>
              <w:bottom w:type="dxa" w:w="80"/>
              <w:right w:type="dxa" w:w="120"/>
            </w:tcMar>
          </w:tcPr>
          <w:p>
            <w:r>
              <w:rPr>
                <w:rFonts w:ascii="Calibri" w:cs="Calibri" w:eastAsia="Calibri" w:hAnsi="Calibri"/>
                <w:color w:val="1A1A1A"/>
                <w:sz w:val="18"/>
                <w:szCs w:val="18"/>
              </w:rPr>
              <w:t xml:space="preserve">Dashboard must show Sales, Profit and Profit Margin % broken down by Region.</w:t>
            </w:r>
          </w:p>
        </w:tc>
        <w:tc>
          <w:tcPr>
            <w:tcW w:type="dxa" w:w="2000"/>
            <w:tcBorders>
              <w:top w:val="single" w:color="CCCCCC" w:sz="6"/>
              <w:left w:val="single" w:color="CCCCCC" w:sz="6"/>
              <w:bottom w:val="single" w:color="CCCCCC" w:sz="6"/>
              <w:right w:val="single" w:color="CCCCCC" w:sz="6"/>
            </w:tcBorders>
            <w:tcMar>
              <w:top w:type="dxa" w:w="80"/>
              <w:left w:type="dxa" w:w="120"/>
              <w:bottom w:type="dxa" w:w="80"/>
              <w:right w:type="dxa" w:w="120"/>
            </w:tcMar>
          </w:tcPr>
          <w:p>
            <w:r>
              <w:rPr>
                <w:rFonts w:ascii="Calibri" w:cs="Calibri" w:eastAsia="Calibri" w:hAnsi="Calibri"/>
                <w:color w:val="1A1A1A"/>
                <w:sz w:val="18"/>
                <w:szCs w:val="18"/>
              </w:rPr>
              <w:t xml:space="preserve">Must Have</w:t>
            </w:r>
          </w:p>
        </w:tc>
      </w:tr>
      <w:tr>
        <w:tc>
          <w:tcPr>
            <w:tcW w:type="dxa" w:w="720"/>
            <w:tcBorders>
              <w:top w:val="single" w:color="CCCCCC" w:sz="6"/>
              <w:left w:val="single" w:color="CCCCCC" w:sz="6"/>
              <w:bottom w:val="single" w:color="CCCCCC" w:sz="6"/>
              <w:right w:val="single" w:color="CCCCCC" w:sz="6"/>
            </w:tcBorders>
            <w:tcMar>
              <w:top w:type="dxa" w:w="80"/>
              <w:left w:type="dxa" w:w="120"/>
              <w:bottom w:type="dxa" w:w="80"/>
              <w:right w:type="dxa" w:w="120"/>
            </w:tcMar>
          </w:tcPr>
          <w:p>
            <w:r>
              <w:rPr>
                <w:rFonts w:ascii="Calibri" w:cs="Calibri" w:eastAsia="Calibri" w:hAnsi="Calibri"/>
                <w:color w:val="1A1A1A"/>
                <w:sz w:val="18"/>
                <w:szCs w:val="18"/>
              </w:rPr>
              <w:t xml:space="preserve">FR-02</w:t>
            </w:r>
          </w:p>
        </w:tc>
        <w:tc>
          <w:tcPr>
            <w:tcW w:type="dxa" w:w="2200"/>
            <w:tcBorders>
              <w:top w:val="single" w:color="CCCCCC" w:sz="6"/>
              <w:left w:val="single" w:color="CCCCCC" w:sz="6"/>
              <w:bottom w:val="single" w:color="CCCCCC" w:sz="6"/>
              <w:right w:val="single" w:color="CCCCCC" w:sz="6"/>
            </w:tcBorders>
            <w:tcMar>
              <w:top w:type="dxa" w:w="80"/>
              <w:left w:type="dxa" w:w="120"/>
              <w:bottom w:type="dxa" w:w="80"/>
              <w:right w:type="dxa" w:w="120"/>
            </w:tcMar>
          </w:tcPr>
          <w:p>
            <w:r>
              <w:rPr>
                <w:rFonts w:ascii="Calibri" w:cs="Calibri" w:eastAsia="Calibri" w:hAnsi="Calibri"/>
                <w:color w:val="1A1A1A"/>
                <w:sz w:val="18"/>
                <w:szCs w:val="18"/>
              </w:rPr>
              <w:t xml:space="preserve">Category Drill-Down</w:t>
            </w:r>
          </w:p>
        </w:tc>
        <w:tc>
          <w:tcPr>
            <w:tcW w:type="dxa" w:w="4440"/>
            <w:tcBorders>
              <w:top w:val="single" w:color="CCCCCC" w:sz="6"/>
              <w:left w:val="single" w:color="CCCCCC" w:sz="6"/>
              <w:bottom w:val="single" w:color="CCCCCC" w:sz="6"/>
              <w:right w:val="single" w:color="CCCCCC" w:sz="6"/>
            </w:tcBorders>
            <w:tcMar>
              <w:top w:type="dxa" w:w="80"/>
              <w:left w:type="dxa" w:w="120"/>
              <w:bottom w:type="dxa" w:w="80"/>
              <w:right w:type="dxa" w:w="120"/>
            </w:tcMar>
          </w:tcPr>
          <w:p>
            <w:r>
              <w:rPr>
                <w:rFonts w:ascii="Calibri" w:cs="Calibri" w:eastAsia="Calibri" w:hAnsi="Calibri"/>
                <w:color w:val="1A1A1A"/>
                <w:sz w:val="18"/>
                <w:szCs w:val="18"/>
              </w:rPr>
              <w:t xml:space="preserve">Users must be able to filter all visuals by Category and Sub-Category.</w:t>
            </w:r>
          </w:p>
        </w:tc>
        <w:tc>
          <w:tcPr>
            <w:tcW w:type="dxa" w:w="2000"/>
            <w:tcBorders>
              <w:top w:val="single" w:color="CCCCCC" w:sz="6"/>
              <w:left w:val="single" w:color="CCCCCC" w:sz="6"/>
              <w:bottom w:val="single" w:color="CCCCCC" w:sz="6"/>
              <w:right w:val="single" w:color="CCCCCC" w:sz="6"/>
            </w:tcBorders>
            <w:tcMar>
              <w:top w:type="dxa" w:w="80"/>
              <w:left w:type="dxa" w:w="120"/>
              <w:bottom w:type="dxa" w:w="80"/>
              <w:right w:type="dxa" w:w="120"/>
            </w:tcMar>
          </w:tcPr>
          <w:p>
            <w:r>
              <w:rPr>
                <w:rFonts w:ascii="Calibri" w:cs="Calibri" w:eastAsia="Calibri" w:hAnsi="Calibri"/>
                <w:color w:val="1A1A1A"/>
                <w:sz w:val="18"/>
                <w:szCs w:val="18"/>
              </w:rPr>
              <w:t xml:space="preserve">Must Have</w:t>
            </w:r>
          </w:p>
        </w:tc>
      </w:tr>
      <w:tr>
        <w:tc>
          <w:tcPr>
            <w:tcW w:type="dxa" w:w="720"/>
            <w:tcBorders>
              <w:top w:val="single" w:color="CCCCCC" w:sz="6"/>
              <w:left w:val="single" w:color="CCCCCC" w:sz="6"/>
              <w:bottom w:val="single" w:color="CCCCCC" w:sz="6"/>
              <w:right w:val="single" w:color="CCCCCC" w:sz="6"/>
            </w:tcBorders>
            <w:tcMar>
              <w:top w:type="dxa" w:w="80"/>
              <w:left w:type="dxa" w:w="120"/>
              <w:bottom w:type="dxa" w:w="80"/>
              <w:right w:type="dxa" w:w="120"/>
            </w:tcMar>
          </w:tcPr>
          <w:p>
            <w:r>
              <w:rPr>
                <w:rFonts w:ascii="Calibri" w:cs="Calibri" w:eastAsia="Calibri" w:hAnsi="Calibri"/>
                <w:color w:val="1A1A1A"/>
                <w:sz w:val="18"/>
                <w:szCs w:val="18"/>
              </w:rPr>
              <w:t xml:space="preserve">FR-03</w:t>
            </w:r>
          </w:p>
        </w:tc>
        <w:tc>
          <w:tcPr>
            <w:tcW w:type="dxa" w:w="2200"/>
            <w:tcBorders>
              <w:top w:val="single" w:color="CCCCCC" w:sz="6"/>
              <w:left w:val="single" w:color="CCCCCC" w:sz="6"/>
              <w:bottom w:val="single" w:color="CCCCCC" w:sz="6"/>
              <w:right w:val="single" w:color="CCCCCC" w:sz="6"/>
            </w:tcBorders>
            <w:tcMar>
              <w:top w:type="dxa" w:w="80"/>
              <w:left w:type="dxa" w:w="120"/>
              <w:bottom w:type="dxa" w:w="80"/>
              <w:right w:type="dxa" w:w="120"/>
            </w:tcMar>
          </w:tcPr>
          <w:p>
            <w:r>
              <w:rPr>
                <w:rFonts w:ascii="Calibri" w:cs="Calibri" w:eastAsia="Calibri" w:hAnsi="Calibri"/>
                <w:color w:val="1A1A1A"/>
                <w:sz w:val="18"/>
                <w:szCs w:val="18"/>
              </w:rPr>
              <w:t xml:space="preserve">Monthly Trend Chart</w:t>
            </w:r>
          </w:p>
        </w:tc>
        <w:tc>
          <w:tcPr>
            <w:tcW w:type="dxa" w:w="4440"/>
            <w:tcBorders>
              <w:top w:val="single" w:color="CCCCCC" w:sz="6"/>
              <w:left w:val="single" w:color="CCCCCC" w:sz="6"/>
              <w:bottom w:val="single" w:color="CCCCCC" w:sz="6"/>
              <w:right w:val="single" w:color="CCCCCC" w:sz="6"/>
            </w:tcBorders>
            <w:tcMar>
              <w:top w:type="dxa" w:w="80"/>
              <w:left w:type="dxa" w:w="120"/>
              <w:bottom w:type="dxa" w:w="80"/>
              <w:right w:type="dxa" w:w="120"/>
            </w:tcMar>
          </w:tcPr>
          <w:p>
            <w:r>
              <w:rPr>
                <w:rFonts w:ascii="Calibri" w:cs="Calibri" w:eastAsia="Calibri" w:hAnsi="Calibri"/>
                <w:color w:val="1A1A1A"/>
                <w:sz w:val="18"/>
                <w:szCs w:val="18"/>
              </w:rPr>
              <w:t xml:space="preserve">A line chart showing monthly sales and profit trends for 2020-2023.</w:t>
            </w:r>
          </w:p>
        </w:tc>
        <w:tc>
          <w:tcPr>
            <w:tcW w:type="dxa" w:w="2000"/>
            <w:tcBorders>
              <w:top w:val="single" w:color="CCCCCC" w:sz="6"/>
              <w:left w:val="single" w:color="CCCCCC" w:sz="6"/>
              <w:bottom w:val="single" w:color="CCCCCC" w:sz="6"/>
              <w:right w:val="single" w:color="CCCCCC" w:sz="6"/>
            </w:tcBorders>
            <w:tcMar>
              <w:top w:type="dxa" w:w="80"/>
              <w:left w:type="dxa" w:w="120"/>
              <w:bottom w:type="dxa" w:w="80"/>
              <w:right w:type="dxa" w:w="120"/>
            </w:tcMar>
          </w:tcPr>
          <w:p>
            <w:r>
              <w:rPr>
                <w:rFonts w:ascii="Calibri" w:cs="Calibri" w:eastAsia="Calibri" w:hAnsi="Calibri"/>
                <w:color w:val="1A1A1A"/>
                <w:sz w:val="18"/>
                <w:szCs w:val="18"/>
              </w:rPr>
              <w:t xml:space="preserve">Must Have</w:t>
            </w:r>
          </w:p>
        </w:tc>
      </w:tr>
      <w:tr>
        <w:tc>
          <w:tcPr>
            <w:tcW w:type="dxa" w:w="720"/>
            <w:tcBorders>
              <w:top w:val="single" w:color="CCCCCC" w:sz="6"/>
              <w:left w:val="single" w:color="CCCCCC" w:sz="6"/>
              <w:bottom w:val="single" w:color="CCCCCC" w:sz="6"/>
              <w:right w:val="single" w:color="CCCCCC" w:sz="6"/>
            </w:tcBorders>
            <w:tcMar>
              <w:top w:type="dxa" w:w="80"/>
              <w:left w:type="dxa" w:w="120"/>
              <w:bottom w:type="dxa" w:w="80"/>
              <w:right w:type="dxa" w:w="120"/>
            </w:tcMar>
          </w:tcPr>
          <w:p>
            <w:r>
              <w:rPr>
                <w:rFonts w:ascii="Calibri" w:cs="Calibri" w:eastAsia="Calibri" w:hAnsi="Calibri"/>
                <w:color w:val="1A1A1A"/>
                <w:sz w:val="18"/>
                <w:szCs w:val="18"/>
              </w:rPr>
              <w:t xml:space="preserve">FR-04</w:t>
            </w:r>
          </w:p>
        </w:tc>
        <w:tc>
          <w:tcPr>
            <w:tcW w:type="dxa" w:w="2200"/>
            <w:tcBorders>
              <w:top w:val="single" w:color="CCCCCC" w:sz="6"/>
              <w:left w:val="single" w:color="CCCCCC" w:sz="6"/>
              <w:bottom w:val="single" w:color="CCCCCC" w:sz="6"/>
              <w:right w:val="single" w:color="CCCCCC" w:sz="6"/>
            </w:tcBorders>
            <w:tcMar>
              <w:top w:type="dxa" w:w="80"/>
              <w:left w:type="dxa" w:w="120"/>
              <w:bottom w:type="dxa" w:w="80"/>
              <w:right w:type="dxa" w:w="120"/>
            </w:tcMar>
          </w:tcPr>
          <w:p>
            <w:r>
              <w:rPr>
                <w:rFonts w:ascii="Calibri" w:cs="Calibri" w:eastAsia="Calibri" w:hAnsi="Calibri"/>
                <w:color w:val="1A1A1A"/>
                <w:sz w:val="18"/>
                <w:szCs w:val="18"/>
              </w:rPr>
              <w:t xml:space="preserve">Segment Analysis</w:t>
            </w:r>
          </w:p>
        </w:tc>
        <w:tc>
          <w:tcPr>
            <w:tcW w:type="dxa" w:w="4440"/>
            <w:tcBorders>
              <w:top w:val="single" w:color="CCCCCC" w:sz="6"/>
              <w:left w:val="single" w:color="CCCCCC" w:sz="6"/>
              <w:bottom w:val="single" w:color="CCCCCC" w:sz="6"/>
              <w:right w:val="single" w:color="CCCCCC" w:sz="6"/>
            </w:tcBorders>
            <w:tcMar>
              <w:top w:type="dxa" w:w="80"/>
              <w:left w:type="dxa" w:w="120"/>
              <w:bottom w:type="dxa" w:w="80"/>
              <w:right w:type="dxa" w:w="120"/>
            </w:tcMar>
          </w:tcPr>
          <w:p>
            <w:r>
              <w:rPr>
                <w:rFonts w:ascii="Calibri" w:cs="Calibri" w:eastAsia="Calibri" w:hAnsi="Calibri"/>
                <w:color w:val="1A1A1A"/>
                <w:sz w:val="18"/>
                <w:szCs w:val="18"/>
              </w:rPr>
              <w:t xml:space="preserve">Dashboard page showing profit and sales per customer segment.</w:t>
            </w:r>
          </w:p>
        </w:tc>
        <w:tc>
          <w:tcPr>
            <w:tcW w:type="dxa" w:w="2000"/>
            <w:tcBorders>
              <w:top w:val="single" w:color="CCCCCC" w:sz="6"/>
              <w:left w:val="single" w:color="CCCCCC" w:sz="6"/>
              <w:bottom w:val="single" w:color="CCCCCC" w:sz="6"/>
              <w:right w:val="single" w:color="CCCCCC" w:sz="6"/>
            </w:tcBorders>
            <w:tcMar>
              <w:top w:type="dxa" w:w="80"/>
              <w:left w:type="dxa" w:w="120"/>
              <w:bottom w:type="dxa" w:w="80"/>
              <w:right w:type="dxa" w:w="120"/>
            </w:tcMar>
          </w:tcPr>
          <w:p>
            <w:r>
              <w:rPr>
                <w:rFonts w:ascii="Calibri" w:cs="Calibri" w:eastAsia="Calibri" w:hAnsi="Calibri"/>
                <w:color w:val="1A1A1A"/>
                <w:sz w:val="18"/>
                <w:szCs w:val="18"/>
              </w:rPr>
              <w:t xml:space="preserve">Must Have</w:t>
            </w:r>
          </w:p>
        </w:tc>
      </w:tr>
      <w:tr>
        <w:tc>
          <w:tcPr>
            <w:tcW w:type="dxa" w:w="720"/>
            <w:tcBorders>
              <w:top w:val="single" w:color="CCCCCC" w:sz="6"/>
              <w:left w:val="single" w:color="CCCCCC" w:sz="6"/>
              <w:bottom w:val="single" w:color="CCCCCC" w:sz="6"/>
              <w:right w:val="single" w:color="CCCCCC" w:sz="6"/>
            </w:tcBorders>
            <w:tcMar>
              <w:top w:type="dxa" w:w="80"/>
              <w:left w:type="dxa" w:w="120"/>
              <w:bottom w:type="dxa" w:w="80"/>
              <w:right w:type="dxa" w:w="120"/>
            </w:tcMar>
          </w:tcPr>
          <w:p>
            <w:r>
              <w:rPr>
                <w:rFonts w:ascii="Calibri" w:cs="Calibri" w:eastAsia="Calibri" w:hAnsi="Calibri"/>
                <w:color w:val="1A1A1A"/>
                <w:sz w:val="18"/>
                <w:szCs w:val="18"/>
              </w:rPr>
              <w:t xml:space="preserve">FR-05</w:t>
            </w:r>
          </w:p>
        </w:tc>
        <w:tc>
          <w:tcPr>
            <w:tcW w:type="dxa" w:w="2200"/>
            <w:tcBorders>
              <w:top w:val="single" w:color="CCCCCC" w:sz="6"/>
              <w:left w:val="single" w:color="CCCCCC" w:sz="6"/>
              <w:bottom w:val="single" w:color="CCCCCC" w:sz="6"/>
              <w:right w:val="single" w:color="CCCCCC" w:sz="6"/>
            </w:tcBorders>
            <w:tcMar>
              <w:top w:type="dxa" w:w="80"/>
              <w:left w:type="dxa" w:w="120"/>
              <w:bottom w:type="dxa" w:w="80"/>
              <w:right w:type="dxa" w:w="120"/>
            </w:tcMar>
          </w:tcPr>
          <w:p>
            <w:r>
              <w:rPr>
                <w:rFonts w:ascii="Calibri" w:cs="Calibri" w:eastAsia="Calibri" w:hAnsi="Calibri"/>
                <w:color w:val="1A1A1A"/>
                <w:sz w:val="18"/>
                <w:szCs w:val="18"/>
              </w:rPr>
              <w:t xml:space="preserve">Discount Impact</w:t>
            </w:r>
          </w:p>
        </w:tc>
        <w:tc>
          <w:tcPr>
            <w:tcW w:type="dxa" w:w="4440"/>
            <w:tcBorders>
              <w:top w:val="single" w:color="CCCCCC" w:sz="6"/>
              <w:left w:val="single" w:color="CCCCCC" w:sz="6"/>
              <w:bottom w:val="single" w:color="CCCCCC" w:sz="6"/>
              <w:right w:val="single" w:color="CCCCCC" w:sz="6"/>
            </w:tcBorders>
            <w:tcMar>
              <w:top w:type="dxa" w:w="80"/>
              <w:left w:type="dxa" w:w="120"/>
              <w:bottom w:type="dxa" w:w="80"/>
              <w:right w:type="dxa" w:w="120"/>
            </w:tcMar>
          </w:tcPr>
          <w:p>
            <w:r>
              <w:rPr>
                <w:rFonts w:ascii="Calibri" w:cs="Calibri" w:eastAsia="Calibri" w:hAnsi="Calibri"/>
                <w:color w:val="1A1A1A"/>
                <w:sz w:val="18"/>
                <w:szCs w:val="18"/>
              </w:rPr>
              <w:t xml:space="preserve">SQL analysis and visual showing profit erosion by discount bracket.</w:t>
            </w:r>
          </w:p>
        </w:tc>
        <w:tc>
          <w:tcPr>
            <w:tcW w:type="dxa" w:w="2000"/>
            <w:tcBorders>
              <w:top w:val="single" w:color="CCCCCC" w:sz="6"/>
              <w:left w:val="single" w:color="CCCCCC" w:sz="6"/>
              <w:bottom w:val="single" w:color="CCCCCC" w:sz="6"/>
              <w:right w:val="single" w:color="CCCCCC" w:sz="6"/>
            </w:tcBorders>
            <w:tcMar>
              <w:top w:type="dxa" w:w="80"/>
              <w:left w:type="dxa" w:w="120"/>
              <w:bottom w:type="dxa" w:w="80"/>
              <w:right w:type="dxa" w:w="120"/>
            </w:tcMar>
          </w:tcPr>
          <w:p>
            <w:r>
              <w:rPr>
                <w:rFonts w:ascii="Calibri" w:cs="Calibri" w:eastAsia="Calibri" w:hAnsi="Calibri"/>
                <w:color w:val="1A1A1A"/>
                <w:sz w:val="18"/>
                <w:szCs w:val="18"/>
              </w:rPr>
              <w:t xml:space="preserve">Must Have</w:t>
            </w:r>
          </w:p>
        </w:tc>
      </w:tr>
      <w:tr>
        <w:tc>
          <w:tcPr>
            <w:tcW w:type="dxa" w:w="720"/>
            <w:tcBorders>
              <w:top w:val="single" w:color="CCCCCC" w:sz="6"/>
              <w:left w:val="single" w:color="CCCCCC" w:sz="6"/>
              <w:bottom w:val="single" w:color="CCCCCC" w:sz="6"/>
              <w:right w:val="single" w:color="CCCCCC" w:sz="6"/>
            </w:tcBorders>
            <w:tcMar>
              <w:top w:type="dxa" w:w="80"/>
              <w:left w:type="dxa" w:w="120"/>
              <w:bottom w:type="dxa" w:w="80"/>
              <w:right w:type="dxa" w:w="120"/>
            </w:tcMar>
          </w:tcPr>
          <w:p>
            <w:r>
              <w:rPr>
                <w:rFonts w:ascii="Calibri" w:cs="Calibri" w:eastAsia="Calibri" w:hAnsi="Calibri"/>
                <w:color w:val="1A1A1A"/>
                <w:sz w:val="18"/>
                <w:szCs w:val="18"/>
              </w:rPr>
              <w:t xml:space="preserve">FR-06</w:t>
            </w:r>
          </w:p>
        </w:tc>
        <w:tc>
          <w:tcPr>
            <w:tcW w:type="dxa" w:w="2200"/>
            <w:tcBorders>
              <w:top w:val="single" w:color="CCCCCC" w:sz="6"/>
              <w:left w:val="single" w:color="CCCCCC" w:sz="6"/>
              <w:bottom w:val="single" w:color="CCCCCC" w:sz="6"/>
              <w:right w:val="single" w:color="CCCCCC" w:sz="6"/>
            </w:tcBorders>
            <w:tcMar>
              <w:top w:type="dxa" w:w="80"/>
              <w:left w:type="dxa" w:w="120"/>
              <w:bottom w:type="dxa" w:w="80"/>
              <w:right w:type="dxa" w:w="120"/>
            </w:tcMar>
          </w:tcPr>
          <w:p>
            <w:r>
              <w:rPr>
                <w:rFonts w:ascii="Calibri" w:cs="Calibri" w:eastAsia="Calibri" w:hAnsi="Calibri"/>
                <w:color w:val="1A1A1A"/>
                <w:sz w:val="18"/>
                <w:szCs w:val="18"/>
              </w:rPr>
              <w:t xml:space="preserve">Cross-Page Slicers</w:t>
            </w:r>
          </w:p>
        </w:tc>
        <w:tc>
          <w:tcPr>
            <w:tcW w:type="dxa" w:w="4440"/>
            <w:tcBorders>
              <w:top w:val="single" w:color="CCCCCC" w:sz="6"/>
              <w:left w:val="single" w:color="CCCCCC" w:sz="6"/>
              <w:bottom w:val="single" w:color="CCCCCC" w:sz="6"/>
              <w:right w:val="single" w:color="CCCCCC" w:sz="6"/>
            </w:tcBorders>
            <w:tcMar>
              <w:top w:type="dxa" w:w="80"/>
              <w:left w:type="dxa" w:w="120"/>
              <w:bottom w:type="dxa" w:w="80"/>
              <w:right w:type="dxa" w:w="120"/>
            </w:tcMar>
          </w:tcPr>
          <w:p>
            <w:r>
              <w:rPr>
                <w:rFonts w:ascii="Calibri" w:cs="Calibri" w:eastAsia="Calibri" w:hAnsi="Calibri"/>
                <w:color w:val="1A1A1A"/>
                <w:sz w:val="18"/>
                <w:szCs w:val="18"/>
              </w:rPr>
              <w:t xml:space="preserve">Year, Region, and Category slicers must sync across all 3 dashboard pages.</w:t>
            </w:r>
          </w:p>
        </w:tc>
        <w:tc>
          <w:tcPr>
            <w:tcW w:type="dxa" w:w="2000"/>
            <w:tcBorders>
              <w:top w:val="single" w:color="CCCCCC" w:sz="6"/>
              <w:left w:val="single" w:color="CCCCCC" w:sz="6"/>
              <w:bottom w:val="single" w:color="CCCCCC" w:sz="6"/>
              <w:right w:val="single" w:color="CCCCCC" w:sz="6"/>
            </w:tcBorders>
            <w:tcMar>
              <w:top w:type="dxa" w:w="80"/>
              <w:left w:type="dxa" w:w="120"/>
              <w:bottom w:type="dxa" w:w="80"/>
              <w:right w:type="dxa" w:w="120"/>
            </w:tcMar>
          </w:tcPr>
          <w:p>
            <w:r>
              <w:rPr>
                <w:rFonts w:ascii="Calibri" w:cs="Calibri" w:eastAsia="Calibri" w:hAnsi="Calibri"/>
                <w:color w:val="1A1A1A"/>
                <w:sz w:val="18"/>
                <w:szCs w:val="18"/>
              </w:rPr>
              <w:t xml:space="preserve">Should Have</w:t>
            </w:r>
          </w:p>
        </w:tc>
      </w:tr>
      <w:tr>
        <w:tc>
          <w:tcPr>
            <w:tcW w:type="dxa" w:w="720"/>
            <w:tcBorders>
              <w:top w:val="single" w:color="CCCCCC" w:sz="6"/>
              <w:left w:val="single" w:color="CCCCCC" w:sz="6"/>
              <w:bottom w:val="single" w:color="CCCCCC" w:sz="6"/>
              <w:right w:val="single" w:color="CCCCCC" w:sz="6"/>
            </w:tcBorders>
            <w:tcMar>
              <w:top w:type="dxa" w:w="80"/>
              <w:left w:type="dxa" w:w="120"/>
              <w:bottom w:type="dxa" w:w="80"/>
              <w:right w:type="dxa" w:w="120"/>
            </w:tcMar>
          </w:tcPr>
          <w:p>
            <w:r>
              <w:rPr>
                <w:rFonts w:ascii="Calibri" w:cs="Calibri" w:eastAsia="Calibri" w:hAnsi="Calibri"/>
                <w:color w:val="1A1A1A"/>
                <w:sz w:val="18"/>
                <w:szCs w:val="18"/>
              </w:rPr>
              <w:t xml:space="preserve">FR-07</w:t>
            </w:r>
          </w:p>
        </w:tc>
        <w:tc>
          <w:tcPr>
            <w:tcW w:type="dxa" w:w="2200"/>
            <w:tcBorders>
              <w:top w:val="single" w:color="CCCCCC" w:sz="6"/>
              <w:left w:val="single" w:color="CCCCCC" w:sz="6"/>
              <w:bottom w:val="single" w:color="CCCCCC" w:sz="6"/>
              <w:right w:val="single" w:color="CCCCCC" w:sz="6"/>
            </w:tcBorders>
            <w:tcMar>
              <w:top w:type="dxa" w:w="80"/>
              <w:left w:type="dxa" w:w="120"/>
              <w:bottom w:type="dxa" w:w="80"/>
              <w:right w:type="dxa" w:w="120"/>
            </w:tcMar>
          </w:tcPr>
          <w:p>
            <w:r>
              <w:rPr>
                <w:rFonts w:ascii="Calibri" w:cs="Calibri" w:eastAsia="Calibri" w:hAnsi="Calibri"/>
                <w:color w:val="1A1A1A"/>
                <w:sz w:val="18"/>
                <w:szCs w:val="18"/>
              </w:rPr>
              <w:t xml:space="preserve">KPI Cards</w:t>
            </w:r>
          </w:p>
        </w:tc>
        <w:tc>
          <w:tcPr>
            <w:tcW w:type="dxa" w:w="4440"/>
            <w:tcBorders>
              <w:top w:val="single" w:color="CCCCCC" w:sz="6"/>
              <w:left w:val="single" w:color="CCCCCC" w:sz="6"/>
              <w:bottom w:val="single" w:color="CCCCCC" w:sz="6"/>
              <w:right w:val="single" w:color="CCCCCC" w:sz="6"/>
            </w:tcBorders>
            <w:tcMar>
              <w:top w:type="dxa" w:w="80"/>
              <w:left w:type="dxa" w:w="120"/>
              <w:bottom w:type="dxa" w:w="80"/>
              <w:right w:type="dxa" w:w="120"/>
            </w:tcMar>
          </w:tcPr>
          <w:p>
            <w:r>
              <w:rPr>
                <w:rFonts w:ascii="Calibri" w:cs="Calibri" w:eastAsia="Calibri" w:hAnsi="Calibri"/>
                <w:color w:val="1A1A1A"/>
                <w:sz w:val="18"/>
                <w:szCs w:val="18"/>
              </w:rPr>
              <w:t xml:space="preserve">Summary KPI cards for Total Sales, Total Profit, Profit Margin %, and Order Count.</w:t>
            </w:r>
          </w:p>
        </w:tc>
        <w:tc>
          <w:tcPr>
            <w:tcW w:type="dxa" w:w="2000"/>
            <w:tcBorders>
              <w:top w:val="single" w:color="CCCCCC" w:sz="6"/>
              <w:left w:val="single" w:color="CCCCCC" w:sz="6"/>
              <w:bottom w:val="single" w:color="CCCCCC" w:sz="6"/>
              <w:right w:val="single" w:color="CCCCCC" w:sz="6"/>
            </w:tcBorders>
            <w:tcMar>
              <w:top w:type="dxa" w:w="80"/>
              <w:left w:type="dxa" w:w="120"/>
              <w:bottom w:type="dxa" w:w="80"/>
              <w:right w:type="dxa" w:w="120"/>
            </w:tcMar>
          </w:tcPr>
          <w:p>
            <w:r>
              <w:rPr>
                <w:rFonts w:ascii="Calibri" w:cs="Calibri" w:eastAsia="Calibri" w:hAnsi="Calibri"/>
                <w:color w:val="1A1A1A"/>
                <w:sz w:val="18"/>
                <w:szCs w:val="18"/>
              </w:rPr>
              <w:t xml:space="preserve">Should Have</w:t>
            </w:r>
          </w:p>
        </w:tc>
      </w:tr>
    </w:tbl>
    <w:p>
      <w:pPr>
        <w:pBdr>
          <w:bottom w:val="single" w:color="1F5C99" w:sz="10" w:space="4"/>
        </w:pBdr>
        <w:spacing w:after="120" w:before="320"/>
      </w:pPr>
      <w:r>
        <w:rPr>
          <w:rFonts w:ascii="Calibri" w:cs="Calibri" w:eastAsia="Calibri" w:hAnsi="Calibri"/>
          <w:b/>
          <w:bCs/>
          <w:color w:val="1F5C99"/>
          <w:sz w:val="26"/>
          <w:szCs w:val="26"/>
        </w:rPr>
        <w:t xml:space="preserve">9. Key Findings &amp; Business Recommendations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6"/>
              <w:left w:val="single" w:color="CCCCCC" w:sz="6"/>
              <w:bottom w:val="single" w:color="CCCCCC" w:sz="6"/>
              <w:right w:val="single" w:color="CCCCCC" w:sz="6"/>
            </w:tcBorders>
            <w:shd w:fill="1F5C99" w:val="clear"/>
            <w:tcMar>
              <w:top w:type="dxa" w:w="80"/>
              <w:left w:type="dxa" w:w="120"/>
              <w:bottom w:type="dxa" w:w="80"/>
              <w:right w:type="dxa" w:w="120"/>
            </w:tcMar>
          </w:tcPr>
          <w:p>
            <w:r>
              <w:rPr>
                <w:rFonts w:ascii="Calibri" w:cs="Calibri" w:eastAsia="Calibri" w:hAnsi="Calibri"/>
                <w:b/>
                <w:bCs/>
                <w:color w:val="FFFFFF"/>
                <w:sz w:val="18"/>
                <w:szCs w:val="18"/>
              </w:rPr>
              <w:t xml:space="preserve">Finding</w:t>
            </w:r>
          </w:p>
        </w:tc>
        <w:tc>
          <w:tcPr>
            <w:tcW w:type="dxa" w:w="3120"/>
            <w:tcBorders>
              <w:top w:val="single" w:color="CCCCCC" w:sz="6"/>
              <w:left w:val="single" w:color="CCCCCC" w:sz="6"/>
              <w:bottom w:val="single" w:color="CCCCCC" w:sz="6"/>
              <w:right w:val="single" w:color="CCCCCC" w:sz="6"/>
            </w:tcBorders>
            <w:shd w:fill="1F5C99" w:val="clear"/>
            <w:tcMar>
              <w:top w:type="dxa" w:w="80"/>
              <w:left w:type="dxa" w:w="120"/>
              <w:bottom w:type="dxa" w:w="80"/>
              <w:right w:type="dxa" w:w="120"/>
            </w:tcMar>
          </w:tcPr>
          <w:p>
            <w:r>
              <w:rPr>
                <w:rFonts w:ascii="Calibri" w:cs="Calibri" w:eastAsia="Calibri" w:hAnsi="Calibri"/>
                <w:b/>
                <w:bCs/>
                <w:color w:val="FFFFFF"/>
                <w:sz w:val="18"/>
                <w:szCs w:val="18"/>
              </w:rPr>
              <w:t xml:space="preserve">Impact</w:t>
            </w:r>
          </w:p>
        </w:tc>
        <w:tc>
          <w:tcPr>
            <w:tcW w:type="dxa" w:w="3120"/>
            <w:tcBorders>
              <w:top w:val="single" w:color="CCCCCC" w:sz="6"/>
              <w:left w:val="single" w:color="CCCCCC" w:sz="6"/>
              <w:bottom w:val="single" w:color="CCCCCC" w:sz="6"/>
              <w:right w:val="single" w:color="CCCCCC" w:sz="6"/>
            </w:tcBorders>
            <w:shd w:fill="1F5C99" w:val="clear"/>
            <w:tcMar>
              <w:top w:type="dxa" w:w="80"/>
              <w:left w:type="dxa" w:w="120"/>
              <w:bottom w:type="dxa" w:w="80"/>
              <w:right w:type="dxa" w:w="120"/>
            </w:tcMar>
          </w:tcPr>
          <w:p>
            <w:r>
              <w:rPr>
                <w:rFonts w:ascii="Calibri" w:cs="Calibri" w:eastAsia="Calibri" w:hAnsi="Calibri"/>
                <w:b/>
                <w:bCs/>
                <w:color w:val="FFFFFF"/>
                <w:sz w:val="18"/>
                <w:szCs w:val="18"/>
              </w:rPr>
              <w:t xml:space="preserve">Recommendation</w:t>
            </w:r>
          </w:p>
        </w:tc>
      </w:tr>
      <w:tr>
        <w:tc>
          <w:tcPr>
            <w:tcW w:type="dxa" w:w="3120"/>
            <w:tcBorders>
              <w:top w:val="single" w:color="CCCCCC" w:sz="6"/>
              <w:left w:val="single" w:color="CCCCCC" w:sz="6"/>
              <w:bottom w:val="single" w:color="CCCCCC" w:sz="6"/>
              <w:right w:val="single" w:color="CCCCCC" w:sz="6"/>
            </w:tcBorders>
            <w:tcMar>
              <w:top w:type="dxa" w:w="80"/>
              <w:left w:type="dxa" w:w="120"/>
              <w:bottom w:type="dxa" w:w="80"/>
              <w:right w:type="dxa" w:w="120"/>
            </w:tcMar>
          </w:tcPr>
          <w:p>
            <w:r>
              <w:rPr>
                <w:rFonts w:ascii="Calibri" w:cs="Calibri" w:eastAsia="Calibri" w:hAnsi="Calibri"/>
                <w:color w:val="1A1A1A"/>
                <w:sz w:val="18"/>
                <w:szCs w:val="18"/>
              </w:rPr>
              <w:t xml:space="preserve">West region = 32% sales but only 18% profit</w:t>
            </w:r>
          </w:p>
        </w:tc>
        <w:tc>
          <w:tcPr>
            <w:tcW w:type="dxa" w:w="3120"/>
            <w:tcBorders>
              <w:top w:val="single" w:color="CCCCCC" w:sz="6"/>
              <w:left w:val="single" w:color="CCCCCC" w:sz="6"/>
              <w:bottom w:val="single" w:color="CCCCCC" w:sz="6"/>
              <w:right w:val="single" w:color="CCCCCC" w:sz="6"/>
            </w:tcBorders>
            <w:tcMar>
              <w:top w:type="dxa" w:w="80"/>
              <w:left w:type="dxa" w:w="120"/>
              <w:bottom w:type="dxa" w:w="80"/>
              <w:right w:type="dxa" w:w="120"/>
            </w:tcMar>
          </w:tcPr>
          <w:p>
            <w:r>
              <w:rPr>
                <w:rFonts w:ascii="Calibri" w:cs="Calibri" w:eastAsia="Calibri" w:hAnsi="Calibri"/>
                <w:color w:val="1A1A1A"/>
                <w:sz w:val="18"/>
                <w:szCs w:val="18"/>
              </w:rPr>
              <w:t xml:space="preserve">Profit leakage of ~$18K/year</w:t>
            </w:r>
          </w:p>
        </w:tc>
        <w:tc>
          <w:tcPr>
            <w:tcW w:type="dxa" w:w="3120"/>
            <w:tcBorders>
              <w:top w:val="single" w:color="CCCCCC" w:sz="6"/>
              <w:left w:val="single" w:color="CCCCCC" w:sz="6"/>
              <w:bottom w:val="single" w:color="CCCCCC" w:sz="6"/>
              <w:right w:val="single" w:color="CCCCCC" w:sz="6"/>
            </w:tcBorders>
            <w:tcMar>
              <w:top w:type="dxa" w:w="80"/>
              <w:left w:type="dxa" w:w="120"/>
              <w:bottom w:type="dxa" w:w="80"/>
              <w:right w:type="dxa" w:w="120"/>
            </w:tcMar>
          </w:tcPr>
          <w:p>
            <w:r>
              <w:rPr>
                <w:rFonts w:ascii="Calibri" w:cs="Calibri" w:eastAsia="Calibri" w:hAnsi="Calibri"/>
                <w:color w:val="1A1A1A"/>
                <w:sz w:val="18"/>
                <w:szCs w:val="18"/>
              </w:rPr>
              <w:t xml:space="preserve">Cap Technology discounts at 20% in West region</w:t>
            </w:r>
          </w:p>
        </w:tc>
      </w:tr>
      <w:tr>
        <w:tc>
          <w:tcPr>
            <w:tcW w:type="dxa" w:w="3120"/>
            <w:tcBorders>
              <w:top w:val="single" w:color="CCCCCC" w:sz="6"/>
              <w:left w:val="single" w:color="CCCCCC" w:sz="6"/>
              <w:bottom w:val="single" w:color="CCCCCC" w:sz="6"/>
              <w:right w:val="single" w:color="CCCCCC" w:sz="6"/>
            </w:tcBorders>
            <w:tcMar>
              <w:top w:type="dxa" w:w="80"/>
              <w:left w:type="dxa" w:w="120"/>
              <w:bottom w:type="dxa" w:w="80"/>
              <w:right w:type="dxa" w:w="120"/>
            </w:tcMar>
          </w:tcPr>
          <w:p>
            <w:r>
              <w:rPr>
                <w:rFonts w:ascii="Calibri" w:cs="Calibri" w:eastAsia="Calibri" w:hAnsi="Calibri"/>
                <w:color w:val="1A1A1A"/>
                <w:sz w:val="18"/>
                <w:szCs w:val="18"/>
              </w:rPr>
              <w:t xml:space="preserve">Tables &amp; Bookcases are loss-making in Furniture</w:t>
            </w:r>
          </w:p>
        </w:tc>
        <w:tc>
          <w:tcPr>
            <w:tcW w:type="dxa" w:w="3120"/>
            <w:tcBorders>
              <w:top w:val="single" w:color="CCCCCC" w:sz="6"/>
              <w:left w:val="single" w:color="CCCCCC" w:sz="6"/>
              <w:bottom w:val="single" w:color="CCCCCC" w:sz="6"/>
              <w:right w:val="single" w:color="CCCCCC" w:sz="6"/>
            </w:tcBorders>
            <w:tcMar>
              <w:top w:type="dxa" w:w="80"/>
              <w:left w:type="dxa" w:w="120"/>
              <w:bottom w:type="dxa" w:w="80"/>
              <w:right w:type="dxa" w:w="120"/>
            </w:tcMar>
          </w:tcPr>
          <w:p>
            <w:r>
              <w:rPr>
                <w:rFonts w:ascii="Calibri" w:cs="Calibri" w:eastAsia="Calibri" w:hAnsi="Calibri"/>
                <w:color w:val="1A1A1A"/>
                <w:sz w:val="18"/>
                <w:szCs w:val="18"/>
              </w:rPr>
              <w:t xml:space="preserve">Negative margin eroding overall Furniture profitability</w:t>
            </w:r>
          </w:p>
        </w:tc>
        <w:tc>
          <w:tcPr>
            <w:tcW w:type="dxa" w:w="3120"/>
            <w:tcBorders>
              <w:top w:val="single" w:color="CCCCCC" w:sz="6"/>
              <w:left w:val="single" w:color="CCCCCC" w:sz="6"/>
              <w:bottom w:val="single" w:color="CCCCCC" w:sz="6"/>
              <w:right w:val="single" w:color="CCCCCC" w:sz="6"/>
            </w:tcBorders>
            <w:tcMar>
              <w:top w:type="dxa" w:w="80"/>
              <w:left w:type="dxa" w:w="120"/>
              <w:bottom w:type="dxa" w:w="80"/>
              <w:right w:type="dxa" w:w="120"/>
            </w:tcMar>
          </w:tcPr>
          <w:p>
            <w:r>
              <w:rPr>
                <w:rFonts w:ascii="Calibri" w:cs="Calibri" w:eastAsia="Calibri" w:hAnsi="Calibri"/>
                <w:color w:val="1A1A1A"/>
                <w:sz w:val="18"/>
                <w:szCs w:val="18"/>
              </w:rPr>
              <w:t xml:space="preserve">Review pricing and discount policy for these sub-categories</w:t>
            </w:r>
          </w:p>
        </w:tc>
      </w:tr>
      <w:tr>
        <w:tc>
          <w:tcPr>
            <w:tcW w:type="dxa" w:w="3120"/>
            <w:tcBorders>
              <w:top w:val="single" w:color="CCCCCC" w:sz="6"/>
              <w:left w:val="single" w:color="CCCCCC" w:sz="6"/>
              <w:bottom w:val="single" w:color="CCCCCC" w:sz="6"/>
              <w:right w:val="single" w:color="CCCCCC" w:sz="6"/>
            </w:tcBorders>
            <w:tcMar>
              <w:top w:type="dxa" w:w="80"/>
              <w:left w:type="dxa" w:w="120"/>
              <w:bottom w:type="dxa" w:w="80"/>
              <w:right w:type="dxa" w:w="120"/>
            </w:tcMar>
          </w:tcPr>
          <w:p>
            <w:r>
              <w:rPr>
                <w:rFonts w:ascii="Calibri" w:cs="Calibri" w:eastAsia="Calibri" w:hAnsi="Calibri"/>
                <w:color w:val="1A1A1A"/>
                <w:sz w:val="18"/>
                <w:szCs w:val="18"/>
              </w:rPr>
              <w:t xml:space="preserve">Home Office segment has highest profit margin %</w:t>
            </w:r>
          </w:p>
        </w:tc>
        <w:tc>
          <w:tcPr>
            <w:tcW w:type="dxa" w:w="3120"/>
            <w:tcBorders>
              <w:top w:val="single" w:color="CCCCCC" w:sz="6"/>
              <w:left w:val="single" w:color="CCCCCC" w:sz="6"/>
              <w:bottom w:val="single" w:color="CCCCCC" w:sz="6"/>
              <w:right w:val="single" w:color="CCCCCC" w:sz="6"/>
            </w:tcBorders>
            <w:tcMar>
              <w:top w:type="dxa" w:w="80"/>
              <w:left w:type="dxa" w:w="120"/>
              <w:bottom w:type="dxa" w:w="80"/>
              <w:right w:type="dxa" w:w="120"/>
            </w:tcMar>
          </w:tcPr>
          <w:p>
            <w:r>
              <w:rPr>
                <w:rFonts w:ascii="Calibri" w:cs="Calibri" w:eastAsia="Calibri" w:hAnsi="Calibri"/>
                <w:color w:val="1A1A1A"/>
                <w:sz w:val="18"/>
                <w:szCs w:val="18"/>
              </w:rPr>
              <w:t xml:space="preserve">Underinvested relative to Consumer/Corporate</w:t>
            </w:r>
          </w:p>
        </w:tc>
        <w:tc>
          <w:tcPr>
            <w:tcW w:type="dxa" w:w="3120"/>
            <w:tcBorders>
              <w:top w:val="single" w:color="CCCCCC" w:sz="6"/>
              <w:left w:val="single" w:color="CCCCCC" w:sz="6"/>
              <w:bottom w:val="single" w:color="CCCCCC" w:sz="6"/>
              <w:right w:val="single" w:color="CCCCCC" w:sz="6"/>
            </w:tcBorders>
            <w:tcMar>
              <w:top w:type="dxa" w:w="80"/>
              <w:left w:type="dxa" w:w="120"/>
              <w:bottom w:type="dxa" w:w="80"/>
              <w:right w:type="dxa" w:w="120"/>
            </w:tcMar>
          </w:tcPr>
          <w:p>
            <w:r>
              <w:rPr>
                <w:rFonts w:ascii="Calibri" w:cs="Calibri" w:eastAsia="Calibri" w:hAnsi="Calibri"/>
                <w:color w:val="1A1A1A"/>
                <w:sz w:val="18"/>
                <w:szCs w:val="18"/>
              </w:rPr>
              <w:t xml:space="preserve">Increase targeted marketing spend on Home Office segment</w:t>
            </w:r>
          </w:p>
        </w:tc>
      </w:tr>
      <w:tr>
        <w:tc>
          <w:tcPr>
            <w:tcW w:type="dxa" w:w="3120"/>
            <w:tcBorders>
              <w:top w:val="single" w:color="CCCCCC" w:sz="6"/>
              <w:left w:val="single" w:color="CCCCCC" w:sz="6"/>
              <w:bottom w:val="single" w:color="CCCCCC" w:sz="6"/>
              <w:right w:val="single" w:color="CCCCCC" w:sz="6"/>
            </w:tcBorders>
            <w:tcMar>
              <w:top w:type="dxa" w:w="80"/>
              <w:left w:type="dxa" w:w="120"/>
              <w:bottom w:type="dxa" w:w="80"/>
              <w:right w:type="dxa" w:w="120"/>
            </w:tcMar>
          </w:tcPr>
          <w:p>
            <w:r>
              <w:rPr>
                <w:rFonts w:ascii="Calibri" w:cs="Calibri" w:eastAsia="Calibri" w:hAnsi="Calibri"/>
                <w:color w:val="1A1A1A"/>
                <w:sz w:val="18"/>
                <w:szCs w:val="18"/>
              </w:rPr>
              <w:t xml:space="preserve">Q4 drives highest sales volume consistently</w:t>
            </w:r>
          </w:p>
        </w:tc>
        <w:tc>
          <w:tcPr>
            <w:tcW w:type="dxa" w:w="3120"/>
            <w:tcBorders>
              <w:top w:val="single" w:color="CCCCCC" w:sz="6"/>
              <w:left w:val="single" w:color="CCCCCC" w:sz="6"/>
              <w:bottom w:val="single" w:color="CCCCCC" w:sz="6"/>
              <w:right w:val="single" w:color="CCCCCC" w:sz="6"/>
            </w:tcBorders>
            <w:tcMar>
              <w:top w:type="dxa" w:w="80"/>
              <w:left w:type="dxa" w:w="120"/>
              <w:bottom w:type="dxa" w:w="80"/>
              <w:right w:type="dxa" w:w="120"/>
            </w:tcMar>
          </w:tcPr>
          <w:p>
            <w:r>
              <w:rPr>
                <w:rFonts w:ascii="Calibri" w:cs="Calibri" w:eastAsia="Calibri" w:hAnsi="Calibri"/>
                <w:color w:val="1A1A1A"/>
                <w:sz w:val="18"/>
                <w:szCs w:val="18"/>
              </w:rPr>
              <w:t xml:space="preserve">Q1 &amp; Q2 are significantly slower</w:t>
            </w:r>
          </w:p>
        </w:tc>
        <w:tc>
          <w:tcPr>
            <w:tcW w:type="dxa" w:w="3120"/>
            <w:tcBorders>
              <w:top w:val="single" w:color="CCCCCC" w:sz="6"/>
              <w:left w:val="single" w:color="CCCCCC" w:sz="6"/>
              <w:bottom w:val="single" w:color="CCCCCC" w:sz="6"/>
              <w:right w:val="single" w:color="CCCCCC" w:sz="6"/>
            </w:tcBorders>
            <w:tcMar>
              <w:top w:type="dxa" w:w="80"/>
              <w:left w:type="dxa" w:w="120"/>
              <w:bottom w:type="dxa" w:w="80"/>
              <w:right w:type="dxa" w:w="120"/>
            </w:tcMar>
          </w:tcPr>
          <w:p>
            <w:r>
              <w:rPr>
                <w:rFonts w:ascii="Calibri" w:cs="Calibri" w:eastAsia="Calibri" w:hAnsi="Calibri"/>
                <w:color w:val="1A1A1A"/>
                <w:sz w:val="18"/>
                <w:szCs w:val="18"/>
              </w:rPr>
              <w:t xml:space="preserve">Plan promotional campaigns to smooth Q1/Q2 revenue</w:t>
            </w:r>
          </w:p>
        </w:tc>
      </w:tr>
    </w:tbl>
    <w:p>
      <w:pPr>
        <w:pBdr>
          <w:bottom w:val="single" w:color="1F5C99" w:sz="10" w:space="4"/>
        </w:pBdr>
        <w:spacing w:after="120" w:before="320"/>
      </w:pPr>
      <w:r>
        <w:rPr>
          <w:rFonts w:ascii="Calibri" w:cs="Calibri" w:eastAsia="Calibri" w:hAnsi="Calibri"/>
          <w:b/>
          <w:bCs/>
          <w:color w:val="1F5C99"/>
          <w:sz w:val="26"/>
          <w:szCs w:val="26"/>
        </w:rPr>
        <w:t xml:space="preserve">10. Stakeholder Sign-Off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6"/>
              <w:left w:val="single" w:color="CCCCCC" w:sz="6"/>
              <w:bottom w:val="single" w:color="CCCCCC" w:sz="6"/>
              <w:right w:val="single" w:color="CCCCCC" w:sz="6"/>
            </w:tcBorders>
            <w:shd w:fill="1F5C99" w:val="clear"/>
            <w:tcMar>
              <w:top w:type="dxa" w:w="80"/>
              <w:left w:type="dxa" w:w="120"/>
              <w:bottom w:type="dxa" w:w="80"/>
              <w:right w:type="dxa" w:w="120"/>
            </w:tcMar>
          </w:tcPr>
          <w:p>
            <w:r>
              <w:rPr>
                <w:rFonts w:ascii="Calibri" w:cs="Calibri" w:eastAsia="Calibri" w:hAnsi="Calibri"/>
                <w:b/>
                <w:bCs/>
                <w:color w:val="FFFFFF"/>
                <w:sz w:val="18"/>
                <w:szCs w:val="18"/>
              </w:rPr>
              <w:t xml:space="preserve">Stakeholder</w:t>
            </w:r>
          </w:p>
        </w:tc>
        <w:tc>
          <w:tcPr>
            <w:tcW w:type="dxa" w:w="2340"/>
            <w:tcBorders>
              <w:top w:val="single" w:color="CCCCCC" w:sz="6"/>
              <w:left w:val="single" w:color="CCCCCC" w:sz="6"/>
              <w:bottom w:val="single" w:color="CCCCCC" w:sz="6"/>
              <w:right w:val="single" w:color="CCCCCC" w:sz="6"/>
            </w:tcBorders>
            <w:shd w:fill="1F5C99" w:val="clear"/>
            <w:tcMar>
              <w:top w:type="dxa" w:w="80"/>
              <w:left w:type="dxa" w:w="120"/>
              <w:bottom w:type="dxa" w:w="80"/>
              <w:right w:type="dxa" w:w="120"/>
            </w:tcMar>
          </w:tcPr>
          <w:p>
            <w:r>
              <w:rPr>
                <w:rFonts w:ascii="Calibri" w:cs="Calibri" w:eastAsia="Calibri" w:hAnsi="Calibri"/>
                <w:b/>
                <w:bCs/>
                <w:color w:val="FFFFFF"/>
                <w:sz w:val="18"/>
                <w:szCs w:val="18"/>
              </w:rPr>
              <w:t xml:space="preserve">Role</w:t>
            </w:r>
          </w:p>
        </w:tc>
        <w:tc>
          <w:tcPr>
            <w:tcW w:type="dxa" w:w="2340"/>
            <w:tcBorders>
              <w:top w:val="single" w:color="CCCCCC" w:sz="6"/>
              <w:left w:val="single" w:color="CCCCCC" w:sz="6"/>
              <w:bottom w:val="single" w:color="CCCCCC" w:sz="6"/>
              <w:right w:val="single" w:color="CCCCCC" w:sz="6"/>
            </w:tcBorders>
            <w:shd w:fill="1F5C99" w:val="clear"/>
            <w:tcMar>
              <w:top w:type="dxa" w:w="80"/>
              <w:left w:type="dxa" w:w="120"/>
              <w:bottom w:type="dxa" w:w="80"/>
              <w:right w:type="dxa" w:w="120"/>
            </w:tcMar>
          </w:tcPr>
          <w:p>
            <w:r>
              <w:rPr>
                <w:rFonts w:ascii="Calibri" w:cs="Calibri" w:eastAsia="Calibri" w:hAnsi="Calibri"/>
                <w:b/>
                <w:bCs/>
                <w:color w:val="FFFFFF"/>
                <w:sz w:val="18"/>
                <w:szCs w:val="18"/>
              </w:rPr>
              <w:t xml:space="preserve">Signature</w:t>
            </w:r>
          </w:p>
        </w:tc>
        <w:tc>
          <w:tcPr>
            <w:tcW w:type="dxa" w:w="2340"/>
            <w:tcBorders>
              <w:top w:val="single" w:color="CCCCCC" w:sz="6"/>
              <w:left w:val="single" w:color="CCCCCC" w:sz="6"/>
              <w:bottom w:val="single" w:color="CCCCCC" w:sz="6"/>
              <w:right w:val="single" w:color="CCCCCC" w:sz="6"/>
            </w:tcBorders>
            <w:shd w:fill="1F5C99" w:val="clear"/>
            <w:tcMar>
              <w:top w:type="dxa" w:w="80"/>
              <w:left w:type="dxa" w:w="120"/>
              <w:bottom w:type="dxa" w:w="80"/>
              <w:right w:type="dxa" w:w="120"/>
            </w:tcMar>
          </w:tcPr>
          <w:p>
            <w:r>
              <w:rPr>
                <w:rFonts w:ascii="Calibri" w:cs="Calibri" w:eastAsia="Calibri" w:hAnsi="Calibri"/>
                <w:b/>
                <w:bCs/>
                <w:color w:val="FFFFFF"/>
                <w:sz w:val="18"/>
                <w:szCs w:val="18"/>
              </w:rPr>
              <w:t xml:space="preserve">Date</w:t>
            </w:r>
          </w:p>
        </w:tc>
      </w:tr>
      <w:tr>
        <w:tc>
          <w:tcPr>
            <w:tcW w:type="dxa" w:w="2340"/>
            <w:tcBorders>
              <w:top w:val="single" w:color="CCCCCC" w:sz="6"/>
              <w:left w:val="single" w:color="CCCCCC" w:sz="6"/>
              <w:bottom w:val="single" w:color="CCCCCC" w:sz="6"/>
              <w:right w:val="single" w:color="CCCCCC" w:sz="6"/>
            </w:tcBorders>
            <w:tcMar>
              <w:top w:type="dxa" w:w="80"/>
              <w:left w:type="dxa" w:w="120"/>
              <w:bottom w:type="dxa" w:w="80"/>
              <w:right w:type="dxa" w:w="120"/>
            </w:tcMar>
          </w:tcPr>
          <w:p>
            <w:r>
              <w:rPr>
                <w:rFonts w:ascii="Calibri" w:cs="Calibri" w:eastAsia="Calibri" w:hAnsi="Calibri"/>
                <w:color w:val="1A1A1A"/>
                <w:sz w:val="18"/>
                <w:szCs w:val="18"/>
              </w:rPr>
              <w:t xml:space="preserve"/>
            </w:r>
          </w:p>
        </w:tc>
        <w:tc>
          <w:tcPr>
            <w:tcW w:type="dxa" w:w="2340"/>
            <w:tcBorders>
              <w:top w:val="single" w:color="CCCCCC" w:sz="6"/>
              <w:left w:val="single" w:color="CCCCCC" w:sz="6"/>
              <w:bottom w:val="single" w:color="CCCCCC" w:sz="6"/>
              <w:right w:val="single" w:color="CCCCCC" w:sz="6"/>
            </w:tcBorders>
            <w:tcMar>
              <w:top w:type="dxa" w:w="80"/>
              <w:left w:type="dxa" w:w="120"/>
              <w:bottom w:type="dxa" w:w="80"/>
              <w:right w:type="dxa" w:w="120"/>
            </w:tcMar>
          </w:tcPr>
          <w:p>
            <w:r>
              <w:rPr>
                <w:rFonts w:ascii="Calibri" w:cs="Calibri" w:eastAsia="Calibri" w:hAnsi="Calibri"/>
                <w:color w:val="1A1A1A"/>
                <w:sz w:val="18"/>
                <w:szCs w:val="18"/>
              </w:rPr>
              <w:t xml:space="preserve">Sales Manager</w:t>
            </w:r>
          </w:p>
        </w:tc>
        <w:tc>
          <w:tcPr>
            <w:tcW w:type="dxa" w:w="2340"/>
            <w:tcBorders>
              <w:top w:val="single" w:color="CCCCCC" w:sz="6"/>
              <w:left w:val="single" w:color="CCCCCC" w:sz="6"/>
              <w:bottom w:val="single" w:color="CCCCCC" w:sz="6"/>
              <w:right w:val="single" w:color="CCCCCC" w:sz="6"/>
            </w:tcBorders>
            <w:tcMar>
              <w:top w:type="dxa" w:w="80"/>
              <w:left w:type="dxa" w:w="120"/>
              <w:bottom w:type="dxa" w:w="80"/>
              <w:right w:type="dxa" w:w="120"/>
            </w:tcMar>
          </w:tcPr>
          <w:p>
            <w:r>
              <w:rPr>
                <w:rFonts w:ascii="Calibri" w:cs="Calibri" w:eastAsia="Calibri" w:hAnsi="Calibri"/>
                <w:color w:val="1A1A1A"/>
                <w:sz w:val="18"/>
                <w:szCs w:val="18"/>
              </w:rPr>
              <w:t xml:space="preserve"/>
            </w:r>
          </w:p>
        </w:tc>
        <w:tc>
          <w:tcPr>
            <w:tcW w:type="dxa" w:w="2340"/>
            <w:tcBorders>
              <w:top w:val="single" w:color="CCCCCC" w:sz="6"/>
              <w:left w:val="single" w:color="CCCCCC" w:sz="6"/>
              <w:bottom w:val="single" w:color="CCCCCC" w:sz="6"/>
              <w:right w:val="single" w:color="CCCCCC" w:sz="6"/>
            </w:tcBorders>
            <w:tcMar>
              <w:top w:type="dxa" w:w="80"/>
              <w:left w:type="dxa" w:w="120"/>
              <w:bottom w:type="dxa" w:w="80"/>
              <w:right w:type="dxa" w:w="120"/>
            </w:tcMar>
          </w:tcPr>
          <w:p>
            <w:r>
              <w:rPr>
                <w:rFonts w:ascii="Calibri" w:cs="Calibri" w:eastAsia="Calibri" w:hAnsi="Calibri"/>
                <w:color w:val="1A1A1A"/>
                <w:sz w:val="18"/>
                <w:szCs w:val="18"/>
              </w:rPr>
              <w:t xml:space="preserve"/>
            </w:r>
          </w:p>
        </w:tc>
      </w:tr>
      <w:tr>
        <w:tc>
          <w:tcPr>
            <w:tcW w:type="dxa" w:w="2340"/>
            <w:tcBorders>
              <w:top w:val="single" w:color="CCCCCC" w:sz="6"/>
              <w:left w:val="single" w:color="CCCCCC" w:sz="6"/>
              <w:bottom w:val="single" w:color="CCCCCC" w:sz="6"/>
              <w:right w:val="single" w:color="CCCCCC" w:sz="6"/>
            </w:tcBorders>
            <w:tcMar>
              <w:top w:type="dxa" w:w="80"/>
              <w:left w:type="dxa" w:w="120"/>
              <w:bottom w:type="dxa" w:w="80"/>
              <w:right w:type="dxa" w:w="120"/>
            </w:tcMar>
          </w:tcPr>
          <w:p>
            <w:r>
              <w:rPr>
                <w:rFonts w:ascii="Calibri" w:cs="Calibri" w:eastAsia="Calibri" w:hAnsi="Calibri"/>
                <w:color w:val="1A1A1A"/>
                <w:sz w:val="18"/>
                <w:szCs w:val="18"/>
              </w:rPr>
              <w:t xml:space="preserve"/>
            </w:r>
          </w:p>
        </w:tc>
        <w:tc>
          <w:tcPr>
            <w:tcW w:type="dxa" w:w="2340"/>
            <w:tcBorders>
              <w:top w:val="single" w:color="CCCCCC" w:sz="6"/>
              <w:left w:val="single" w:color="CCCCCC" w:sz="6"/>
              <w:bottom w:val="single" w:color="CCCCCC" w:sz="6"/>
              <w:right w:val="single" w:color="CCCCCC" w:sz="6"/>
            </w:tcBorders>
            <w:tcMar>
              <w:top w:type="dxa" w:w="80"/>
              <w:left w:type="dxa" w:w="120"/>
              <w:bottom w:type="dxa" w:w="80"/>
              <w:right w:type="dxa" w:w="120"/>
            </w:tcMar>
          </w:tcPr>
          <w:p>
            <w:r>
              <w:rPr>
                <w:rFonts w:ascii="Calibri" w:cs="Calibri" w:eastAsia="Calibri" w:hAnsi="Calibri"/>
                <w:color w:val="1A1A1A"/>
                <w:sz w:val="18"/>
                <w:szCs w:val="18"/>
              </w:rPr>
              <w:t xml:space="preserve">Marketing Head</w:t>
            </w:r>
          </w:p>
        </w:tc>
        <w:tc>
          <w:tcPr>
            <w:tcW w:type="dxa" w:w="2340"/>
            <w:tcBorders>
              <w:top w:val="single" w:color="CCCCCC" w:sz="6"/>
              <w:left w:val="single" w:color="CCCCCC" w:sz="6"/>
              <w:bottom w:val="single" w:color="CCCCCC" w:sz="6"/>
              <w:right w:val="single" w:color="CCCCCC" w:sz="6"/>
            </w:tcBorders>
            <w:tcMar>
              <w:top w:type="dxa" w:w="80"/>
              <w:left w:type="dxa" w:w="120"/>
              <w:bottom w:type="dxa" w:w="80"/>
              <w:right w:type="dxa" w:w="120"/>
            </w:tcMar>
          </w:tcPr>
          <w:p>
            <w:r>
              <w:rPr>
                <w:rFonts w:ascii="Calibri" w:cs="Calibri" w:eastAsia="Calibri" w:hAnsi="Calibri"/>
                <w:color w:val="1A1A1A"/>
                <w:sz w:val="18"/>
                <w:szCs w:val="18"/>
              </w:rPr>
              <w:t xml:space="preserve"/>
            </w:r>
          </w:p>
        </w:tc>
        <w:tc>
          <w:tcPr>
            <w:tcW w:type="dxa" w:w="2340"/>
            <w:tcBorders>
              <w:top w:val="single" w:color="CCCCCC" w:sz="6"/>
              <w:left w:val="single" w:color="CCCCCC" w:sz="6"/>
              <w:bottom w:val="single" w:color="CCCCCC" w:sz="6"/>
              <w:right w:val="single" w:color="CCCCCC" w:sz="6"/>
            </w:tcBorders>
            <w:tcMar>
              <w:top w:type="dxa" w:w="80"/>
              <w:left w:type="dxa" w:w="120"/>
              <w:bottom w:type="dxa" w:w="80"/>
              <w:right w:type="dxa" w:w="120"/>
            </w:tcMar>
          </w:tcPr>
          <w:p>
            <w:r>
              <w:rPr>
                <w:rFonts w:ascii="Calibri" w:cs="Calibri" w:eastAsia="Calibri" w:hAnsi="Calibri"/>
                <w:color w:val="1A1A1A"/>
                <w:sz w:val="18"/>
                <w:szCs w:val="18"/>
              </w:rPr>
              <w:t xml:space="preserve"/>
            </w:r>
          </w:p>
        </w:tc>
      </w:tr>
      <w:tr>
        <w:tc>
          <w:tcPr>
            <w:tcW w:type="dxa" w:w="2340"/>
            <w:tcBorders>
              <w:top w:val="single" w:color="CCCCCC" w:sz="6"/>
              <w:left w:val="single" w:color="CCCCCC" w:sz="6"/>
              <w:bottom w:val="single" w:color="CCCCCC" w:sz="6"/>
              <w:right w:val="single" w:color="CCCCCC" w:sz="6"/>
            </w:tcBorders>
            <w:tcMar>
              <w:top w:type="dxa" w:w="80"/>
              <w:left w:type="dxa" w:w="120"/>
              <w:bottom w:type="dxa" w:w="80"/>
              <w:right w:type="dxa" w:w="120"/>
            </w:tcMar>
          </w:tcPr>
          <w:p>
            <w:r>
              <w:rPr>
                <w:rFonts w:ascii="Calibri" w:cs="Calibri" w:eastAsia="Calibri" w:hAnsi="Calibri"/>
                <w:color w:val="1A1A1A"/>
                <w:sz w:val="18"/>
                <w:szCs w:val="18"/>
              </w:rPr>
              <w:t xml:space="preserve"/>
            </w:r>
          </w:p>
        </w:tc>
        <w:tc>
          <w:tcPr>
            <w:tcW w:type="dxa" w:w="2340"/>
            <w:tcBorders>
              <w:top w:val="single" w:color="CCCCCC" w:sz="6"/>
              <w:left w:val="single" w:color="CCCCCC" w:sz="6"/>
              <w:bottom w:val="single" w:color="CCCCCC" w:sz="6"/>
              <w:right w:val="single" w:color="CCCCCC" w:sz="6"/>
            </w:tcBorders>
            <w:tcMar>
              <w:top w:type="dxa" w:w="80"/>
              <w:left w:type="dxa" w:w="120"/>
              <w:bottom w:type="dxa" w:w="80"/>
              <w:right w:type="dxa" w:w="120"/>
            </w:tcMar>
          </w:tcPr>
          <w:p>
            <w:r>
              <w:rPr>
                <w:rFonts w:ascii="Calibri" w:cs="Calibri" w:eastAsia="Calibri" w:hAnsi="Calibri"/>
                <w:color w:val="1A1A1A"/>
                <w:sz w:val="18"/>
                <w:szCs w:val="18"/>
              </w:rPr>
              <w:t xml:space="preserve">Finance</w:t>
            </w:r>
          </w:p>
        </w:tc>
        <w:tc>
          <w:tcPr>
            <w:tcW w:type="dxa" w:w="2340"/>
            <w:tcBorders>
              <w:top w:val="single" w:color="CCCCCC" w:sz="6"/>
              <w:left w:val="single" w:color="CCCCCC" w:sz="6"/>
              <w:bottom w:val="single" w:color="CCCCCC" w:sz="6"/>
              <w:right w:val="single" w:color="CCCCCC" w:sz="6"/>
            </w:tcBorders>
            <w:tcMar>
              <w:top w:type="dxa" w:w="80"/>
              <w:left w:type="dxa" w:w="120"/>
              <w:bottom w:type="dxa" w:w="80"/>
              <w:right w:type="dxa" w:w="120"/>
            </w:tcMar>
          </w:tcPr>
          <w:p>
            <w:r>
              <w:rPr>
                <w:rFonts w:ascii="Calibri" w:cs="Calibri" w:eastAsia="Calibri" w:hAnsi="Calibri"/>
                <w:color w:val="1A1A1A"/>
                <w:sz w:val="18"/>
                <w:szCs w:val="18"/>
              </w:rPr>
              <w:t xml:space="preserve"/>
            </w:r>
          </w:p>
        </w:tc>
        <w:tc>
          <w:tcPr>
            <w:tcW w:type="dxa" w:w="2340"/>
            <w:tcBorders>
              <w:top w:val="single" w:color="CCCCCC" w:sz="6"/>
              <w:left w:val="single" w:color="CCCCCC" w:sz="6"/>
              <w:bottom w:val="single" w:color="CCCCCC" w:sz="6"/>
              <w:right w:val="single" w:color="CCCCCC" w:sz="6"/>
            </w:tcBorders>
            <w:tcMar>
              <w:top w:type="dxa" w:w="80"/>
              <w:left w:type="dxa" w:w="120"/>
              <w:bottom w:type="dxa" w:w="80"/>
              <w:right w:type="dxa" w:w="120"/>
            </w:tcMar>
          </w:tcPr>
          <w:p>
            <w:r>
              <w:rPr>
                <w:rFonts w:ascii="Calibri" w:cs="Calibri" w:eastAsia="Calibri" w:hAnsi="Calibri"/>
                <w:color w:val="1A1A1A"/>
                <w:sz w:val="18"/>
                <w:szCs w:val="18"/>
              </w:rPr>
              <w:t xml:space="preserve"/>
            </w:r>
          </w:p>
        </w:tc>
      </w:tr>
    </w:tbl>
    <w:p>
      <w:pPr>
        <w:spacing w:before="200"/>
      </w:pPr>
      <w:r>
        <w:rPr>
          <w:sz w:val="20"/>
          <w:szCs w:val="20"/>
        </w:rPr>
        <w:t xml:space="preserve"/>
      </w:r>
    </w:p>
    <w:p>
      <w:pPr>
        <w:spacing w:after="60" w:before="60"/>
      </w:pPr>
      <w:r>
        <w:rPr>
          <w:rFonts w:ascii="Calibri" w:cs="Calibri" w:eastAsia="Calibri" w:hAnsi="Calibri"/>
          <w:i/>
          <w:iCs/>
          <w:color w:val="555555"/>
          <w:sz w:val="20"/>
          <w:szCs w:val="20"/>
        </w:rPr>
        <w:t xml:space="preserve">Prepared by Anurag Das  |  Business Analyst  |  dasanurag97@gmail.com</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2026-05-30T13:53:33.975Z</dcterms:created>
  <dcterms:modified xsi:type="dcterms:W3CDTF">2026-05-30T13:53:33.992Z</dcterms:modified>
</cp:coreProperties>
</file>

<file path=docProps/custom.xml><?xml version="1.0" encoding="utf-8"?>
<Properties xmlns="http://schemas.openxmlformats.org/officeDocument/2006/custom-properties" xmlns:vt="http://schemas.openxmlformats.org/officeDocument/2006/docPropsVTypes"/>
</file>