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0"/>
      </w:pPr>
      <w:r>
        <w:rPr>
          <w:b/>
          <w:bCs/>
          <w:color w:val="000000"/>
          <w:sz w:val="46"/>
          <w:szCs w:val="46"/>
        </w:rPr>
        <w:t xml:space="preserve">Software Requirements Specification (SRS)</w:t>
      </w:r>
    </w:p>
    <w:p>
      <w:pPr>
        <w:pBdr>
          <w:bottom w:val="single" w:color="000000" w:sz="12" w:space="8"/>
        </w:pBdr>
        <w:spacing w:after="200"/>
      </w:pPr>
      <w:r>
        <w:rPr>
          <w:color w:val="000000"/>
          <w:sz w:val="30"/>
          <w:szCs w:val="30"/>
        </w:rPr>
        <w:t xml:space="preserve">Cloud-Based IoT Health Monitoring System</w:t>
      </w:r>
    </w:p>
    <w:p>
      <w:pPr>
        <w:pStyle w:val="Heading1"/>
      </w:pPr>
      <w:r>
        <w:t xml:space="preserve">1. Document control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7338"/>
      </w:tblGrid>
      <w:tr>
        <w:trPr>
          <w:cantSplit/>
        </w:trPr>
        <w:tc>
          <w:tcPr>
            <w:tcW w:type="dxa" w:w="2300"/>
            <w:tcBorders>
              <w:top w:val="single" w:color="808080" w:sz="4"/>
              <w:left w:val="single" w:color="808080" w:sz="4"/>
              <w:bottom w:val="single" w:color="808080" w:sz="4"/>
              <w:right w:val="single" w:color="808080" w:sz="4"/>
            </w:tcBorders>
            <w:shd w:fill="EBEBEB" w:color="auto" w:val="clear"/>
            <w:tcMar>
              <w:top w:type="dxa" w:w="70"/>
              <w:left w:type="dxa" w:w="110"/>
              <w:bottom w:type="dxa" w:w="70"/>
              <w:right w:type="dxa" w:w="110"/>
            </w:tcMar>
            <w:vAlign w:val="center"/>
          </w:tcPr>
          <w:p>
            <w:pPr>
              <w:spacing w:after="0" w:line="259"/>
              <w:jc w:val="left"/>
            </w:pPr>
            <w:r>
              <w:rPr>
                <w:b/>
                <w:bCs/>
                <w:sz w:val="20"/>
                <w:szCs w:val="20"/>
              </w:rPr>
              <w:t xml:space="preserve">System</w:t>
            </w:r>
          </w:p>
        </w:tc>
        <w:tc>
          <w:tcPr>
            <w:tcW w:type="dxa" w:w="73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Cloud-Based IoT Health Monitoring System</w:t>
            </w:r>
          </w:p>
        </w:tc>
      </w:tr>
      <w:tr>
        <w:trPr>
          <w:cantSplit/>
        </w:trPr>
        <w:tc>
          <w:tcPr>
            <w:tcW w:type="dxa" w:w="2300"/>
            <w:tcBorders>
              <w:top w:val="single" w:color="808080" w:sz="4"/>
              <w:left w:val="single" w:color="808080" w:sz="4"/>
              <w:bottom w:val="single" w:color="808080" w:sz="4"/>
              <w:right w:val="single" w:color="808080" w:sz="4"/>
            </w:tcBorders>
            <w:shd w:fill="EBEBEB" w:color="auto" w:val="clear"/>
            <w:tcMar>
              <w:top w:type="dxa" w:w="70"/>
              <w:left w:type="dxa" w:w="110"/>
              <w:bottom w:type="dxa" w:w="70"/>
              <w:right w:type="dxa" w:w="110"/>
            </w:tcMar>
            <w:vAlign w:val="center"/>
          </w:tcPr>
          <w:p>
            <w:pPr>
              <w:spacing w:after="0" w:line="259"/>
              <w:jc w:val="left"/>
            </w:pPr>
            <w:r>
              <w:rPr>
                <w:b/>
                <w:bCs/>
                <w:sz w:val="20"/>
                <w:szCs w:val="20"/>
              </w:rPr>
              <w:t xml:space="preserve">Refined direction</w:t>
            </w:r>
          </w:p>
        </w:tc>
        <w:tc>
          <w:tcPr>
            <w:tcW w:type="dxa" w:w="73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Secure, Offline-Resilient, Noise-Aware and Explainable Edge–Cloud Anomaly Detection Framework</w:t>
            </w:r>
          </w:p>
        </w:tc>
      </w:tr>
      <w:tr>
        <w:trPr>
          <w:cantSplit/>
        </w:trPr>
        <w:tc>
          <w:tcPr>
            <w:tcW w:type="dxa" w:w="2300"/>
            <w:tcBorders>
              <w:top w:val="single" w:color="808080" w:sz="4"/>
              <w:left w:val="single" w:color="808080" w:sz="4"/>
              <w:bottom w:val="single" w:color="808080" w:sz="4"/>
              <w:right w:val="single" w:color="808080" w:sz="4"/>
            </w:tcBorders>
            <w:shd w:fill="EBEBEB" w:color="auto" w:val="clear"/>
            <w:tcMar>
              <w:top w:type="dxa" w:w="70"/>
              <w:left w:type="dxa" w:w="110"/>
              <w:bottom w:type="dxa" w:w="70"/>
              <w:right w:type="dxa" w:w="110"/>
            </w:tcMar>
            <w:vAlign w:val="center"/>
          </w:tcPr>
          <w:p>
            <w:pPr>
              <w:spacing w:after="0" w:line="259"/>
              <w:jc w:val="left"/>
            </w:pPr>
            <w:r>
              <w:rPr>
                <w:b/>
                <w:bCs/>
                <w:sz w:val="20"/>
                <w:szCs w:val="20"/>
              </w:rPr>
              <w:t xml:space="preserve">Project code</w:t>
            </w:r>
          </w:p>
        </w:tc>
        <w:tc>
          <w:tcPr>
            <w:tcW w:type="dxa" w:w="73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23IE4053A / Capstone Project 4</w:t>
            </w:r>
          </w:p>
        </w:tc>
      </w:tr>
      <w:tr>
        <w:trPr>
          <w:cantSplit/>
        </w:trPr>
        <w:tc>
          <w:tcPr>
            <w:tcW w:type="dxa" w:w="2300"/>
            <w:tcBorders>
              <w:top w:val="single" w:color="808080" w:sz="4"/>
              <w:left w:val="single" w:color="808080" w:sz="4"/>
              <w:bottom w:val="single" w:color="808080" w:sz="4"/>
              <w:right w:val="single" w:color="808080" w:sz="4"/>
            </w:tcBorders>
            <w:shd w:fill="EBEBEB" w:color="auto" w:val="clear"/>
            <w:tcMar>
              <w:top w:type="dxa" w:w="70"/>
              <w:left w:type="dxa" w:w="110"/>
              <w:bottom w:type="dxa" w:w="70"/>
              <w:right w:type="dxa" w:w="110"/>
            </w:tcMar>
            <w:vAlign w:val="center"/>
          </w:tcPr>
          <w:p>
            <w:pPr>
              <w:spacing w:after="0" w:line="259"/>
              <w:jc w:val="left"/>
            </w:pPr>
            <w:r>
              <w:rPr>
                <w:b/>
                <w:bCs/>
                <w:sz w:val="20"/>
                <w:szCs w:val="20"/>
              </w:rPr>
              <w:t xml:space="preserve">Version</w:t>
            </w:r>
          </w:p>
        </w:tc>
        <w:tc>
          <w:tcPr>
            <w:tcW w:type="dxa" w:w="73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Review–2 baseline, September 2026</w:t>
            </w:r>
          </w:p>
        </w:tc>
      </w:tr>
      <w:tr>
        <w:trPr>
          <w:cantSplit/>
        </w:trPr>
        <w:tc>
          <w:tcPr>
            <w:tcW w:type="dxa" w:w="2300"/>
            <w:tcBorders>
              <w:top w:val="single" w:color="808080" w:sz="4"/>
              <w:left w:val="single" w:color="808080" w:sz="4"/>
              <w:bottom w:val="single" w:color="808080" w:sz="4"/>
              <w:right w:val="single" w:color="808080" w:sz="4"/>
            </w:tcBorders>
            <w:shd w:fill="EBEBEB" w:color="auto" w:val="clear"/>
            <w:tcMar>
              <w:top w:type="dxa" w:w="70"/>
              <w:left w:type="dxa" w:w="110"/>
              <w:bottom w:type="dxa" w:w="70"/>
              <w:right w:type="dxa" w:w="110"/>
            </w:tcMar>
            <w:vAlign w:val="center"/>
          </w:tcPr>
          <w:p>
            <w:pPr>
              <w:spacing w:after="0" w:line="259"/>
              <w:jc w:val="left"/>
            </w:pPr>
            <w:r>
              <w:rPr>
                <w:b/>
                <w:bCs/>
                <w:sz w:val="20"/>
                <w:szCs w:val="20"/>
              </w:rPr>
              <w:t xml:space="preserve">Team</w:t>
            </w:r>
          </w:p>
        </w:tc>
        <w:tc>
          <w:tcPr>
            <w:tcW w:type="dxa" w:w="73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Palanati Kushal (2300031426)</w:t>
            </w:r>
          </w:p>
          <w:p>
            <w:pPr>
              <w:spacing w:after="0" w:line="259"/>
              <w:jc w:val="left"/>
            </w:pPr>
            <w:r>
              <w:rPr>
                <w:sz w:val="20"/>
                <w:szCs w:val="20"/>
              </w:rPr>
              <w:t xml:space="preserve">Y. Kishan (2300030979)</w:t>
            </w:r>
          </w:p>
          <w:p>
            <w:pPr>
              <w:spacing w:after="0" w:line="259"/>
              <w:jc w:val="left"/>
            </w:pPr>
            <w:r>
              <w:rPr>
                <w:sz w:val="20"/>
                <w:szCs w:val="20"/>
              </w:rPr>
              <w:t xml:space="preserve">D. Varun (2300030156)</w:t>
            </w:r>
          </w:p>
          <w:p>
            <w:pPr>
              <w:spacing w:after="0" w:line="259"/>
              <w:jc w:val="left"/>
            </w:pPr>
            <w:r>
              <w:rPr>
                <w:sz w:val="20"/>
                <w:szCs w:val="20"/>
              </w:rPr>
              <w:t xml:space="preserve">Dirishala Gopi Krishna (2300030916)</w:t>
            </w:r>
          </w:p>
        </w:tc>
      </w:tr>
      <w:tr>
        <w:trPr>
          <w:cantSplit/>
        </w:trPr>
        <w:tc>
          <w:tcPr>
            <w:tcW w:type="dxa" w:w="2300"/>
            <w:tcBorders>
              <w:top w:val="single" w:color="808080" w:sz="4"/>
              <w:left w:val="single" w:color="808080" w:sz="4"/>
              <w:bottom w:val="single" w:color="808080" w:sz="4"/>
              <w:right w:val="single" w:color="808080" w:sz="4"/>
            </w:tcBorders>
            <w:shd w:fill="EBEBEB" w:color="auto" w:val="clear"/>
            <w:tcMar>
              <w:top w:type="dxa" w:w="70"/>
              <w:left w:type="dxa" w:w="110"/>
              <w:bottom w:type="dxa" w:w="70"/>
              <w:right w:type="dxa" w:w="110"/>
            </w:tcMar>
            <w:vAlign w:val="center"/>
          </w:tcPr>
          <w:p>
            <w:pPr>
              <w:spacing w:after="0" w:line="259"/>
              <w:jc w:val="left"/>
            </w:pPr>
            <w:r>
              <w:rPr>
                <w:b/>
                <w:bCs/>
                <w:sz w:val="20"/>
                <w:szCs w:val="20"/>
              </w:rPr>
              <w:t xml:space="preserve">Guide</w:t>
            </w:r>
          </w:p>
        </w:tc>
        <w:tc>
          <w:tcPr>
            <w:tcW w:type="dxa" w:w="73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Vijay Raja, Assistant Professor, EmpID 9523</w:t>
            </w:r>
          </w:p>
        </w:tc>
      </w:tr>
    </w:tbl>
    <w:p>
      <w:pPr>
        <w:spacing w:after="160" w:line="120" w:lineRule="exact"/>
      </w:pPr>
    </w:p>
    <w:p>
      <w:pPr>
        <w:pStyle w:val="Heading1"/>
      </w:pPr>
      <w:r>
        <w:t xml:space="preserve">2. Purpose and scope</w:t>
      </w:r>
    </w:p>
    <w:p>
      <w:pPr>
        <w:spacing w:after="140" w:line="288"/>
      </w:pPr>
      <w:r>
        <w:t xml:space="preserve">This SRS defines a capstone-scale system that collects selected physiological and environmental observations at a Raspberry Pi edge node, performs quality-aware local processing, stores evidence during connectivity loss, and synchronizes records to an authenticated cloud service for history and caregiver-facing visualization. The system is a monitoring and decision-support prototype. It is not a clinical diagnostic device and shall not prescribe treatment or replace professional interpretation.</w:t>
      </w:r>
    </w:p>
    <w:p>
      <w:pPr>
        <w:spacing w:after="140" w:line="288"/>
      </w:pPr>
      <w:r>
        <w:t xml:space="preserve">The minimum scope is one edge gateway, one monitored subject or test subject at a time, one physiological sensor such as a MAX30102-class heart-rate/SpO₂ sensor, one temperature sensor, local SQLite persistence, a quality-aware decision path, and a documented cloud ingestion contract. Dashboard, notifications, multi-device operation, FHIR exchange, and advanced models are extension scope.</w:t>
      </w:r>
    </w:p>
    <w:p>
      <w:pPr>
        <w:pStyle w:val="Heading1"/>
      </w:pPr>
      <w:r>
        <w:t xml:space="preserve">3. Stakeholders and user needs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6938"/>
      </w:tblGrid>
      <w:tr>
        <w:trPr>
          <w:cantSplit/>
          <w:tblHeader/>
        </w:trPr>
        <w:tc>
          <w:tcPr>
            <w:tcW w:type="dxa" w:w="27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Stakeholder</w:t>
            </w:r>
          </w:p>
        </w:tc>
        <w:tc>
          <w:tcPr>
            <w:tcW w:type="dxa" w:w="6938"/>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Need</w:t>
            </w:r>
          </w:p>
        </w:tc>
      </w:tr>
      <w:tr>
        <w:trPr>
          <w:cantSplit/>
        </w:trPr>
        <w:tc>
          <w:tcPr>
            <w:tcW w:type="dxa" w:w="27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Project team</w:t>
            </w:r>
          </w:p>
        </w:tc>
        <w:tc>
          <w:tcPr>
            <w:tcW w:type="dxa" w:w="6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A reproducible, testable artifact that can be demonstrated within capstone constraints</w:t>
            </w:r>
          </w:p>
        </w:tc>
      </w:tr>
      <w:tr>
        <w:trPr>
          <w:cantSplit/>
        </w:trPr>
        <w:tc>
          <w:tcPr>
            <w:tcW w:type="dxa" w:w="27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Guide and review panel</w:t>
            </w:r>
          </w:p>
        </w:tc>
        <w:tc>
          <w:tcPr>
            <w:tcW w:type="dxa" w:w="6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Traceable requirements, justified architecture, evidence of partial implementation, and clear limitations</w:t>
            </w:r>
          </w:p>
        </w:tc>
      </w:tr>
      <w:tr>
        <w:trPr>
          <w:cantSplit/>
        </w:trPr>
        <w:tc>
          <w:tcPr>
            <w:tcW w:type="dxa" w:w="27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Caregiver demonstrator</w:t>
            </w:r>
          </w:p>
        </w:tc>
        <w:tc>
          <w:tcPr>
            <w:tcW w:type="dxa" w:w="6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Understandable trends, alert severity, confidence, quality status, and synchronization state</w:t>
            </w:r>
          </w:p>
        </w:tc>
      </w:tr>
      <w:tr>
        <w:trPr>
          <w:cantSplit/>
        </w:trPr>
        <w:tc>
          <w:tcPr>
            <w:tcW w:type="dxa" w:w="27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Device operator</w:t>
            </w:r>
          </w:p>
        </w:tc>
        <w:tc>
          <w:tcPr>
            <w:tcW w:type="dxa" w:w="6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Safe configuration, visible device state, and recovery instructions</w:t>
            </w:r>
          </w:p>
        </w:tc>
      </w:tr>
      <w:tr>
        <w:trPr>
          <w:cantSplit/>
        </w:trPr>
        <w:tc>
          <w:tcPr>
            <w:tcW w:type="dxa" w:w="27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Future researcher</w:t>
            </w:r>
          </w:p>
        </w:tc>
        <w:tc>
          <w:tcPr>
            <w:tcW w:type="dxa" w:w="6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Stable event IDs, provenance, modular interfaces, and reproducible test artifacts</w:t>
            </w:r>
          </w:p>
        </w:tc>
      </w:tr>
      <w:tr>
        <w:trPr>
          <w:cantSplit/>
        </w:trPr>
        <w:tc>
          <w:tcPr>
            <w:tcW w:type="dxa" w:w="27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Monitored person</w:t>
            </w:r>
          </w:p>
        </w:tc>
        <w:tc>
          <w:tcPr>
            <w:tcW w:type="dxa" w:w="6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Protection of data and a clear statement that outputs are not diagnoses</w:t>
            </w:r>
          </w:p>
        </w:tc>
      </w:tr>
    </w:tbl>
    <w:p>
      <w:pPr>
        <w:spacing w:after="160" w:line="120" w:lineRule="exact"/>
      </w:pPr>
    </w:p>
    <w:p>
      <w:pPr>
        <w:pStyle w:val="Heading1"/>
      </w:pPr>
      <w:r>
        <w:t xml:space="preserve">4. System context</w:t>
      </w:r>
    </w:p>
    <w:p>
      <w:pPr>
        <w:spacing w:after="140" w:line="288"/>
      </w:pPr>
      <w:r>
        <w:t xml:space="preserve">The sensing plane produces normalized samples. The edge plane validates and filters samples, computes baseline/rule evidence, optionally applies Isolation Forest, creates an explanation, and writes the observation locally. The cloud plane receives authenticated batches, stores unique event IDs, and exposes history/status. The security plane spans the whole system. The evaluation plane injects controlled noise, network outages, retries, malformed payloads, and resource measurements.</w:t>
      </w:r>
    </w:p>
    <w:p>
      <w:pPr>
        <w:pStyle w:val="Heading1"/>
      </w:pPr>
      <w:r>
        <w:t xml:space="preserve">5. 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00"/>
        <w:gridCol w:w="5638"/>
        <w:gridCol w:w="1200"/>
        <w:gridCol w:w="1900"/>
      </w:tblGrid>
      <w:tr>
        <w:trPr>
          <w:cantSplit/>
          <w:tblHeader/>
        </w:trPr>
        <w:tc>
          <w:tcPr>
            <w:tcW w:type="dxa" w:w="9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ID</w:t>
            </w:r>
          </w:p>
        </w:tc>
        <w:tc>
          <w:tcPr>
            <w:tcW w:type="dxa" w:w="5638"/>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Requirement</w:t>
            </w:r>
          </w:p>
        </w:tc>
        <w:tc>
          <w:tcPr>
            <w:tcW w:type="dxa" w:w="12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center"/>
            </w:pPr>
            <w:r>
              <w:rPr>
                <w:b/>
                <w:bCs/>
                <w:color w:val="000000"/>
                <w:sz w:val="20"/>
                <w:szCs w:val="20"/>
              </w:rPr>
              <w:t xml:space="preserve">Priority</w:t>
            </w:r>
          </w:p>
        </w:tc>
        <w:tc>
          <w:tcPr>
            <w:tcW w:type="dxa" w:w="19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center"/>
            </w:pPr>
            <w:r>
              <w:rPr>
                <w:b/>
                <w:bCs/>
                <w:color w:val="000000"/>
                <w:sz w:val="20"/>
                <w:szCs w:val="20"/>
              </w:rPr>
              <w:t xml:space="preserve">Verification</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FR-01</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The collector shall read supported sensor channels at a configurable interval.</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Test T-01</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FR-02</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The collector shall assign a stable event ID and capture device ID and event time before transmission.</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T-02</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FR-03</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Each accepted observation shall include sensor type, value, unit, quality status, quality score, processing version, and synchronization status.</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T-03</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FR-04</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Missing, non-finite, stale, or out-of-range samples shall be marked invalid or low quality and shall not become high-confidence alerts.</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T-04</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FR-05</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The edge shall calculate a processed value using a documented short-window filter without overwriting the raw value.</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T-05</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FR-06</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The edge shall calculate baseline deviation and configurable rule evidence.</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T-06</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FR-07</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The optional model layer shall use compact features and shall not override an invalid quality status.</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Should</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T-07</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FR-08</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A decision record shall include severity, confidence, reason codes, and an explanation generated from the decision path.</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T-08</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FR-09</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The observation shall be committed to SQLite before synchronization is attempted.</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T-09</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FR-10</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The edge shall continue local collection when the network is unavailable.</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T-10</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FR-11</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The synchronizer shall send pending records in event-time order and retain original event timestamps.</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T-11</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FR-12</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The cloud shall treat event ID as a unique key and return accepted, already-present, retryable, or rejected IDs.</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T-12</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FR-13</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The edge shall mark only accepted or already-present records as synchronized.</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T-13</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FR-14</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Authentication, schema, timeout, and unexpected failures shall be categorized and audited without leaking secrets.</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T-14</w:t>
            </w:r>
          </w:p>
        </w:tc>
      </w:tr>
      <w:tr>
        <w:trPr>
          <w:cantSplit/>
        </w:trPr>
        <w:tc>
          <w:tcPr>
            <w:tcW w:type="dxa" w:w="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FR-15</w:t>
            </w:r>
          </w:p>
        </w:tc>
        <w:tc>
          <w:tcPr>
            <w:tcW w:type="dxa" w:w="56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A dashboard or query endpoint shall expose observations, alerts, queue depth, operating state, and synchronization history.</w:t>
            </w:r>
          </w:p>
        </w:tc>
        <w:tc>
          <w:tcPr>
            <w:tcW w:type="dxa" w:w="12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Should</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center"/>
            </w:pPr>
            <w:r>
              <w:rPr>
                <w:sz w:val="20"/>
                <w:szCs w:val="20"/>
              </w:rPr>
              <w:t xml:space="preserve">T-15</w:t>
            </w:r>
          </w:p>
        </w:tc>
      </w:tr>
      <w:tr>
        <w:trPr>
          <w:cantSplit/>
        </w:trPr>
        <w:tc>
          <w:tcPr>
            <w:tcW w:type="dxa" w:w="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FR-16</w:t>
            </w:r>
          </w:p>
        </w:tc>
        <w:tc>
          <w:tcPr>
            <w:tcW w:type="dxa" w:w="56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The system shall display a non-diagnostic monitoring disclaimer.</w:t>
            </w:r>
          </w:p>
        </w:tc>
        <w:tc>
          <w:tcPr>
            <w:tcW w:type="dxa" w:w="12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Must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center"/>
            </w:pPr>
            <w:r>
              <w:rPr>
                <w:sz w:val="20"/>
                <w:szCs w:val="20"/>
              </w:rPr>
              <w:t xml:space="preserve">Inspection</w:t>
            </w:r>
          </w:p>
        </w:tc>
      </w:tr>
    </w:tbl>
    <w:p>
      <w:pPr>
        <w:spacing w:after="160" w:line="120" w:lineRule="exact"/>
      </w:pPr>
    </w:p>
    <w:p>
      <w:pPr>
        <w:pStyle w:val="Heading1"/>
      </w:pPr>
      <w:r>
        <w:t xml:space="preserve">6. Non-functional requirements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00"/>
        <w:gridCol w:w="2600"/>
        <w:gridCol w:w="5938"/>
      </w:tblGrid>
      <w:tr>
        <w:trPr>
          <w:cantSplit/>
          <w:tblHeader/>
        </w:trPr>
        <w:tc>
          <w:tcPr>
            <w:tcW w:type="dxa" w:w="11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ID</w:t>
            </w:r>
          </w:p>
        </w:tc>
        <w:tc>
          <w:tcPr>
            <w:tcW w:type="dxa" w:w="26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Requirement</w:t>
            </w:r>
          </w:p>
        </w:tc>
        <w:tc>
          <w:tcPr>
            <w:tcW w:type="dxa" w:w="5938"/>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Acceptance indication</w:t>
            </w:r>
          </w:p>
        </w:tc>
      </w:tr>
      <w:tr>
        <w:trPr>
          <w:cantSplit/>
        </w:trPr>
        <w:tc>
          <w:tcPr>
            <w:tcW w:type="dxa" w:w="11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NFR-01</w:t>
            </w:r>
          </w:p>
        </w:tc>
        <w:tc>
          <w:tcPr>
            <w:tcW w:type="dxa" w:w="26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Resource feasibility</w:t>
            </w:r>
          </w:p>
        </w:tc>
        <w:tc>
          <w:tcPr>
            <w:tcW w:type="dxa" w:w="5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Edge path runs on Raspberry Pi-class hardware without a high-end GPU</w:t>
            </w:r>
          </w:p>
        </w:tc>
      </w:tr>
      <w:tr>
        <w:trPr>
          <w:cantSplit/>
        </w:trPr>
        <w:tc>
          <w:tcPr>
            <w:tcW w:type="dxa" w:w="11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NFR-02</w:t>
            </w:r>
          </w:p>
        </w:tc>
        <w:tc>
          <w:tcPr>
            <w:tcW w:type="dxa" w:w="26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Reliability</w:t>
            </w:r>
          </w:p>
        </w:tc>
        <w:tc>
          <w:tcPr>
            <w:tcW w:type="dxa" w:w="5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Controlled network outage does not erase locally committed records</w:t>
            </w:r>
          </w:p>
        </w:tc>
      </w:tr>
      <w:tr>
        <w:trPr>
          <w:cantSplit/>
        </w:trPr>
        <w:tc>
          <w:tcPr>
            <w:tcW w:type="dxa" w:w="11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NFR-03</w:t>
            </w:r>
          </w:p>
        </w:tc>
        <w:tc>
          <w:tcPr>
            <w:tcW w:type="dxa" w:w="26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Integrity</w:t>
            </w:r>
          </w:p>
        </w:tc>
        <w:tc>
          <w:tcPr>
            <w:tcW w:type="dxa" w:w="5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Retry does not create duplicate cloud rows when event IDs are honored</w:t>
            </w:r>
          </w:p>
        </w:tc>
      </w:tr>
      <w:tr>
        <w:trPr>
          <w:cantSplit/>
        </w:trPr>
        <w:tc>
          <w:tcPr>
            <w:tcW w:type="dxa" w:w="11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NFR-04</w:t>
            </w:r>
          </w:p>
        </w:tc>
        <w:tc>
          <w:tcPr>
            <w:tcW w:type="dxa" w:w="26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Explainability</w:t>
            </w:r>
          </w:p>
        </w:tc>
        <w:tc>
          <w:tcPr>
            <w:tcW w:type="dxa" w:w="5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Every alert contains reasons, quality, baseline/deviation, severity, confidence, and time</w:t>
            </w:r>
          </w:p>
        </w:tc>
      </w:tr>
      <w:tr>
        <w:trPr>
          <w:cantSplit/>
        </w:trPr>
        <w:tc>
          <w:tcPr>
            <w:tcW w:type="dxa" w:w="11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NFR-05</w:t>
            </w:r>
          </w:p>
        </w:tc>
        <w:tc>
          <w:tcPr>
            <w:tcW w:type="dxa" w:w="26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Security</w:t>
            </w:r>
          </w:p>
        </w:tc>
        <w:tc>
          <w:tcPr>
            <w:tcW w:type="dxa" w:w="5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Unique device identity, protected credentials, authenticated transport, and access control are documented</w:t>
            </w:r>
          </w:p>
        </w:tc>
      </w:tr>
      <w:tr>
        <w:trPr>
          <w:cantSplit/>
        </w:trPr>
        <w:tc>
          <w:tcPr>
            <w:tcW w:type="dxa" w:w="11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NFR-06</w:t>
            </w:r>
          </w:p>
        </w:tc>
        <w:tc>
          <w:tcPr>
            <w:tcW w:type="dxa" w:w="26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Maintainability</w:t>
            </w:r>
          </w:p>
        </w:tc>
        <w:tc>
          <w:tcPr>
            <w:tcW w:type="dxa" w:w="5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Sensor, detector, store, and synchronizer are replaceable through interfaces</w:t>
            </w:r>
          </w:p>
        </w:tc>
      </w:tr>
      <w:tr>
        <w:trPr>
          <w:cantSplit/>
        </w:trPr>
        <w:tc>
          <w:tcPr>
            <w:tcW w:type="dxa" w:w="11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NFR-07</w:t>
            </w:r>
          </w:p>
        </w:tc>
        <w:tc>
          <w:tcPr>
            <w:tcW w:type="dxa" w:w="26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Reproducibility</w:t>
            </w:r>
          </w:p>
        </w:tc>
        <w:tc>
          <w:tcPr>
            <w:tcW w:type="dxa" w:w="59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Runs record hardware, software versions, configuration, seed, trace, and network condition</w:t>
            </w:r>
          </w:p>
        </w:tc>
      </w:tr>
      <w:tr>
        <w:trPr>
          <w:cantSplit/>
        </w:trPr>
        <w:tc>
          <w:tcPr>
            <w:tcW w:type="dxa" w:w="11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NFR-08</w:t>
            </w:r>
          </w:p>
        </w:tc>
        <w:tc>
          <w:tcPr>
            <w:tcW w:type="dxa" w:w="26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Safety of interpretation</w:t>
            </w:r>
          </w:p>
        </w:tc>
        <w:tc>
          <w:tcPr>
            <w:tcW w:type="dxa" w:w="59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Engineering scores are never labelled as disease probabilities or diagnoses</w:t>
            </w:r>
          </w:p>
        </w:tc>
      </w:tr>
    </w:tbl>
    <w:p>
      <w:pPr>
        <w:spacing w:after="160" w:line="120" w:lineRule="exact"/>
      </w:pPr>
    </w:p>
    <w:p>
      <w:pPr>
        <w:pStyle w:val="Heading1"/>
      </w:pPr>
      <w:r>
        <w:t xml:space="preserve">7. Hardware and software requirements</w:t>
      </w:r>
    </w:p>
    <w:p>
      <w:pPr>
        <w:spacing w:after="140" w:line="288"/>
      </w:pPr>
      <w:r>
        <w:t xml:space="preserve">The minimum hardware is a Raspberry Pi 4 or comparable single-board computer, local microSD/external storage, MAX30102-class heart-rate/SpO₂ sensor if vital-sign claims are retained, temperature sensor, optional environmental sensor, stable power, Wi-Fi, and safe wiring. The planned software stack is Linux, Python, SQLite with WAL, optional NumPy/scikit-learn, a versioned REST/HTTPS API, and a simple dashboard or query interface. Credentials shall be supplied through environment variables or protected configuration, not committed to a repository.</w:t>
      </w:r>
    </w:p>
    <w:p>
      <w:pPr>
        <w:pStyle w:val="Heading1"/>
      </w:pPr>
      <w:r>
        <w:t xml:space="preserve">8. Data model</w:t>
      </w:r>
    </w:p>
    <w:p>
      <w:pPr>
        <w:pStyle w:val="Heading2"/>
      </w:pPr>
      <w:r>
        <w:t xml:space="preserve">Observation</w:t>
      </w:r>
    </w:p>
    <w:p>
      <w:pPr>
        <w:spacing w:after="160" w:line="320"/>
      </w:pPr>
      <w:r>
        <w:rPr>
          <w:rFonts w:ascii="Consolas" w:cs="Consolas" w:eastAsia="Consolas" w:hAnsi="Consolas"/>
          <w:sz w:val="20"/>
          <w:szCs w:val="20"/>
          <w:shd w:fill="EDEDED" w:color="auto" w:val="clear"/>
        </w:rPr>
        <w:t xml:space="preserve">event_id (unique)</w:t>
      </w:r>
      <w:r>
        <w:t xml:space="preserve">,  </w:t>
      </w:r>
      <w:r>
        <w:rPr>
          <w:rFonts w:ascii="Consolas" w:cs="Consolas" w:eastAsia="Consolas" w:hAnsi="Consolas"/>
          <w:sz w:val="20"/>
          <w:szCs w:val="20"/>
          <w:shd w:fill="EDEDED" w:color="auto" w:val="clear"/>
        </w:rPr>
        <w:t xml:space="preserve">device_id</w:t>
      </w:r>
      <w:r>
        <w:t xml:space="preserve">,  </w:t>
      </w:r>
      <w:r>
        <w:rPr>
          <w:rFonts w:ascii="Consolas" w:cs="Consolas" w:eastAsia="Consolas" w:hAnsi="Consolas"/>
          <w:sz w:val="20"/>
          <w:szCs w:val="20"/>
          <w:shd w:fill="EDEDED" w:color="auto" w:val="clear"/>
        </w:rPr>
        <w:t xml:space="preserve">event_time</w:t>
      </w:r>
      <w:r>
        <w:t xml:space="preserve">,  </w:t>
      </w:r>
      <w:r>
        <w:rPr>
          <w:rFonts w:ascii="Consolas" w:cs="Consolas" w:eastAsia="Consolas" w:hAnsi="Consolas"/>
          <w:sz w:val="20"/>
          <w:szCs w:val="20"/>
          <w:shd w:fill="EDEDED" w:color="auto" w:val="clear"/>
        </w:rPr>
        <w:t xml:space="preserve">created_at</w:t>
      </w:r>
      <w:r>
        <w:t xml:space="preserve">,  </w:t>
      </w:r>
      <w:r>
        <w:rPr>
          <w:rFonts w:ascii="Consolas" w:cs="Consolas" w:eastAsia="Consolas" w:hAnsi="Consolas"/>
          <w:sz w:val="20"/>
          <w:szCs w:val="20"/>
          <w:shd w:fill="EDEDED" w:color="auto" w:val="clear"/>
        </w:rPr>
        <w:t xml:space="preserve">sensor</w:t>
      </w:r>
      <w:r>
        <w:t xml:space="preserve">,  </w:t>
      </w:r>
      <w:r>
        <w:rPr>
          <w:rFonts w:ascii="Consolas" w:cs="Consolas" w:eastAsia="Consolas" w:hAnsi="Consolas"/>
          <w:sz w:val="20"/>
          <w:szCs w:val="20"/>
          <w:shd w:fill="EDEDED" w:color="auto" w:val="clear"/>
        </w:rPr>
        <w:t xml:space="preserve">raw_value</w:t>
      </w:r>
      <w:r>
        <w:t xml:space="preserve">,  </w:t>
      </w:r>
      <w:r>
        <w:rPr>
          <w:rFonts w:ascii="Consolas" w:cs="Consolas" w:eastAsia="Consolas" w:hAnsi="Consolas"/>
          <w:sz w:val="20"/>
          <w:szCs w:val="20"/>
          <w:shd w:fill="EDEDED" w:color="auto" w:val="clear"/>
        </w:rPr>
        <w:t xml:space="preserve">processed_value</w:t>
      </w:r>
      <w:r>
        <w:t xml:space="preserve">,  </w:t>
      </w:r>
      <w:r>
        <w:rPr>
          <w:rFonts w:ascii="Consolas" w:cs="Consolas" w:eastAsia="Consolas" w:hAnsi="Consolas"/>
          <w:sz w:val="20"/>
          <w:szCs w:val="20"/>
          <w:shd w:fill="EDEDED" w:color="auto" w:val="clear"/>
        </w:rPr>
        <w:t xml:space="preserve">unit</w:t>
      </w:r>
      <w:r>
        <w:t xml:space="preserve">,  </w:t>
      </w:r>
      <w:r>
        <w:rPr>
          <w:rFonts w:ascii="Consolas" w:cs="Consolas" w:eastAsia="Consolas" w:hAnsi="Consolas"/>
          <w:sz w:val="20"/>
          <w:szCs w:val="20"/>
          <w:shd w:fill="EDEDED" w:color="auto" w:val="clear"/>
        </w:rPr>
        <w:t xml:space="preserve">quality_status</w:t>
      </w:r>
      <w:r>
        <w:t xml:space="preserve">,  </w:t>
      </w:r>
      <w:r>
        <w:rPr>
          <w:rFonts w:ascii="Consolas" w:cs="Consolas" w:eastAsia="Consolas" w:hAnsi="Consolas"/>
          <w:sz w:val="20"/>
          <w:szCs w:val="20"/>
          <w:shd w:fill="EDEDED" w:color="auto" w:val="clear"/>
        </w:rPr>
        <w:t xml:space="preserve">quality_score</w:t>
      </w:r>
      <w:r>
        <w:t xml:space="preserve">,  </w:t>
      </w:r>
      <w:r>
        <w:rPr>
          <w:rFonts w:ascii="Consolas" w:cs="Consolas" w:eastAsia="Consolas" w:hAnsi="Consolas"/>
          <w:sz w:val="20"/>
          <w:szCs w:val="20"/>
          <w:shd w:fill="EDEDED" w:color="auto" w:val="clear"/>
        </w:rPr>
        <w:t xml:space="preserve">baseline</w:t>
      </w:r>
      <w:r>
        <w:t xml:space="preserve">,  </w:t>
      </w:r>
      <w:r>
        <w:rPr>
          <w:rFonts w:ascii="Consolas" w:cs="Consolas" w:eastAsia="Consolas" w:hAnsi="Consolas"/>
          <w:sz w:val="20"/>
          <w:szCs w:val="20"/>
          <w:shd w:fill="EDEDED" w:color="auto" w:val="clear"/>
        </w:rPr>
        <w:t xml:space="preserve">deviation</w:t>
      </w:r>
      <w:r>
        <w:t xml:space="preserve">,  </w:t>
      </w:r>
      <w:r>
        <w:rPr>
          <w:rFonts w:ascii="Consolas" w:cs="Consolas" w:eastAsia="Consolas" w:hAnsi="Consolas"/>
          <w:sz w:val="20"/>
          <w:szCs w:val="20"/>
          <w:shd w:fill="EDEDED" w:color="auto" w:val="clear"/>
        </w:rPr>
        <w:t xml:space="preserve">severity</w:t>
      </w:r>
      <w:r>
        <w:t xml:space="preserve">,  </w:t>
      </w:r>
      <w:r>
        <w:rPr>
          <w:rFonts w:ascii="Consolas" w:cs="Consolas" w:eastAsia="Consolas" w:hAnsi="Consolas"/>
          <w:sz w:val="20"/>
          <w:szCs w:val="20"/>
          <w:shd w:fill="EDEDED" w:color="auto" w:val="clear"/>
        </w:rPr>
        <w:t xml:space="preserve">confidence</w:t>
      </w:r>
      <w:r>
        <w:t xml:space="preserve">,  </w:t>
      </w:r>
      <w:r>
        <w:rPr>
          <w:rFonts w:ascii="Consolas" w:cs="Consolas" w:eastAsia="Consolas" w:hAnsi="Consolas"/>
          <w:sz w:val="20"/>
          <w:szCs w:val="20"/>
          <w:shd w:fill="EDEDED" w:color="auto" w:val="clear"/>
        </w:rPr>
        <w:t xml:space="preserve">anomaly_score</w:t>
      </w:r>
      <w:r>
        <w:t xml:space="preserve">,  </w:t>
      </w:r>
      <w:r>
        <w:rPr>
          <w:rFonts w:ascii="Consolas" w:cs="Consolas" w:eastAsia="Consolas" w:hAnsi="Consolas"/>
          <w:sz w:val="20"/>
          <w:szCs w:val="20"/>
          <w:shd w:fill="EDEDED" w:color="auto" w:val="clear"/>
        </w:rPr>
        <w:t xml:space="preserve">reason_codes</w:t>
      </w:r>
      <w:r>
        <w:t xml:space="preserve">,  </w:t>
      </w:r>
      <w:r>
        <w:rPr>
          <w:rFonts w:ascii="Consolas" w:cs="Consolas" w:eastAsia="Consolas" w:hAnsi="Consolas"/>
          <w:sz w:val="20"/>
          <w:szCs w:val="20"/>
          <w:shd w:fill="EDEDED" w:color="auto" w:val="clear"/>
        </w:rPr>
        <w:t xml:space="preserve">explanation</w:t>
      </w:r>
      <w:r>
        <w:t xml:space="preserve">,  </w:t>
      </w:r>
      <w:r>
        <w:rPr>
          <w:rFonts w:ascii="Consolas" w:cs="Consolas" w:eastAsia="Consolas" w:hAnsi="Consolas"/>
          <w:sz w:val="20"/>
          <w:szCs w:val="20"/>
          <w:shd w:fill="EDEDED" w:color="auto" w:val="clear"/>
        </w:rPr>
        <w:t xml:space="preserve">processing_version</w:t>
      </w:r>
      <w:r>
        <w:t xml:space="preserve">,  </w:t>
      </w:r>
      <w:r>
        <w:rPr>
          <w:rFonts w:ascii="Consolas" w:cs="Consolas" w:eastAsia="Consolas" w:hAnsi="Consolas"/>
          <w:sz w:val="20"/>
          <w:szCs w:val="20"/>
          <w:shd w:fill="EDEDED" w:color="auto" w:val="clear"/>
        </w:rPr>
        <w:t xml:space="preserve">sync_status</w:t>
      </w:r>
    </w:p>
    <w:p>
      <w:pPr>
        <w:pStyle w:val="Heading2"/>
      </w:pPr>
      <w:r>
        <w:t xml:space="preserve">Synchronization attempt</w:t>
      </w:r>
    </w:p>
    <w:p>
      <w:pPr>
        <w:spacing w:after="160" w:line="320"/>
      </w:pPr>
      <w:r>
        <w:rPr>
          <w:rFonts w:ascii="Consolas" w:cs="Consolas" w:eastAsia="Consolas" w:hAnsi="Consolas"/>
          <w:sz w:val="20"/>
          <w:szCs w:val="20"/>
          <w:shd w:fill="EDEDED" w:color="auto" w:val="clear"/>
        </w:rPr>
        <w:t xml:space="preserve">attempt_id</w:t>
      </w:r>
      <w:r>
        <w:t xml:space="preserve">,  </w:t>
      </w:r>
      <w:r>
        <w:rPr>
          <w:rFonts w:ascii="Consolas" w:cs="Consolas" w:eastAsia="Consolas" w:hAnsi="Consolas"/>
          <w:sz w:val="20"/>
          <w:szCs w:val="20"/>
          <w:shd w:fill="EDEDED" w:color="auto" w:val="clear"/>
        </w:rPr>
        <w:t xml:space="preserve">attempted_at</w:t>
      </w:r>
      <w:r>
        <w:t xml:space="preserve">,  </w:t>
      </w:r>
      <w:r>
        <w:rPr>
          <w:rFonts w:ascii="Consolas" w:cs="Consolas" w:eastAsia="Consolas" w:hAnsi="Consolas"/>
          <w:sz w:val="20"/>
          <w:szCs w:val="20"/>
          <w:shd w:fill="EDEDED" w:color="auto" w:val="clear"/>
        </w:rPr>
        <w:t xml:space="preserve">batch_size</w:t>
      </w:r>
      <w:r>
        <w:t xml:space="preserve">,  </w:t>
      </w:r>
      <w:r>
        <w:rPr>
          <w:rFonts w:ascii="Consolas" w:cs="Consolas" w:eastAsia="Consolas" w:hAnsi="Consolas"/>
          <w:sz w:val="20"/>
          <w:szCs w:val="20"/>
          <w:shd w:fill="EDEDED" w:color="auto" w:val="clear"/>
        </w:rPr>
        <w:t xml:space="preserve">result</w:t>
      </w:r>
      <w:r>
        <w:t xml:space="preserve">,  </w:t>
      </w:r>
      <w:r>
        <w:rPr>
          <w:rFonts w:ascii="Consolas" w:cs="Consolas" w:eastAsia="Consolas" w:hAnsi="Consolas"/>
          <w:sz w:val="20"/>
          <w:szCs w:val="20"/>
          <w:shd w:fill="EDEDED" w:color="auto" w:val="clear"/>
        </w:rPr>
        <w:t xml:space="preserve">error_category (redacted)</w:t>
      </w:r>
    </w:p>
    <w:p>
      <w:pPr>
        <w:pStyle w:val="Heading2"/>
      </w:pPr>
      <w:r>
        <w:t xml:space="preserve">Alert</w:t>
      </w:r>
    </w:p>
    <w:p>
      <w:pPr>
        <w:spacing w:after="160" w:line="320"/>
      </w:pPr>
      <w:r>
        <w:rPr>
          <w:rFonts w:ascii="Consolas" w:cs="Consolas" w:eastAsia="Consolas" w:hAnsi="Consolas"/>
          <w:sz w:val="20"/>
          <w:szCs w:val="20"/>
          <w:shd w:fill="EDEDED" w:color="auto" w:val="clear"/>
        </w:rPr>
        <w:t xml:space="preserve">alert_id</w:t>
      </w:r>
      <w:r>
        <w:t xml:space="preserve">,  </w:t>
      </w:r>
      <w:r>
        <w:rPr>
          <w:rFonts w:ascii="Consolas" w:cs="Consolas" w:eastAsia="Consolas" w:hAnsi="Consolas"/>
          <w:sz w:val="20"/>
          <w:szCs w:val="20"/>
          <w:shd w:fill="EDEDED" w:color="auto" w:val="clear"/>
        </w:rPr>
        <w:t xml:space="preserve">event_id</w:t>
      </w:r>
      <w:r>
        <w:t xml:space="preserve">,  </w:t>
      </w:r>
      <w:r>
        <w:rPr>
          <w:rFonts w:ascii="Consolas" w:cs="Consolas" w:eastAsia="Consolas" w:hAnsi="Consolas"/>
          <w:sz w:val="20"/>
          <w:szCs w:val="20"/>
          <w:shd w:fill="EDEDED" w:color="auto" w:val="clear"/>
        </w:rPr>
        <w:t xml:space="preserve">severity</w:t>
      </w:r>
      <w:r>
        <w:t xml:space="preserve">,  </w:t>
      </w:r>
      <w:r>
        <w:rPr>
          <w:rFonts w:ascii="Consolas" w:cs="Consolas" w:eastAsia="Consolas" w:hAnsi="Consolas"/>
          <w:sz w:val="20"/>
          <w:szCs w:val="20"/>
          <w:shd w:fill="EDEDED" w:color="auto" w:val="clear"/>
        </w:rPr>
        <w:t xml:space="preserve">confidence</w:t>
      </w:r>
      <w:r>
        <w:t xml:space="preserve">,  </w:t>
      </w:r>
      <w:r>
        <w:rPr>
          <w:rFonts w:ascii="Consolas" w:cs="Consolas" w:eastAsia="Consolas" w:hAnsi="Consolas"/>
          <w:sz w:val="20"/>
          <w:szCs w:val="20"/>
          <w:shd w:fill="EDEDED" w:color="auto" w:val="clear"/>
        </w:rPr>
        <w:t xml:space="preserve">reason_codes</w:t>
      </w:r>
      <w:r>
        <w:t xml:space="preserve">,  </w:t>
      </w:r>
      <w:r>
        <w:rPr>
          <w:rFonts w:ascii="Consolas" w:cs="Consolas" w:eastAsia="Consolas" w:hAnsi="Consolas"/>
          <w:sz w:val="20"/>
          <w:szCs w:val="20"/>
          <w:shd w:fill="EDEDED" w:color="auto" w:val="clear"/>
        </w:rPr>
        <w:t xml:space="preserve">model_score</w:t>
      </w:r>
      <w:r>
        <w:t xml:space="preserve">,  </w:t>
      </w:r>
      <w:r>
        <w:rPr>
          <w:rFonts w:ascii="Consolas" w:cs="Consolas" w:eastAsia="Consolas" w:hAnsi="Consolas"/>
          <w:sz w:val="20"/>
          <w:szCs w:val="20"/>
          <w:shd w:fill="EDEDED" w:color="auto" w:val="clear"/>
        </w:rPr>
        <w:t xml:space="preserve">explanation</w:t>
      </w:r>
      <w:r>
        <w:t xml:space="preserve">,  </w:t>
      </w:r>
      <w:r>
        <w:rPr>
          <w:rFonts w:ascii="Consolas" w:cs="Consolas" w:eastAsia="Consolas" w:hAnsi="Consolas"/>
          <w:sz w:val="20"/>
          <w:szCs w:val="20"/>
          <w:shd w:fill="EDEDED" w:color="auto" w:val="clear"/>
        </w:rPr>
        <w:t xml:space="preserve">delivery_state</w:t>
      </w:r>
      <w:r>
        <w:t xml:space="preserve">,  </w:t>
      </w:r>
      <w:r>
        <w:rPr>
          <w:rFonts w:ascii="Consolas" w:cs="Consolas" w:eastAsia="Consolas" w:hAnsi="Consolas"/>
          <w:sz w:val="20"/>
          <w:szCs w:val="20"/>
          <w:shd w:fill="EDEDED" w:color="auto" w:val="clear"/>
        </w:rPr>
        <w:t xml:space="preserve">created_at</w:t>
      </w:r>
    </w:p>
    <w:p>
      <w:pPr>
        <w:pStyle w:val="Heading1"/>
      </w:pPr>
      <w:r>
        <w:t xml:space="preserve">9. API contract</w:t>
      </w:r>
    </w:p>
    <w:p>
      <w:pPr>
        <w:pStyle w:val="Heading2"/>
      </w:pPr>
      <w:r>
        <w:t xml:space="preserve">Request envelope</w:t>
      </w:r>
    </w:p>
    <w:p>
      <w:pPr>
        <w:keepNext/>
        <w:keepLines/>
        <w:pBdr>
          <w:left w:val="single" w:color="000000" w:sz="18" w:space="8"/>
        </w:pBdr>
        <w:shd w:fill="F2F2F2" w:color="auto" w:val="clear"/>
        <w:spacing w:after="0" w:before="0" w:line="100" w:lineRule="exact"/>
        <w:ind w:left="240" w:right="120"/>
      </w:pPr>
      <w:r>
        <w:rPr>
          <w:rFonts w:ascii="Consolas" w:cs="Consolas" w:eastAsia="Consolas" w:hAnsi="Consolas"/>
          <w:color w:val="000000"/>
          <w:sz w:val="18"/>
          <w:szCs w:val="18"/>
        </w:rPr>
        <w:t xml:space="preserve"/>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"schema_version": "1.0",</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"device_id": "edge-device-01",</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"client_batch_id": "batch-2026-09-21T10:00:00Z",</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"observations":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"event_id": "edge-device-01-20260921T100000Z-a1b2c3d4",</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"event_time": "2026-09-21T10:00:00Z",</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"sensor": "spo2",</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"raw_value": 97.0,</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"processed_value": 97.0,</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"unit":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"quality_status": "ACCEPTABLE",</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"quality_score": 0.95,</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"severity": "NORMAL",</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"confidence": "HIGH",</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"reason_codes":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"explanation": "Processed value is within the current baseline."</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w:t>
      </w:r>
    </w:p>
    <w:p>
      <w:pPr>
        <w:keepNext w:val="false"/>
        <w:keepLines/>
        <w:pBdr>
          <w:left w:val="single" w:color="000000" w:sz="18" w:space="8"/>
        </w:pBdr>
        <w:shd w:fill="F2F2F2" w:color="auto" w:val="clear"/>
        <w:spacing w:after="200" w:before="0" w:line="100" w:lineRule="exact"/>
        <w:ind w:left="240" w:right="120"/>
      </w:pPr>
      <w:r>
        <w:rPr>
          <w:rFonts w:ascii="Consolas" w:cs="Consolas" w:eastAsia="Consolas" w:hAnsi="Consolas"/>
          <w:color w:val="000000"/>
          <w:sz w:val="18"/>
          <w:szCs w:val="18"/>
        </w:rPr>
        <w:t xml:space="preserve"/>
      </w:r>
    </w:p>
    <w:p>
      <w:pPr>
        <w:pStyle w:val="Heading2"/>
      </w:pPr>
      <w:r>
        <w:t xml:space="preserve">Response envelope</w:t>
      </w:r>
    </w:p>
    <w:p>
      <w:pPr>
        <w:keepNext/>
        <w:keepLines/>
        <w:pBdr>
          <w:left w:val="single" w:color="000000" w:sz="18" w:space="8"/>
        </w:pBdr>
        <w:shd w:fill="F2F2F2" w:color="auto" w:val="clear"/>
        <w:spacing w:after="0" w:before="0" w:line="100" w:lineRule="exact"/>
        <w:ind w:left="240" w:right="120"/>
      </w:pPr>
      <w:r>
        <w:rPr>
          <w:rFonts w:ascii="Consolas" w:cs="Consolas" w:eastAsia="Consolas" w:hAnsi="Consolas"/>
          <w:color w:val="000000"/>
          <w:sz w:val="18"/>
          <w:szCs w:val="18"/>
        </w:rPr>
        <w:t xml:space="preserve"/>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"accepted": ["edge-device-01-20260921T100000Z-a1b2c3d4"],</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"already_present":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"retryable":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"rejected": [],</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  "server_time": "2026-09-21T10:00:01Z"</w:t>
      </w:r>
    </w:p>
    <w:p>
      <w:pPr>
        <w:keepNext/>
        <w:keepLines/>
        <w:pBdr>
          <w:left w:val="single" w:color="000000" w:sz="18" w:space="8"/>
        </w:pBdr>
        <w:shd w:fill="F2F2F2" w:color="auto" w:val="clear"/>
        <w:spacing w:after="0" w:before="0" w:line="250"/>
        <w:ind w:left="240" w:right="120"/>
      </w:pPr>
      <w:r>
        <w:rPr>
          <w:rFonts w:ascii="Consolas" w:cs="Consolas" w:eastAsia="Consolas" w:hAnsi="Consolas"/>
          <w:color w:val="000000"/>
          <w:sz w:val="18"/>
          <w:szCs w:val="18"/>
        </w:rPr>
        <w:t xml:space="preserve">}</w:t>
      </w:r>
    </w:p>
    <w:p>
      <w:pPr>
        <w:keepNext w:val="false"/>
        <w:keepLines/>
        <w:pBdr>
          <w:left w:val="single" w:color="000000" w:sz="18" w:space="8"/>
        </w:pBdr>
        <w:shd w:fill="F2F2F2" w:color="auto" w:val="clear"/>
        <w:spacing w:after="200" w:before="0" w:line="100" w:lineRule="exact"/>
        <w:ind w:left="240" w:right="120"/>
      </w:pPr>
      <w:r>
        <w:rPr>
          <w:rFonts w:ascii="Consolas" w:cs="Consolas" w:eastAsia="Consolas" w:hAnsi="Consolas"/>
          <w:color w:val="000000"/>
          <w:sz w:val="18"/>
          <w:szCs w:val="18"/>
        </w:rPr>
        <w:t xml:space="preserve"/>
      </w:r>
    </w:p>
    <w:p>
      <w:pPr>
        <w:pStyle w:val="Heading1"/>
      </w:pPr>
      <w:r>
        <w:t xml:space="preserve">10. Operating states</w:t>
      </w:r>
    </w:p>
    <w:p>
      <w:pPr>
        <w:pStyle w:val="ListParagraph"/>
        <w:numPr>
          <w:ilvl w:val="0"/>
          <w:numId w:val="2"/>
        </w:numPr>
        <w:spacing w:after="90" w:line="288"/>
      </w:pPr>
      <w:r>
        <w:rPr>
          <w:b/>
          <w:bCs/>
        </w:rPr>
        <w:t xml:space="preserve">NORMAL:</w:t>
      </w:r>
      <w:r>
        <w:t xml:space="preserve"> collection and synchronization are available.</w:t>
      </w:r>
    </w:p>
    <w:p>
      <w:pPr>
        <w:pStyle w:val="ListParagraph"/>
        <w:numPr>
          <w:ilvl w:val="0"/>
          <w:numId w:val="2"/>
        </w:numPr>
        <w:spacing w:after="90" w:line="288"/>
      </w:pPr>
      <w:r>
        <w:rPr>
          <w:b/>
          <w:bCs/>
        </w:rPr>
        <w:t xml:space="preserve">DEGRADED:</w:t>
      </w:r>
      <w:r>
        <w:t xml:space="preserve"> local collection continues but cloud synchronization is unavailable.</w:t>
      </w:r>
    </w:p>
    <w:p>
      <w:pPr>
        <w:pStyle w:val="ListParagraph"/>
        <w:numPr>
          <w:ilvl w:val="0"/>
          <w:numId w:val="2"/>
        </w:numPr>
        <w:spacing w:after="90" w:line="288"/>
      </w:pPr>
      <w:r>
        <w:rPr>
          <w:b/>
          <w:bCs/>
        </w:rPr>
        <w:t xml:space="preserve">RECOVERING:</w:t>
      </w:r>
      <w:r>
        <w:t xml:space="preserve"> connectivity has returned and pending records are being reconciled.</w:t>
      </w:r>
    </w:p>
    <w:p>
      <w:pPr>
        <w:pStyle w:val="ListParagraph"/>
        <w:numPr>
          <w:ilvl w:val="0"/>
          <w:numId w:val="2"/>
        </w:numPr>
        <w:spacing w:after="90" w:line="288"/>
      </w:pPr>
      <w:r>
        <w:rPr>
          <w:b/>
          <w:bCs/>
        </w:rPr>
        <w:t xml:space="preserve">SAFE-STOP:</w:t>
      </w:r>
      <w:r>
        <w:t xml:space="preserve"> a critical sensor, configuration, or storage fault prevents trustworthy operation; the cause is recorded and confident alerts are disabled.</w:t>
      </w:r>
    </w:p>
    <w:p>
      <w:pPr>
        <w:pStyle w:val="Heading1"/>
      </w:pPr>
      <w:r>
        <w:t xml:space="preserve">11. Algorithm specification</w:t>
      </w:r>
    </w:p>
    <w:p>
      <w:pPr>
        <w:spacing w:after="140" w:line="288"/>
      </w:pPr>
      <w:r>
        <w:t xml:space="preserve">The quality gate checks missingness, finiteness, configured plausibility, quality hints, and short-window instability. The filter computes a median over the recent window.</w:t>
      </w:r>
    </w:p>
    <w:p>
      <w:pPr>
        <w:keepNext/>
        <w:spacing w:after="0"/>
      </w:pPr>
      <w:r>
        <w:t xml:space="preserve">Baseline deviation is:</w:t>
      </w:r>
    </w:p>
    <w:p>
      <w:pPr>
        <w:shd w:fill="F2F2F2" w:color="auto" w:val="clear"/>
        <w:spacing w:after="160" w:before="100"/>
        <w:jc w:val="center"/>
      </w:pPr>
      <w:r>
        <w:rPr>
          <w:rFonts w:ascii="Cambria" w:cs="Cambria" w:eastAsia="Cambria" w:hAnsi="Cambria"/>
          <w:i/>
          <w:iCs/>
          <w:sz w:val="24"/>
          <w:szCs w:val="24"/>
        </w:rPr>
        <w:t xml:space="preserve">d</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x</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b</w:t>
      </w:r>
      <w:r>
        <w:rPr>
          <w:rFonts w:ascii="Cambria" w:cs="Cambria" w:eastAsia="Cambria" w:hAnsi="Cambria"/>
          <w:i/>
          <w:iCs/>
          <w:sz w:val="24"/>
          <w:szCs w:val="24"/>
          <w:vertAlign w:val="subscript"/>
        </w:rPr>
        <w:t xml:space="preserve">t</w:t>
      </w:r>
    </w:p>
    <w:p>
      <w:pPr>
        <w:keepNext/>
        <w:spacing w:after="0"/>
      </w:pPr>
      <w:r>
        <w:t xml:space="preserve">Optional normalized deviation is:</w:t>
      </w:r>
    </w:p>
    <w:p>
      <w:pPr>
        <w:shd w:fill="F2F2F2" w:color="auto" w:val="clear"/>
        <w:spacing w:after="160" w:before="100"/>
        <w:jc w:val="center"/>
      </w:pPr>
      <w:r>
        <w:rPr>
          <w:rFonts w:ascii="Cambria" w:cs="Cambria" w:eastAsia="Cambria" w:hAnsi="Cambria"/>
          <w:i/>
          <w:iCs/>
          <w:sz w:val="24"/>
          <w:szCs w:val="24"/>
        </w:rPr>
        <w:t xml:space="preserve">z</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(x</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b</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(s</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ε)</w:t>
      </w:r>
    </w:p>
    <w:p>
      <w:pPr>
        <w:keepNext/>
        <w:spacing w:after="0"/>
      </w:pPr>
      <w:r>
        <w:t xml:space="preserve">Rules may use deviation, rate-of-change, and persistence. The optional hybrid score is:</w:t>
      </w:r>
    </w:p>
    <w:p>
      <w:pPr>
        <w:shd w:fill="F2F2F2" w:color="auto" w:val="clear"/>
        <w:spacing w:after="160" w:before="100"/>
        <w:jc w:val="center"/>
      </w:pPr>
      <w:r>
        <w:rPr>
          <w:rFonts w:ascii="Cambria" w:cs="Cambria" w:eastAsia="Cambria" w:hAnsi="Cambria"/>
          <w:i/>
          <w:iCs/>
          <w:sz w:val="24"/>
          <w:szCs w:val="24"/>
        </w:rPr>
        <w:t xml:space="preserve">A</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w</w:t>
      </w:r>
      <w:r>
        <w:rPr>
          <w:rFonts w:ascii="Cambria" w:cs="Cambria" w:eastAsia="Cambria" w:hAnsi="Cambria"/>
          <w:i/>
          <w:iCs/>
          <w:sz w:val="24"/>
          <w:szCs w:val="24"/>
          <w:vertAlign w:val="subscript"/>
        </w:rPr>
        <w:t xml:space="preserve">r</w:t>
      </w:r>
      <w:r>
        <w:rPr>
          <w:rFonts w:ascii="Cambria" w:cs="Cambria" w:eastAsia="Cambria" w:hAnsi="Cambria"/>
          <w:i/>
          <w:iCs/>
          <w:sz w:val="24"/>
          <w:szCs w:val="24"/>
        </w:rPr>
        <w:t xml:space="preserve">R</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w</w:t>
      </w:r>
      <w:r>
        <w:rPr>
          <w:rFonts w:ascii="Cambria" w:cs="Cambria" w:eastAsia="Cambria" w:hAnsi="Cambria"/>
          <w:i/>
          <w:iCs/>
          <w:sz w:val="24"/>
          <w:szCs w:val="24"/>
          <w:vertAlign w:val="subscript"/>
        </w:rPr>
        <w:t xml:space="preserve">m</w:t>
      </w:r>
      <w:r>
        <w:rPr>
          <w:rFonts w:ascii="Cambria" w:cs="Cambria" w:eastAsia="Cambria" w:hAnsi="Cambria"/>
          <w:i/>
          <w:iCs/>
          <w:sz w:val="24"/>
          <w:szCs w:val="24"/>
        </w:rPr>
        <w:t xml:space="preserve">M</w:t>
      </w:r>
      <w:r>
        <w:rPr>
          <w:rFonts w:ascii="Cambria" w:cs="Cambria" w:eastAsia="Cambria" w:hAnsi="Cambria"/>
          <w:i/>
          <w:iCs/>
          <w:sz w:val="24"/>
          <w:szCs w:val="24"/>
          <w:vertAlign w:val="subscript"/>
        </w:rPr>
        <w:t xml:space="preserve">t</w:t>
      </w:r>
      <w:r>
        <w:rPr>
          <w:rFonts w:ascii="Cambria" w:cs="Cambria" w:eastAsia="Cambria" w:hAnsi="Cambria"/>
          <w:i/>
          <w:iCs/>
          <w:sz w:val="24"/>
          <w:szCs w:val="24"/>
        </w:rPr>
        <w:t xml:space="preserve"> + w</w:t>
      </w:r>
      <w:r>
        <w:rPr>
          <w:rFonts w:ascii="Cambria" w:cs="Cambria" w:eastAsia="Cambria" w:hAnsi="Cambria"/>
          <w:i/>
          <w:iCs/>
          <w:sz w:val="24"/>
          <w:szCs w:val="24"/>
          <w:vertAlign w:val="subscript"/>
        </w:rPr>
        <w:t xml:space="preserve">p</w:t>
      </w:r>
      <w:r>
        <w:rPr>
          <w:rFonts w:ascii="Cambria" w:cs="Cambria" w:eastAsia="Cambria" w:hAnsi="Cambria"/>
          <w:i/>
          <w:iCs/>
          <w:sz w:val="24"/>
          <w:szCs w:val="24"/>
        </w:rPr>
        <w:t xml:space="preserve">P</w:t>
      </w:r>
      <w:r>
        <w:rPr>
          <w:rFonts w:ascii="Cambria" w:cs="Cambria" w:eastAsia="Cambria" w:hAnsi="Cambria"/>
          <w:i/>
          <w:iCs/>
          <w:sz w:val="24"/>
          <w:szCs w:val="24"/>
          <w:vertAlign w:val="subscript"/>
        </w:rPr>
        <w:t xml:space="preserve">t</w:t>
      </w:r>
    </w:p>
    <w:p>
      <w:pPr>
        <w:spacing w:after="140" w:line="288"/>
      </w:pPr>
      <w:r>
        <w:t xml:space="preserve">where the weights are documented engineering parameters and sum to one. Severity and confidence are separate: poor quality may reduce confidence even when deviation is large.</w:t>
      </w:r>
    </w:p>
    <w:p>
      <w:pPr>
        <w:pStyle w:val="Heading1"/>
      </w:pPr>
      <w:r>
        <w:t xml:space="preserve">12. Security and privacy requirements</w:t>
      </w:r>
    </w:p>
    <w:p>
      <w:pPr>
        <w:spacing w:after="140" w:line="288"/>
      </w:pPr>
      <w:r>
        <w:t xml:space="preserve">The device shall have a unique logical identifier. Credentials shall not be hard-coded or committed. Data in transit shall use authenticated TLS or an equivalent protected channel. The API shall authorize devices and validate schema. Logs shall redact secrets and unnecessary health data. Local retention and storage-pressure behavior shall be documented. Development shall prefer synthetic, public, or consented non-identifying data. The interface shall state that alerts require human review and are not diagnoses. The design aligns its capstone-scale controls with NIST IoT device identity, configuration, and data-protection capabilities.[1]</w:t>
      </w:r>
    </w:p>
    <w:p>
      <w:pPr>
        <w:pStyle w:val="Heading1"/>
      </w:pPr>
      <w:r>
        <w:t xml:space="preserve">13. Acceptance criteria</w:t>
      </w:r>
    </w:p>
    <w:p>
      <w:pPr>
        <w:spacing w:after="140" w:line="288"/>
      </w:pPr>
      <w:r>
        <w:t xml:space="preserve">The Review–2 minimum acceptance baseline is satisfied when the team can show: a normalized sample path; a quality-aware decision; local persistence; a pending queue; an explanation record; a documented API contract; a network-outage state transition; and a smoke test that executes without syntax failure.</w:t>
      </w:r>
    </w:p>
    <w:p>
      <w:pPr>
        <w:spacing w:after="140" w:line="288"/>
      </w:pPr>
      <w:r>
        <w:t xml:space="preserve">Full acceptance for the later project requires physical sensor acquisition, authenticated cloud ingestion, duplicate-safe reconciliation, dashboard visibility, controlled test runs, and measured metrics.</w:t>
      </w:r>
    </w:p>
    <w:p>
      <w:pPr>
        <w:pStyle w:val="Heading1"/>
      </w:pPr>
      <w:r>
        <w:t xml:space="preserve">14. Traceability</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300"/>
        <w:gridCol w:w="2900"/>
        <w:gridCol w:w="3438"/>
      </w:tblGrid>
      <w:tr>
        <w:trPr>
          <w:cantSplit/>
          <w:tblHeader/>
        </w:trPr>
        <w:tc>
          <w:tcPr>
            <w:tcW w:type="dxa" w:w="33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Objective</w:t>
            </w:r>
          </w:p>
        </w:tc>
        <w:tc>
          <w:tcPr>
            <w:tcW w:type="dxa" w:w="29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Requirements</w:t>
            </w:r>
          </w:p>
        </w:tc>
        <w:tc>
          <w:tcPr>
            <w:tcW w:type="dxa" w:w="3438"/>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Evidence</w:t>
            </w:r>
          </w:p>
        </w:tc>
      </w:tr>
      <w:tr>
        <w:trPr>
          <w:cantSplit/>
        </w:trPr>
        <w:tc>
          <w:tcPr>
            <w:tcW w:type="dxa" w:w="33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Collect physiological/environmental readings</w:t>
            </w:r>
          </w:p>
        </w:tc>
        <w:tc>
          <w:tcPr>
            <w:tcW w:type="dxa" w:w="2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FR-01–FR-03</w:t>
            </w:r>
          </w:p>
        </w:tc>
        <w:tc>
          <w:tcPr>
            <w:tcW w:type="dxa" w:w="34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Sensor/fixture logs and observation schema</w:t>
            </w:r>
          </w:p>
        </w:tc>
      </w:tr>
      <w:tr>
        <w:trPr>
          <w:cantSplit/>
        </w:trPr>
        <w:tc>
          <w:tcPr>
            <w:tcW w:type="dxa" w:w="33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Reduce noise and identify unreliable data</w:t>
            </w:r>
          </w:p>
        </w:tc>
        <w:tc>
          <w:tcPr>
            <w:tcW w:type="dxa" w:w="2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FR-04–FR-06</w:t>
            </w:r>
          </w:p>
        </w:tc>
        <w:tc>
          <w:tcPr>
            <w:tcW w:type="dxa" w:w="34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Quality and filter test cases</w:t>
            </w:r>
          </w:p>
        </w:tc>
      </w:tr>
      <w:tr>
        <w:trPr>
          <w:cantSplit/>
        </w:trPr>
        <w:tc>
          <w:tcPr>
            <w:tcW w:type="dxa" w:w="33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Combine rules and lightweight ML</w:t>
            </w:r>
          </w:p>
        </w:tc>
        <w:tc>
          <w:tcPr>
            <w:tcW w:type="dxa" w:w="2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FR-06–FR-08</w:t>
            </w:r>
          </w:p>
        </w:tc>
        <w:tc>
          <w:tcPr>
            <w:tcW w:type="dxa" w:w="34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Decision records and model configuration</w:t>
            </w:r>
          </w:p>
        </w:tc>
      </w:tr>
      <w:tr>
        <w:trPr>
          <w:cantSplit/>
        </w:trPr>
        <w:tc>
          <w:tcPr>
            <w:tcW w:type="dxa" w:w="33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Secure transfer</w:t>
            </w:r>
          </w:p>
        </w:tc>
        <w:tc>
          <w:tcPr>
            <w:tcW w:type="dxa" w:w="2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FR-12, FR-14, NFR-05</w:t>
            </w:r>
          </w:p>
        </w:tc>
        <w:tc>
          <w:tcPr>
            <w:tcW w:type="dxa" w:w="34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API contract, credential and TLS configuration</w:t>
            </w:r>
          </w:p>
        </w:tc>
      </w:tr>
      <w:tr>
        <w:trPr>
          <w:cantSplit/>
        </w:trPr>
        <w:tc>
          <w:tcPr>
            <w:tcW w:type="dxa" w:w="33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Preserve data during outages</w:t>
            </w:r>
          </w:p>
        </w:tc>
        <w:tc>
          <w:tcPr>
            <w:tcW w:type="dxa" w:w="2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FR-09–FR-13, NFR-02–NFR-03</w:t>
            </w:r>
          </w:p>
        </w:tc>
        <w:tc>
          <w:tcPr>
            <w:tcW w:type="dxa" w:w="34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Outage/retry/idempotency tests</w:t>
            </w:r>
          </w:p>
        </w:tc>
      </w:tr>
      <w:tr>
        <w:trPr>
          <w:cantSplit/>
        </w:trPr>
        <w:tc>
          <w:tcPr>
            <w:tcW w:type="dxa" w:w="33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Provide understandable dashboard alerts</w:t>
            </w:r>
          </w:p>
        </w:tc>
        <w:tc>
          <w:tcPr>
            <w:tcW w:type="dxa" w:w="2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FR-08, FR-15–FR-16, NFR-04, NFR-08</w:t>
            </w:r>
          </w:p>
        </w:tc>
        <w:tc>
          <w:tcPr>
            <w:tcW w:type="dxa" w:w="34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Alert record and dashboard inspection</w:t>
            </w:r>
          </w:p>
        </w:tc>
      </w:tr>
    </w:tbl>
    <w:p>
      <w:pPr>
        <w:spacing w:after="160" w:line="120" w:lineRule="exact"/>
      </w:pPr>
    </w:p>
    <w:p>
      <w:pPr>
        <w:pStyle w:val="Heading1"/>
      </w:pPr>
      <w:r>
        <w:t xml:space="preserve">15. Review–2 test matrix</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00"/>
        <w:gridCol w:w="2500"/>
        <w:gridCol w:w="4238"/>
        <w:gridCol w:w="1900"/>
      </w:tblGrid>
      <w:tr>
        <w:trPr>
          <w:cantSplit/>
          <w:tblHeader/>
        </w:trPr>
        <w:tc>
          <w:tcPr>
            <w:tcW w:type="dxa" w:w="10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Test ID</w:t>
            </w:r>
          </w:p>
        </w:tc>
        <w:tc>
          <w:tcPr>
            <w:tcW w:type="dxa" w:w="25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Scenario</w:t>
            </w:r>
          </w:p>
        </w:tc>
        <w:tc>
          <w:tcPr>
            <w:tcW w:type="dxa" w:w="4238"/>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Expected result</w:t>
            </w:r>
          </w:p>
        </w:tc>
        <w:tc>
          <w:tcPr>
            <w:tcW w:type="dxa" w:w="1900"/>
            <w:tcBorders>
              <w:top w:val="single" w:color="808080" w:sz="4"/>
              <w:left w:val="single" w:color="808080" w:sz="4"/>
              <w:bottom w:val="single" w:color="808080" w:sz="4"/>
              <w:right w:val="single" w:color="808080" w:sz="4"/>
            </w:tcBorders>
            <w:shd w:fill="D9D9D9" w:color="auto" w:val="clear"/>
            <w:tcMar>
              <w:top w:type="dxa" w:w="70"/>
              <w:left w:type="dxa" w:w="110"/>
              <w:bottom w:type="dxa" w:w="70"/>
              <w:right w:type="dxa" w:w="110"/>
            </w:tcMar>
            <w:vAlign w:val="center"/>
          </w:tcPr>
          <w:p>
            <w:pPr>
              <w:spacing w:after="0" w:line="259"/>
              <w:jc w:val="left"/>
            </w:pPr>
            <w:r>
              <w:rPr>
                <w:b/>
                <w:bCs/>
                <w:color w:val="000000"/>
                <w:sz w:val="20"/>
                <w:szCs w:val="20"/>
              </w:rPr>
              <w:t xml:space="preserve">Owner</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T-01</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Sensor/fixture sample acquisition</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Normalized sample contains value, unit, sensor, and timestamp</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Kushal</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T-02</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Event ID creation</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Event ID exists before any sync attempt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Kishan</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T-03</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SQLite insertion</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Observation is locally durable and queryable</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Kishan</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T-04</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Missing/out-of-range sample</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INVALID or LOW status; no high-confidence alert</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Kishan</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T-05</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Isolated spike</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Processed value and reason code show filtering/instability behavior</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Kishan</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T-06</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Baseline deviation</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Deviation and rule reason are recorded</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Kishan</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T-07</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Optional model path</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Model score is logged and invalid quality blocks confident scoring</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Kishan / Varun</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T-08</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Explanation fidelity</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Reason code matches changed input condition</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Gopi</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T-09</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Write-before-send</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Local record exists when sender raises timeout</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Kishan / Varun</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T-10</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Network outage</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Queue remains pending; state becomes DEGRADED</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Varun</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T-11</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Reconnection</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Pending records drain in event-time order</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Varun</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T-12</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Duplicate retry</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Already-present event is not inserted twice</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Varun</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T-13</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Auth/schema failure</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Record remains local; failure is categorized and audited</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Varun</w:t>
            </w:r>
          </w:p>
        </w:tc>
      </w:tr>
      <w:tr>
        <w:trPr>
          <w:cantSplit/>
        </w:trPr>
        <w:tc>
          <w:tcPr>
            <w:tcW w:type="dxa" w:w="10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b/>
                <w:bCs/>
                <w:sz w:val="20"/>
                <w:szCs w:val="20"/>
              </w:rPr>
              <w:t xml:space="preserve">T-14</w:t>
            </w:r>
          </w:p>
        </w:tc>
        <w:tc>
          <w:tcPr>
            <w:tcW w:type="dxa" w:w="25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Resource run</w:t>
            </w:r>
          </w:p>
        </w:tc>
        <w:tc>
          <w:tcPr>
            <w:tcW w:type="dxa" w:w="4238"/>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CPU, memory, latency, and queue depth are recorded</w:t>
            </w:r>
          </w:p>
        </w:tc>
        <w:tc>
          <w:tcPr>
            <w:tcW w:type="dxa" w:w="1900"/>
            <w:tcBorders>
              <w:top w:val="single" w:color="808080" w:sz="4"/>
              <w:left w:val="single" w:color="808080" w:sz="4"/>
              <w:bottom w:val="single" w:color="808080" w:sz="4"/>
              <w:right w:val="single" w:color="808080" w:sz="4"/>
            </w:tcBorders>
            <w:shd w:fill="F5F5F5" w:color="auto" w:val="clear"/>
            <w:tcMar>
              <w:top w:type="dxa" w:w="70"/>
              <w:left w:type="dxa" w:w="110"/>
              <w:bottom w:type="dxa" w:w="70"/>
              <w:right w:type="dxa" w:w="110"/>
            </w:tcMar>
            <w:vAlign w:val="center"/>
          </w:tcPr>
          <w:p>
            <w:pPr>
              <w:spacing w:after="0" w:line="259"/>
              <w:jc w:val="left"/>
            </w:pPr>
            <w:r>
              <w:rPr>
                <w:sz w:val="20"/>
                <w:szCs w:val="20"/>
              </w:rPr>
              <w:t xml:space="preserve">Gopi</w:t>
            </w:r>
          </w:p>
        </w:tc>
      </w:tr>
      <w:tr>
        <w:trPr>
          <w:cantSplit/>
        </w:trPr>
        <w:tc>
          <w:tcPr>
            <w:tcW w:type="dxa" w:w="10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b/>
                <w:bCs/>
                <w:sz w:val="20"/>
                <w:szCs w:val="20"/>
              </w:rPr>
              <w:t xml:space="preserve">T-15</w:t>
            </w:r>
          </w:p>
        </w:tc>
        <w:tc>
          <w:tcPr>
            <w:tcW w:type="dxa" w:w="25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Disclaimer and dashboard</w:t>
            </w:r>
          </w:p>
        </w:tc>
        <w:tc>
          <w:tcPr>
            <w:tcW w:type="dxa" w:w="4238"/>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User sees status, reasons, and non-diagnostic scope</w:t>
            </w:r>
          </w:p>
        </w:tc>
        <w:tc>
          <w:tcPr>
            <w:tcW w:type="dxa" w:w="1900"/>
            <w:tcBorders>
              <w:top w:val="single" w:color="808080" w:sz="4"/>
              <w:left w:val="single" w:color="808080" w:sz="4"/>
              <w:bottom w:val="single" w:color="808080" w:sz="4"/>
              <w:right w:val="single" w:color="808080" w:sz="4"/>
            </w:tcBorders>
            <w:shd w:fill="FFFFFF" w:color="auto" w:val="clear"/>
            <w:tcMar>
              <w:top w:type="dxa" w:w="70"/>
              <w:left w:type="dxa" w:w="110"/>
              <w:bottom w:type="dxa" w:w="70"/>
              <w:right w:type="dxa" w:w="110"/>
            </w:tcMar>
            <w:vAlign w:val="center"/>
          </w:tcPr>
          <w:p>
            <w:pPr>
              <w:spacing w:after="0" w:line="259"/>
              <w:jc w:val="left"/>
            </w:pPr>
            <w:r>
              <w:rPr>
                <w:sz w:val="20"/>
                <w:szCs w:val="20"/>
              </w:rPr>
              <w:t xml:space="preserve">Gopi</w:t>
            </w:r>
          </w:p>
        </w:tc>
      </w:tr>
    </w:tbl>
    <w:p>
      <w:pPr>
        <w:spacing w:after="160" w:line="120" w:lineRule="exact"/>
      </w:pPr>
    </w:p>
    <w:p>
      <w:pPr>
        <w:pStyle w:val="Heading1"/>
      </w:pPr>
      <w:r>
        <w:t xml:space="preserve">References</w:t>
      </w:r>
    </w:p>
    <w:p>
      <w:pPr>
        <w:tabs>
          <w:tab w:val="left" w:pos="500"/>
        </w:tabs>
        <w:spacing w:after="110" w:line="276"/>
        <w:ind w:left="500" w:hanging="500"/>
      </w:pPr>
      <w:r>
        <w:rPr>
          <w:b/>
          <w:bCs/>
          <w:color w:val="000000"/>
        </w:rPr>
        <w:t xml:space="preserve">[1]	</w:t>
      </w:r>
      <w:r>
        <w:t xml:space="preserve">NISTIR 8259A IoT Device Cybersecurity Capability Core Baseline — </w:t>
      </w:r>
      <w:hyperlink w:history="1" r:id="rId7ky6kpb8dy34yidjwfvkd">
        <w:r>
          <w:rPr>
            <w:rStyle w:val="Hyperlink"/>
          </w:rPr>
          <w:t xml:space="preserve">https://doi.org/10.6028/NIST.IR.8259A</w:t>
        </w:r>
      </w:hyperlink>
    </w:p>
    <w:p>
      <w:pPr>
        <w:tabs>
          <w:tab w:val="left" w:pos="500"/>
        </w:tabs>
        <w:spacing w:after="110" w:line="276"/>
        <w:ind w:left="500" w:hanging="500"/>
      </w:pPr>
      <w:r>
        <w:rPr>
          <w:b/>
          <w:bCs/>
          <w:color w:val="000000"/>
        </w:rPr>
        <w:t xml:space="preserve">[2]	</w:t>
      </w:r>
      <w:r>
        <w:t xml:space="preserve">scikit-learn IsolationForest API Reference — </w:t>
      </w:r>
      <w:hyperlink w:history="1" r:id="rId2txcpaxbrezu0g7gokgwn">
        <w:r>
          <w:rPr>
            <w:rStyle w:val="Hyperlink"/>
          </w:rPr>
          <w:t xml:space="preserve">https://scikit-learn.org/stable/modules/generated/sklearn.ensemble.IsolationForest.html</w:t>
        </w:r>
      </w:hyperlink>
    </w:p>
    <w:p>
      <w:pPr>
        <w:tabs>
          <w:tab w:val="left" w:pos="500"/>
        </w:tabs>
        <w:spacing w:after="110" w:line="276"/>
        <w:ind w:left="500" w:hanging="500"/>
      </w:pPr>
      <w:r>
        <w:rPr>
          <w:b/>
          <w:bCs/>
          <w:color w:val="000000"/>
        </w:rPr>
        <w:t xml:space="preserve">[3]	</w:t>
      </w:r>
      <w:r>
        <w:t xml:space="preserve">HL7 FHIR Release 5 Specification — </w:t>
      </w:r>
      <w:hyperlink w:history="1" r:id="rIdxeqfgsmt3n9hsp6uu392a">
        <w:r>
          <w:rPr>
            <w:rStyle w:val="Hyperlink"/>
          </w:rPr>
          <w:t xml:space="preserve">https://hl7.org/fhir/</w:t>
        </w:r>
      </w:hyperlink>
    </w:p>
    <w:sectPr>
      <w:headerReference w:type="default" r:id="rId7"/>
      <w:footerReference w:type="default" r:id="rId8"/>
      <w:pgSz w:w="11906" w:h="16838" w:orient="portrait"/>
      <w:pgMar w:top="1300" w:right="1134" w:bottom="1200" w:left="1134" w:header="600" w:footer="500"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404040"/>
        <w:sz w:val="17"/>
        <w:szCs w:val="17"/>
      </w:rPr>
      <w:t xml:space="preserve">Review–2 baseline  ·  September 2026  ·  Page </w:t>
    </w:r>
    <w:r>
      <w:rPr>
        <w:color w:val="404040"/>
        <w:sz w:val="17"/>
        <w:szCs w:val="17"/>
      </w:rPr>
      <w:fldChar w:fldCharType="begin"/>
      <w:instrText xml:space="preserve">PAGE</w:instrText>
      <w:fldChar w:fldCharType="separate"/>
      <w:fldChar w:fldCharType="end"/>
    </w:r>
    <w:r>
      <w:rPr>
        <w:color w:val="404040"/>
        <w:sz w:val="17"/>
        <w:szCs w:val="17"/>
      </w:rPr>
      <w:t xml:space="preserve"> of </w:t>
    </w:r>
    <w:r>
      <w:rPr>
        <w:color w:val="404040"/>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808080" w:sz="4" w:space="4"/>
      </w:pBdr>
      <w:jc w:val="right"/>
    </w:pPr>
    <w:r>
      <w:rPr>
        <w:color w:val="404040"/>
        <w:sz w:val="17"/>
        <w:szCs w:val="17"/>
      </w:rPr>
      <w:t xml:space="preserve">SRS  |  Cloud-Based IoT Health Monitoring System</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rPr>
        <w:color w:val="000000"/>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00000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pBdr>
        <w:bottom w:val="single" w:color="808080" w:sz="6" w:space="3"/>
      </w:pBdr>
      <w:spacing w:after="140" w:before="360"/>
      <w:outlineLvl w:val="0"/>
    </w:pPr>
    <w:rPr>
      <w:rFonts w:ascii="Calibri" w:cs="Calibri" w:eastAsia="Calibri" w:hAnsi="Calibri"/>
      <w:b/>
      <w:bCs/>
      <w:color w:val="000000"/>
      <w:sz w:val="30"/>
      <w:szCs w:val="30"/>
    </w:rPr>
  </w:style>
  <w:style w:type="paragraph" w:styleId="Heading2">
    <w:name w:val="Heading 2"/>
    <w:basedOn w:val="Normal"/>
    <w:next w:val="Normal"/>
    <w:qFormat/>
    <w:pPr>
      <w:keepNext/>
      <w:spacing w:after="100" w:before="220"/>
      <w:outlineLvl w:val="1"/>
    </w:pPr>
    <w:rPr>
      <w:rFonts w:ascii="Calibri" w:cs="Calibri" w:eastAsia="Calibri" w:hAnsi="Calibri"/>
      <w:b/>
      <w:bCs/>
      <w:color w:val="000000"/>
      <w:sz w:val="25"/>
      <w:szCs w:val="25"/>
    </w:rPr>
  </w:style>
  <w:style w:type="character" w:styleId="Hyperlink">
    <w:name w:val="Hyperlink"/>
    <w:basedOn w:val="DefaultParagraphFont"/>
    <w:uiPriority w:val="99"/>
    <w:unhideWhenUsed/>
    <w:rPr>
      <w:color w:val="000000"/>
      <w:u w:val="single"/>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7ky6kpb8dy34yidjwfvkd" Type="http://schemas.openxmlformats.org/officeDocument/2006/relationships/hyperlink" Target="https://doi.org/10.6028/NIST.IR.8259A" TargetMode="External"/><Relationship Id="rId2txcpaxbrezu0g7gokgwn" Type="http://schemas.openxmlformats.org/officeDocument/2006/relationships/hyperlink" Target="https://scikit-learn.org/stable/modules/generated/sklearn.ensemble.IsolationForest.html" TargetMode="External"/><Relationship Id="rIdxeqfgsmt3n9hsp6uu392a" Type="http://schemas.openxmlformats.org/officeDocument/2006/relationships/hyperlink" Target="https://hl7.org/fhir/" TargetMode="External"/><Relationship Id="rId1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(SRS) – Cloud-Based IoT Health Monitoring System</dc:title>
  <dc:creator>Capstone Project Team</dc:creator>
  <cp:lastModifiedBy>Un-named</cp:lastModifiedBy>
  <cp:revision>1</cp:revision>
  <dcterms:created xsi:type="dcterms:W3CDTF">2026-09-21T04:46:02.716Z</dcterms:created>
  <dcterms:modified xsi:type="dcterms:W3CDTF">2026-09-21T04:46:02.716Z</dcterms:modified>
</cp:coreProperties>
</file>

<file path=docProps/custom.xml><?xml version="1.0" encoding="utf-8"?>
<Properties xmlns="http://schemas.openxmlformats.org/officeDocument/2006/custom-properties" xmlns:vt="http://schemas.openxmlformats.org/officeDocument/2006/docPropsVTypes"/>
</file>