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5BD5" w14:textId="77777777" w:rsidR="00125053" w:rsidRDefault="00980A07">
      <w:pPr>
        <w:spacing w:after="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NOTE ON KEY INCOME-TAX ADJUSTMENTS</w:t>
      </w:r>
    </w:p>
    <w:p w14:paraId="5EA5C9A7" w14:textId="2EA70690" w:rsidR="00125053" w:rsidRDefault="00111A12">
      <w:pPr>
        <w:pBdr>
          <w:bottom w:val="single" w:sz="6" w:space="8" w:color="999999"/>
        </w:pBdr>
        <w:spacing w:after="40"/>
        <w:jc w:val="center"/>
      </w:pPr>
      <w:r>
        <w:rPr>
          <w:rFonts w:ascii="Arial" w:eastAsia="Arial" w:hAnsi="Arial" w:cs="Arial"/>
          <w:i/>
          <w:iCs/>
          <w:color w:val="595959"/>
        </w:rPr>
        <w:t>East Industries</w:t>
      </w:r>
      <w:r w:rsidR="00980A07">
        <w:rPr>
          <w:rFonts w:ascii="Arial" w:eastAsia="Arial" w:hAnsi="Arial" w:cs="Arial"/>
          <w:i/>
          <w:iCs/>
          <w:color w:val="595959"/>
        </w:rPr>
        <w:t xml:space="preserve"> Private Limited — FY 2025-26 (Illustrative</w:t>
      </w:r>
      <w:r w:rsidR="00CA079E">
        <w:rPr>
          <w:rFonts w:ascii="Arial" w:eastAsia="Arial" w:hAnsi="Arial" w:cs="Arial"/>
          <w:i/>
          <w:iCs/>
          <w:color w:val="595959"/>
        </w:rPr>
        <w:t xml:space="preserve"> </w:t>
      </w:r>
      <w:r w:rsidR="00980A07">
        <w:rPr>
          <w:rFonts w:ascii="Arial" w:eastAsia="Arial" w:hAnsi="Arial" w:cs="Arial"/>
          <w:i/>
          <w:iCs/>
          <w:color w:val="595959"/>
        </w:rPr>
        <w:t>Project)</w:t>
      </w:r>
    </w:p>
    <w:p w14:paraId="1935EC41" w14:textId="77777777" w:rsidR="00125053" w:rsidRDefault="00125053">
      <w:pPr>
        <w:spacing w:after="160"/>
      </w:pPr>
    </w:p>
    <w:p w14:paraId="44B53242" w14:textId="233B42CD" w:rsidR="00125053" w:rsidRDefault="00980A07">
      <w:pPr>
        <w:spacing w:after="160"/>
        <w:jc w:val="both"/>
      </w:pPr>
      <w:r>
        <w:rPr>
          <w:rFonts w:ascii="Arial" w:eastAsia="Arial" w:hAnsi="Arial" w:cs="Arial"/>
          <w:sz w:val="21"/>
          <w:szCs w:val="21"/>
        </w:rPr>
        <w:t xml:space="preserve">This note accompanies the Corporate Income Tax (CIT) computation workbook prepared for </w:t>
      </w:r>
      <w:r w:rsidR="00905CF8">
        <w:rPr>
          <w:rFonts w:ascii="Arial" w:eastAsia="Arial" w:hAnsi="Arial" w:cs="Arial"/>
          <w:sz w:val="21"/>
          <w:szCs w:val="21"/>
        </w:rPr>
        <w:t>East Industries</w:t>
      </w:r>
      <w:r>
        <w:rPr>
          <w:rFonts w:ascii="Arial" w:eastAsia="Arial" w:hAnsi="Arial" w:cs="Arial"/>
          <w:sz w:val="21"/>
          <w:szCs w:val="21"/>
        </w:rPr>
        <w:t xml:space="preserve"> Private Limited, a fictional company used for a self-study project. It explains the reasoning behind three adjustments that required judgment: CSR expenditure, donations, and the provision for doubtful debts, and summarises the resulting tax liability.</w:t>
      </w:r>
    </w:p>
    <w:p w14:paraId="7655F41A" w14:textId="77777777" w:rsidR="00125053" w:rsidRDefault="00980A07">
      <w:pPr>
        <w:pStyle w:val="Heading2"/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1. CSR Expenditure</w:t>
      </w:r>
    </w:p>
    <w:p w14:paraId="5A827963" w14:textId="0A98B663" w:rsidR="00125053" w:rsidRDefault="00D94F2D">
      <w:pPr>
        <w:spacing w:after="160"/>
        <w:jc w:val="both"/>
      </w:pPr>
      <w:r>
        <w:rPr>
          <w:rFonts w:ascii="Arial" w:eastAsia="Arial" w:hAnsi="Arial" w:cs="Arial"/>
          <w:sz w:val="21"/>
          <w:szCs w:val="21"/>
        </w:rPr>
        <w:t>East Industries</w:t>
      </w:r>
      <w:r w:rsidR="00980A07">
        <w:rPr>
          <w:rFonts w:ascii="Arial" w:eastAsia="Arial" w:hAnsi="Arial" w:cs="Arial"/>
          <w:sz w:val="21"/>
          <w:szCs w:val="21"/>
        </w:rPr>
        <w:t xml:space="preserve"> Statement of Profit &amp; Loss includes CSR expenditure of Rs. </w:t>
      </w:r>
      <w:r w:rsidR="008E2766">
        <w:rPr>
          <w:rFonts w:ascii="Arial" w:eastAsia="Arial" w:hAnsi="Arial" w:cs="Arial"/>
          <w:sz w:val="21"/>
          <w:szCs w:val="21"/>
        </w:rPr>
        <w:t>3</w:t>
      </w:r>
      <w:r w:rsidR="00980A07">
        <w:rPr>
          <w:rFonts w:ascii="Arial" w:eastAsia="Arial" w:hAnsi="Arial" w:cs="Arial"/>
          <w:sz w:val="21"/>
          <w:szCs w:val="21"/>
        </w:rPr>
        <w:t>,00,000, incurred to meet its obligation</w:t>
      </w:r>
      <w:r w:rsidR="00980A07">
        <w:rPr>
          <w:rFonts w:ascii="Arial" w:eastAsia="Arial" w:hAnsi="Arial" w:cs="Arial"/>
          <w:sz w:val="21"/>
          <w:szCs w:val="21"/>
        </w:rPr>
        <w:t xml:space="preserve"> </w:t>
      </w:r>
      <w:r w:rsidR="00980A07">
        <w:rPr>
          <w:rFonts w:ascii="Arial" w:eastAsia="Arial" w:hAnsi="Arial" w:cs="Arial"/>
          <w:sz w:val="21"/>
          <w:szCs w:val="21"/>
        </w:rPr>
        <w:t>u</w:t>
      </w:r>
      <w:r w:rsidR="00980A07">
        <w:rPr>
          <w:rFonts w:ascii="Arial" w:eastAsia="Arial" w:hAnsi="Arial" w:cs="Arial"/>
          <w:sz w:val="21"/>
          <w:szCs w:val="21"/>
        </w:rPr>
        <w:t>n</w:t>
      </w:r>
      <w:r w:rsidR="00980A07">
        <w:rPr>
          <w:rFonts w:ascii="Arial" w:eastAsia="Arial" w:hAnsi="Arial" w:cs="Arial"/>
          <w:sz w:val="21"/>
          <w:szCs w:val="21"/>
        </w:rPr>
        <w:t>d</w:t>
      </w:r>
      <w:r w:rsidR="00980A07">
        <w:rPr>
          <w:rFonts w:ascii="Arial" w:eastAsia="Arial" w:hAnsi="Arial" w:cs="Arial"/>
          <w:sz w:val="21"/>
          <w:szCs w:val="21"/>
        </w:rPr>
        <w:t>e</w:t>
      </w:r>
      <w:r w:rsidR="00980A07">
        <w:rPr>
          <w:rFonts w:ascii="Arial" w:eastAsia="Arial" w:hAnsi="Arial" w:cs="Arial"/>
          <w:sz w:val="21"/>
          <w:szCs w:val="21"/>
        </w:rPr>
        <w:t>r</w:t>
      </w:r>
      <w:r w:rsidR="00FD52CC">
        <w:rPr>
          <w:rFonts w:ascii="Arial" w:eastAsia="Arial" w:hAnsi="Arial" w:cs="Arial"/>
          <w:sz w:val="21"/>
          <w:szCs w:val="21"/>
        </w:rPr>
        <w:t xml:space="preserve"> the relevant Section</w:t>
      </w:r>
      <w:r w:rsidR="00980A07">
        <w:rPr>
          <w:rFonts w:ascii="Arial" w:eastAsia="Arial" w:hAnsi="Arial" w:cs="Arial"/>
          <w:sz w:val="21"/>
          <w:szCs w:val="21"/>
        </w:rPr>
        <w:t xml:space="preserve"> </w:t>
      </w:r>
      <w:r w:rsidR="00980A07">
        <w:rPr>
          <w:rFonts w:ascii="Arial" w:eastAsia="Arial" w:hAnsi="Arial" w:cs="Arial"/>
          <w:sz w:val="21"/>
          <w:szCs w:val="21"/>
        </w:rPr>
        <w:t>o</w:t>
      </w:r>
      <w:r w:rsidR="00980A07">
        <w:rPr>
          <w:rFonts w:ascii="Arial" w:eastAsia="Arial" w:hAnsi="Arial" w:cs="Arial"/>
          <w:sz w:val="21"/>
          <w:szCs w:val="21"/>
        </w:rPr>
        <w:t>f</w:t>
      </w:r>
      <w:r w:rsidR="00980A07">
        <w:rPr>
          <w:rFonts w:ascii="Arial" w:eastAsia="Arial" w:hAnsi="Arial" w:cs="Arial"/>
          <w:sz w:val="21"/>
          <w:szCs w:val="21"/>
        </w:rPr>
        <w:t xml:space="preserve"> </w:t>
      </w:r>
      <w:r w:rsidR="00980A07">
        <w:rPr>
          <w:rFonts w:ascii="Arial" w:eastAsia="Arial" w:hAnsi="Arial" w:cs="Arial"/>
          <w:sz w:val="21"/>
          <w:szCs w:val="21"/>
        </w:rPr>
        <w:t>t</w:t>
      </w:r>
      <w:r w:rsidR="00980A07">
        <w:rPr>
          <w:rFonts w:ascii="Arial" w:eastAsia="Arial" w:hAnsi="Arial" w:cs="Arial"/>
          <w:sz w:val="21"/>
          <w:szCs w:val="21"/>
        </w:rPr>
        <w:t>h</w:t>
      </w:r>
      <w:r w:rsidR="00980A07">
        <w:rPr>
          <w:rFonts w:ascii="Arial" w:eastAsia="Arial" w:hAnsi="Arial" w:cs="Arial"/>
          <w:sz w:val="21"/>
          <w:szCs w:val="21"/>
        </w:rPr>
        <w:t>e</w:t>
      </w:r>
      <w:r w:rsidR="00980A07">
        <w:rPr>
          <w:rFonts w:ascii="Arial" w:eastAsia="Arial" w:hAnsi="Arial" w:cs="Arial"/>
          <w:sz w:val="21"/>
          <w:szCs w:val="21"/>
        </w:rPr>
        <w:t xml:space="preserve"> </w:t>
      </w:r>
      <w:r w:rsidR="00980A07">
        <w:rPr>
          <w:rFonts w:ascii="Arial" w:eastAsia="Arial" w:hAnsi="Arial" w:cs="Arial"/>
          <w:sz w:val="21"/>
          <w:szCs w:val="21"/>
        </w:rPr>
        <w:t>C</w:t>
      </w:r>
      <w:r w:rsidR="00980A07">
        <w:rPr>
          <w:rFonts w:ascii="Arial" w:eastAsia="Arial" w:hAnsi="Arial" w:cs="Arial"/>
          <w:sz w:val="21"/>
          <w:szCs w:val="21"/>
        </w:rPr>
        <w:t>o</w:t>
      </w:r>
      <w:r w:rsidR="00980A07">
        <w:rPr>
          <w:rFonts w:ascii="Arial" w:eastAsia="Arial" w:hAnsi="Arial" w:cs="Arial"/>
          <w:sz w:val="21"/>
          <w:szCs w:val="21"/>
        </w:rPr>
        <w:t>m</w:t>
      </w:r>
      <w:r w:rsidR="00980A07">
        <w:rPr>
          <w:rFonts w:ascii="Arial" w:eastAsia="Arial" w:hAnsi="Arial" w:cs="Arial"/>
          <w:sz w:val="21"/>
          <w:szCs w:val="21"/>
        </w:rPr>
        <w:t>p</w:t>
      </w:r>
      <w:r w:rsidR="00980A07">
        <w:rPr>
          <w:rFonts w:ascii="Arial" w:eastAsia="Arial" w:hAnsi="Arial" w:cs="Arial"/>
          <w:sz w:val="21"/>
          <w:szCs w:val="21"/>
        </w:rPr>
        <w:t>a</w:t>
      </w:r>
      <w:r w:rsidR="00980A07">
        <w:rPr>
          <w:rFonts w:ascii="Arial" w:eastAsia="Arial" w:hAnsi="Arial" w:cs="Arial"/>
          <w:sz w:val="21"/>
          <w:szCs w:val="21"/>
        </w:rPr>
        <w:t>n</w:t>
      </w:r>
      <w:r w:rsidR="00980A07">
        <w:rPr>
          <w:rFonts w:ascii="Arial" w:eastAsia="Arial" w:hAnsi="Arial" w:cs="Arial"/>
          <w:sz w:val="21"/>
          <w:szCs w:val="21"/>
        </w:rPr>
        <w:t>i</w:t>
      </w:r>
      <w:r w:rsidR="00980A07">
        <w:rPr>
          <w:rFonts w:ascii="Arial" w:eastAsia="Arial" w:hAnsi="Arial" w:cs="Arial"/>
          <w:sz w:val="21"/>
          <w:szCs w:val="21"/>
        </w:rPr>
        <w:t>e</w:t>
      </w:r>
      <w:r w:rsidR="00980A07">
        <w:rPr>
          <w:rFonts w:ascii="Arial" w:eastAsia="Arial" w:hAnsi="Arial" w:cs="Arial"/>
          <w:sz w:val="21"/>
          <w:szCs w:val="21"/>
        </w:rPr>
        <w:t>s</w:t>
      </w:r>
      <w:r w:rsidR="00980A07">
        <w:rPr>
          <w:rFonts w:ascii="Arial" w:eastAsia="Arial" w:hAnsi="Arial" w:cs="Arial"/>
          <w:sz w:val="21"/>
          <w:szCs w:val="21"/>
        </w:rPr>
        <w:t xml:space="preserve"> </w:t>
      </w:r>
      <w:r w:rsidR="00980A07">
        <w:rPr>
          <w:rFonts w:ascii="Arial" w:eastAsia="Arial" w:hAnsi="Arial" w:cs="Arial"/>
          <w:sz w:val="21"/>
          <w:szCs w:val="21"/>
        </w:rPr>
        <w:t>A</w:t>
      </w:r>
      <w:r w:rsidR="00980A07">
        <w:rPr>
          <w:rFonts w:ascii="Arial" w:eastAsia="Arial" w:hAnsi="Arial" w:cs="Arial"/>
          <w:sz w:val="21"/>
          <w:szCs w:val="21"/>
        </w:rPr>
        <w:t>c</w:t>
      </w:r>
      <w:r w:rsidR="00980A07">
        <w:rPr>
          <w:rFonts w:ascii="Arial" w:eastAsia="Arial" w:hAnsi="Arial" w:cs="Arial"/>
          <w:sz w:val="21"/>
          <w:szCs w:val="21"/>
        </w:rPr>
        <w:t>t</w:t>
      </w:r>
      <w:r w:rsidR="00980A07">
        <w:rPr>
          <w:rFonts w:ascii="Arial" w:eastAsia="Arial" w:hAnsi="Arial" w:cs="Arial"/>
          <w:sz w:val="21"/>
          <w:szCs w:val="21"/>
        </w:rPr>
        <w:t>,</w:t>
      </w:r>
      <w:r w:rsidR="00980A07">
        <w:rPr>
          <w:rFonts w:ascii="Arial" w:eastAsia="Arial" w:hAnsi="Arial" w:cs="Arial"/>
          <w:sz w:val="21"/>
          <w:szCs w:val="21"/>
        </w:rPr>
        <w:t xml:space="preserve"> </w:t>
      </w:r>
      <w:r w:rsidR="00980A07">
        <w:rPr>
          <w:rFonts w:ascii="Arial" w:eastAsia="Arial" w:hAnsi="Arial" w:cs="Arial"/>
          <w:sz w:val="21"/>
          <w:szCs w:val="21"/>
        </w:rPr>
        <w:t>2</w:t>
      </w:r>
      <w:r w:rsidR="00980A07">
        <w:rPr>
          <w:rFonts w:ascii="Arial" w:eastAsia="Arial" w:hAnsi="Arial" w:cs="Arial"/>
          <w:sz w:val="21"/>
          <w:szCs w:val="21"/>
        </w:rPr>
        <w:t>0</w:t>
      </w:r>
      <w:r w:rsidR="00980A07">
        <w:rPr>
          <w:rFonts w:ascii="Arial" w:eastAsia="Arial" w:hAnsi="Arial" w:cs="Arial"/>
          <w:sz w:val="21"/>
          <w:szCs w:val="21"/>
        </w:rPr>
        <w:t>1</w:t>
      </w:r>
      <w:r w:rsidR="00980A07">
        <w:rPr>
          <w:rFonts w:ascii="Arial" w:eastAsia="Arial" w:hAnsi="Arial" w:cs="Arial"/>
          <w:sz w:val="21"/>
          <w:szCs w:val="21"/>
        </w:rPr>
        <w:t>3</w:t>
      </w:r>
      <w:r w:rsidR="00980A07">
        <w:rPr>
          <w:rFonts w:ascii="Arial" w:eastAsia="Arial" w:hAnsi="Arial" w:cs="Arial"/>
          <w:sz w:val="21"/>
          <w:szCs w:val="21"/>
        </w:rPr>
        <w:t>. Although this is a genuine, mandatory charge under company law,</w:t>
      </w:r>
      <w:r w:rsidR="00980A07">
        <w:rPr>
          <w:rFonts w:ascii="Arial" w:eastAsia="Arial" w:hAnsi="Arial" w:cs="Arial"/>
          <w:sz w:val="21"/>
          <w:szCs w:val="21"/>
        </w:rPr>
        <w:t xml:space="preserve"> Income-tax Act, 1961 provides that CSR expenditure is not treated as incurred 'for the purposes of the business', and is therefore disallowed in full while computing business income. This is a useful illustration of how the same expenditure can be entirely valid under one law yet fully disallowed under another — CSR spend also raises a distinct question under GST law (whether input tax credit is available on CSR-related procurements), which is explored separately in the GST/ITC reconciliation project.</w:t>
      </w:r>
    </w:p>
    <w:p w14:paraId="5A77B330" w14:textId="77777777" w:rsidR="00125053" w:rsidRDefault="00980A07">
      <w:pPr>
        <w:pStyle w:val="Heading2"/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2. Donations</w:t>
      </w:r>
    </w:p>
    <w:p w14:paraId="3D222BAD" w14:textId="286B6236" w:rsidR="00125053" w:rsidRDefault="00980A07">
      <w:pPr>
        <w:spacing w:after="160"/>
        <w:jc w:val="both"/>
      </w:pPr>
      <w:r>
        <w:rPr>
          <w:rFonts w:ascii="Arial" w:eastAsia="Arial" w:hAnsi="Arial" w:cs="Arial"/>
          <w:sz w:val="21"/>
          <w:szCs w:val="21"/>
        </w:rPr>
        <w:t>Two donations were debited to the Statement of Profit &amp; Loss: Rs. 2,</w:t>
      </w:r>
      <w:r w:rsidR="00B22859">
        <w:rPr>
          <w:rFonts w:ascii="Arial" w:eastAsia="Arial" w:hAnsi="Arial" w:cs="Arial"/>
          <w:sz w:val="21"/>
          <w:szCs w:val="21"/>
        </w:rPr>
        <w:t>5</w:t>
      </w:r>
      <w:r>
        <w:rPr>
          <w:rFonts w:ascii="Arial" w:eastAsia="Arial" w:hAnsi="Arial" w:cs="Arial"/>
          <w:sz w:val="21"/>
          <w:szCs w:val="21"/>
        </w:rPr>
        <w:t>0,000 to the PM CARES Fund (ordinarily eligible for deduction under Section 80G) and Rs. 1,</w:t>
      </w:r>
      <w:r w:rsidR="00191A87"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z w:val="21"/>
          <w:szCs w:val="21"/>
        </w:rPr>
        <w:t xml:space="preserve">0,000 to a political party. Since </w:t>
      </w:r>
      <w:r w:rsidR="00E71875">
        <w:rPr>
          <w:rFonts w:ascii="Arial" w:eastAsia="Arial" w:hAnsi="Arial" w:cs="Arial"/>
          <w:sz w:val="21"/>
          <w:szCs w:val="21"/>
        </w:rPr>
        <w:t>East Indu</w:t>
      </w:r>
      <w:r w:rsidR="00936B7A">
        <w:rPr>
          <w:rFonts w:ascii="Arial" w:eastAsia="Arial" w:hAnsi="Arial" w:cs="Arial"/>
          <w:sz w:val="21"/>
          <w:szCs w:val="21"/>
        </w:rPr>
        <w:t>stries Pvt Ltd</w:t>
      </w:r>
      <w:r>
        <w:rPr>
          <w:rFonts w:ascii="Arial" w:eastAsia="Arial" w:hAnsi="Arial" w:cs="Arial"/>
          <w:sz w:val="21"/>
          <w:szCs w:val="21"/>
        </w:rPr>
        <w:t xml:space="preserve"> has opted for the concessional regime under Section 115BAA, it gives up most</w:t>
      </w:r>
      <w:r w:rsidR="00240171"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deductions, retaining only Sections 80JJAA and 80M. Both donations have therefore been added back in full while computing taxable income, rather than being partly allowed as they would be for a company under the normal tax regime.</w:t>
      </w:r>
    </w:p>
    <w:p w14:paraId="62F2739F" w14:textId="77777777" w:rsidR="00125053" w:rsidRDefault="00980A07">
      <w:pPr>
        <w:pStyle w:val="Heading2"/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3. Provision for Doubtful Debts</w:t>
      </w:r>
    </w:p>
    <w:p w14:paraId="0A4A8A8F" w14:textId="7BE46945" w:rsidR="00125053" w:rsidRDefault="00980A07">
      <w:pPr>
        <w:spacing w:after="160"/>
        <w:jc w:val="both"/>
      </w:pPr>
      <w:r>
        <w:rPr>
          <w:rFonts w:ascii="Arial" w:eastAsia="Arial" w:hAnsi="Arial" w:cs="Arial"/>
          <w:sz w:val="21"/>
          <w:szCs w:val="21"/>
        </w:rPr>
        <w:t xml:space="preserve">A provision of Rs. </w:t>
      </w:r>
      <w:r w:rsidR="006773E9">
        <w:rPr>
          <w:rFonts w:ascii="Arial" w:eastAsia="Arial" w:hAnsi="Arial" w:cs="Arial"/>
          <w:sz w:val="21"/>
          <w:szCs w:val="21"/>
        </w:rPr>
        <w:t>5,33</w:t>
      </w:r>
      <w:r>
        <w:rPr>
          <w:rFonts w:ascii="Arial" w:eastAsia="Arial" w:hAnsi="Arial" w:cs="Arial"/>
          <w:sz w:val="21"/>
          <w:szCs w:val="21"/>
        </w:rPr>
        <w:t>,000 was created against doubtful debts. Under Section 36(1)(vii) read with Section 36(2), only debts actually written off as irrecoverable in the books qualify for deduction; a mere provision, without an actual write-off, is disallowed for a non-banking company. This item has accordingly been added back in the tax computation.</w:t>
      </w:r>
    </w:p>
    <w:p w14:paraId="68B243B9" w14:textId="77777777" w:rsidR="00125053" w:rsidRDefault="00980A07">
      <w:pPr>
        <w:pStyle w:val="Heading2"/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4. Summary of Tax Liability</w:t>
      </w:r>
    </w:p>
    <w:p w14:paraId="19DCFDC1" w14:textId="7398098D" w:rsidR="00125053" w:rsidRDefault="00980A07">
      <w:pPr>
        <w:spacing w:after="160"/>
        <w:jc w:val="both"/>
      </w:pPr>
      <w:r>
        <w:rPr>
          <w:rFonts w:ascii="Arial" w:eastAsia="Arial" w:hAnsi="Arial" w:cs="Arial"/>
          <w:sz w:val="21"/>
          <w:szCs w:val="21"/>
        </w:rPr>
        <w:t>After these adjustments, and after substituting Income-tax Act depreciation (Rs. 30,</w:t>
      </w:r>
      <w:r w:rsidR="00A62332">
        <w:rPr>
          <w:rFonts w:ascii="Arial" w:eastAsia="Arial" w:hAnsi="Arial" w:cs="Arial"/>
          <w:sz w:val="21"/>
          <w:szCs w:val="21"/>
        </w:rPr>
        <w:t>6</w:t>
      </w:r>
      <w:r>
        <w:rPr>
          <w:rFonts w:ascii="Arial" w:eastAsia="Arial" w:hAnsi="Arial" w:cs="Arial"/>
          <w:sz w:val="21"/>
          <w:szCs w:val="21"/>
        </w:rPr>
        <w:t xml:space="preserve">5,000) for book depreciation, </w:t>
      </w:r>
      <w:r w:rsidR="00D97451">
        <w:rPr>
          <w:rFonts w:ascii="Arial" w:eastAsia="Arial" w:hAnsi="Arial" w:cs="Arial"/>
          <w:sz w:val="21"/>
          <w:szCs w:val="21"/>
        </w:rPr>
        <w:t>East Industries</w:t>
      </w:r>
      <w:r>
        <w:rPr>
          <w:rFonts w:ascii="Arial" w:eastAsia="Arial" w:hAnsi="Arial" w:cs="Arial"/>
          <w:sz w:val="21"/>
          <w:szCs w:val="21"/>
        </w:rPr>
        <w:t xml:space="preserve"> taxable income works out to Rs. </w:t>
      </w:r>
      <w:r w:rsidR="008A46B9">
        <w:rPr>
          <w:rFonts w:ascii="Arial" w:eastAsia="Arial" w:hAnsi="Arial" w:cs="Arial"/>
          <w:sz w:val="21"/>
          <w:szCs w:val="21"/>
        </w:rPr>
        <w:t>2,1</w:t>
      </w:r>
      <w:r>
        <w:rPr>
          <w:rFonts w:ascii="Arial" w:eastAsia="Arial" w:hAnsi="Arial" w:cs="Arial"/>
          <w:sz w:val="21"/>
          <w:szCs w:val="21"/>
        </w:rPr>
        <w:t>7</w:t>
      </w:r>
      <w:r w:rsidR="008A46B9">
        <w:rPr>
          <w:rFonts w:ascii="Arial" w:eastAsia="Arial" w:hAnsi="Arial" w:cs="Arial"/>
          <w:sz w:val="21"/>
          <w:szCs w:val="21"/>
        </w:rPr>
        <w:t>,</w:t>
      </w:r>
      <w:r w:rsidR="003C32C9"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 xml:space="preserve">5,000. Applying the Section 115BAA rate structure — 22% tax, a flat 10% surcharge and 4% Health &amp; Education Cess — the total tax liability is Rs. </w:t>
      </w:r>
      <w:r w:rsidR="0075459F">
        <w:rPr>
          <w:rFonts w:ascii="Arial" w:eastAsia="Arial" w:hAnsi="Arial" w:cs="Arial"/>
          <w:sz w:val="21"/>
          <w:szCs w:val="21"/>
        </w:rPr>
        <w:t>54,70</w:t>
      </w:r>
      <w:r w:rsidR="00D52349">
        <w:rPr>
          <w:rFonts w:ascii="Arial" w:eastAsia="Arial" w:hAnsi="Arial" w:cs="Arial"/>
          <w:sz w:val="21"/>
          <w:szCs w:val="21"/>
        </w:rPr>
        <w:t>,260</w:t>
      </w:r>
      <w:r>
        <w:rPr>
          <w:rFonts w:ascii="Arial" w:eastAsia="Arial" w:hAnsi="Arial" w:cs="Arial"/>
          <w:sz w:val="21"/>
          <w:szCs w:val="21"/>
        </w:rPr>
        <w:t>, an effective rate of approximately 25.17%. Full workings are in the accompanying workbook's 'Tax Computation' sheet.</w:t>
      </w:r>
    </w:p>
    <w:p w14:paraId="4DFF9E05" w14:textId="746D59F7" w:rsidR="00125053" w:rsidRPr="00AB449E" w:rsidRDefault="00980A07">
      <w:pPr>
        <w:pBdr>
          <w:top w:val="single" w:sz="4" w:space="8" w:color="BFBFBF"/>
        </w:pBdr>
        <w:spacing w:before="240"/>
      </w:pPr>
      <w:r w:rsidRPr="00AB449E">
        <w:rPr>
          <w:rFonts w:ascii="Arial" w:eastAsia="Arial" w:hAnsi="Arial" w:cs="Arial"/>
          <w:color w:val="808080"/>
          <w:sz w:val="17"/>
          <w:szCs w:val="17"/>
        </w:rPr>
        <w:t>Prepared as a</w:t>
      </w:r>
      <w:r w:rsidRPr="00AB449E">
        <w:rPr>
          <w:rFonts w:ascii="Arial" w:eastAsia="Arial" w:hAnsi="Arial" w:cs="Arial"/>
          <w:color w:val="808080"/>
          <w:sz w:val="17"/>
          <w:szCs w:val="17"/>
        </w:rPr>
        <w:t xml:space="preserve"> project on Corporate Income Tax computation under the Income-tax Act, 1961 (FY 2025-26 / AY 2026-27). </w:t>
      </w:r>
      <w:r w:rsidR="003B4AA3">
        <w:rPr>
          <w:rFonts w:ascii="Arial" w:eastAsia="Arial" w:hAnsi="Arial" w:cs="Arial"/>
          <w:color w:val="808080"/>
          <w:sz w:val="17"/>
          <w:szCs w:val="17"/>
        </w:rPr>
        <w:t>East Industries</w:t>
      </w:r>
      <w:r w:rsidRPr="00AB449E">
        <w:rPr>
          <w:rFonts w:ascii="Arial" w:eastAsia="Arial" w:hAnsi="Arial" w:cs="Arial"/>
          <w:color w:val="808080"/>
          <w:sz w:val="17"/>
          <w:szCs w:val="17"/>
        </w:rPr>
        <w:t xml:space="preserve"> Pvt Ltd is fictional</w:t>
      </w:r>
      <w:r w:rsidR="00F12263">
        <w:rPr>
          <w:rFonts w:ascii="Arial" w:eastAsia="Arial" w:hAnsi="Arial" w:cs="Arial"/>
          <w:color w:val="808080"/>
          <w:sz w:val="17"/>
          <w:szCs w:val="17"/>
        </w:rPr>
        <w:t>.</w:t>
      </w:r>
    </w:p>
    <w:sectPr w:rsidR="00125053" w:rsidRPr="00AB449E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851F9"/>
    <w:multiLevelType w:val="hybridMultilevel"/>
    <w:tmpl w:val="8F90EA0E"/>
    <w:lvl w:ilvl="0" w:tplc="B3CA038E">
      <w:start w:val="1"/>
      <w:numFmt w:val="bullet"/>
      <w:lvlText w:val="●"/>
      <w:lvlJc w:val="left"/>
      <w:pPr>
        <w:ind w:left="720" w:hanging="360"/>
      </w:pPr>
    </w:lvl>
    <w:lvl w:ilvl="1" w:tplc="C84A6A9E">
      <w:start w:val="1"/>
      <w:numFmt w:val="bullet"/>
      <w:lvlText w:val="○"/>
      <w:lvlJc w:val="left"/>
      <w:pPr>
        <w:ind w:left="1440" w:hanging="360"/>
      </w:pPr>
    </w:lvl>
    <w:lvl w:ilvl="2" w:tplc="96CA5BDC">
      <w:start w:val="1"/>
      <w:numFmt w:val="bullet"/>
      <w:lvlText w:val="■"/>
      <w:lvlJc w:val="left"/>
      <w:pPr>
        <w:ind w:left="2160" w:hanging="360"/>
      </w:pPr>
    </w:lvl>
    <w:lvl w:ilvl="3" w:tplc="A43AE91C">
      <w:start w:val="1"/>
      <w:numFmt w:val="bullet"/>
      <w:lvlText w:val="●"/>
      <w:lvlJc w:val="left"/>
      <w:pPr>
        <w:ind w:left="2880" w:hanging="360"/>
      </w:pPr>
    </w:lvl>
    <w:lvl w:ilvl="4" w:tplc="92E02036">
      <w:start w:val="1"/>
      <w:numFmt w:val="bullet"/>
      <w:lvlText w:val="○"/>
      <w:lvlJc w:val="left"/>
      <w:pPr>
        <w:ind w:left="3600" w:hanging="360"/>
      </w:pPr>
    </w:lvl>
    <w:lvl w:ilvl="5" w:tplc="08448356">
      <w:start w:val="1"/>
      <w:numFmt w:val="bullet"/>
      <w:lvlText w:val="■"/>
      <w:lvlJc w:val="left"/>
      <w:pPr>
        <w:ind w:left="4320" w:hanging="360"/>
      </w:pPr>
    </w:lvl>
    <w:lvl w:ilvl="6" w:tplc="19C042A6">
      <w:start w:val="1"/>
      <w:numFmt w:val="bullet"/>
      <w:lvlText w:val="●"/>
      <w:lvlJc w:val="left"/>
      <w:pPr>
        <w:ind w:left="5040" w:hanging="360"/>
      </w:pPr>
    </w:lvl>
    <w:lvl w:ilvl="7" w:tplc="5C42DF3E">
      <w:start w:val="1"/>
      <w:numFmt w:val="bullet"/>
      <w:lvlText w:val="●"/>
      <w:lvlJc w:val="left"/>
      <w:pPr>
        <w:ind w:left="5760" w:hanging="360"/>
      </w:pPr>
    </w:lvl>
    <w:lvl w:ilvl="8" w:tplc="E6DAC362">
      <w:start w:val="1"/>
      <w:numFmt w:val="bullet"/>
      <w:lvlText w:val="●"/>
      <w:lvlJc w:val="left"/>
      <w:pPr>
        <w:ind w:left="6480" w:hanging="360"/>
      </w:pPr>
    </w:lvl>
  </w:abstractNum>
  <w:num w:numId="1" w16cid:durableId="1869952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053"/>
    <w:rsid w:val="00111A12"/>
    <w:rsid w:val="00125053"/>
    <w:rsid w:val="00191A87"/>
    <w:rsid w:val="00240171"/>
    <w:rsid w:val="003B4AA3"/>
    <w:rsid w:val="003C32C9"/>
    <w:rsid w:val="003F3772"/>
    <w:rsid w:val="0043593E"/>
    <w:rsid w:val="006773E9"/>
    <w:rsid w:val="0075459F"/>
    <w:rsid w:val="008A46B9"/>
    <w:rsid w:val="008E2766"/>
    <w:rsid w:val="00905CF8"/>
    <w:rsid w:val="00936B7A"/>
    <w:rsid w:val="00980A07"/>
    <w:rsid w:val="00A62332"/>
    <w:rsid w:val="00AB449E"/>
    <w:rsid w:val="00B22859"/>
    <w:rsid w:val="00CA079E"/>
    <w:rsid w:val="00D52349"/>
    <w:rsid w:val="00D94F2D"/>
    <w:rsid w:val="00D97451"/>
    <w:rsid w:val="00E71875"/>
    <w:rsid w:val="00F12263"/>
    <w:rsid w:val="00F41BF5"/>
    <w:rsid w:val="00FD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2E83"/>
  <w15:docId w15:val="{1572C69E-6DDC-4A05-8F3B-DB1FDDDA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Argha Kamal Das</cp:lastModifiedBy>
  <cp:revision>2</cp:revision>
  <dcterms:created xsi:type="dcterms:W3CDTF">2026-07-05T07:57:00Z</dcterms:created>
  <dcterms:modified xsi:type="dcterms:W3CDTF">2026-07-05T07:57:00Z</dcterms:modified>
</cp:coreProperties>
</file>