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u w:val="single"/>
        </w:rPr>
      </w:pPr>
      <w:r w:rsidDel="00000000" w:rsidR="00000000" w:rsidRPr="00000000">
        <w:rPr>
          <w:b w:val="1"/>
          <w:sz w:val="28"/>
          <w:szCs w:val="28"/>
          <w:u w:val="single"/>
          <w:rtl w:val="0"/>
        </w:rPr>
        <w:t xml:space="preserve">TAP Overview</w:t>
      </w:r>
    </w:p>
    <w:p w:rsidR="00000000" w:rsidDel="00000000" w:rsidP="00000000" w:rsidRDefault="00000000" w:rsidRPr="00000000" w14:paraId="00000002">
      <w:pPr>
        <w:pageBreakBefore w:val="0"/>
        <w:rPr/>
      </w:pPr>
      <w:r w:rsidDel="00000000" w:rsidR="00000000" w:rsidRPr="00000000">
        <w:rPr>
          <w:rtl w:val="0"/>
        </w:rPr>
      </w:r>
    </w:p>
    <w:tbl>
      <w:tblPr>
        <w:tblStyle w:val="Table1"/>
        <w:tblW w:w="92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4155"/>
        <w:gridCol w:w="2025"/>
        <w:gridCol w:w="1185"/>
        <w:tblGridChange w:id="0">
          <w:tblGrid>
            <w:gridCol w:w="1860"/>
            <w:gridCol w:w="4155"/>
            <w:gridCol w:w="2025"/>
            <w:gridCol w:w="1185"/>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03">
            <w:pPr>
              <w:pageBreakBefore w:val="0"/>
              <w:widowControl w:val="0"/>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Category</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04">
            <w:pPr>
              <w:pageBreakBefore w:val="0"/>
              <w:widowControl w:val="0"/>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Definition</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05">
            <w:pPr>
              <w:pageBreakBefore w:val="0"/>
              <w:widowControl w:val="0"/>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Broad Classification</w:t>
            </w:r>
            <w:r w:rsidDel="00000000" w:rsidR="00000000" w:rsidRPr="00000000">
              <w:rPr>
                <w:rtl w:val="0"/>
              </w:rPr>
            </w:r>
          </w:p>
        </w:tc>
        <w:tc>
          <w:tcPr>
            <w:tcBorders>
              <w:top w:color="000000" w:space="0" w:sz="12" w:val="single"/>
              <w:left w:color="000000" w:space="0" w:sz="0" w:val="nil"/>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06">
            <w:pPr>
              <w:pageBreakBefore w:val="0"/>
              <w:widowControl w:val="0"/>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Specific Difference</w:t>
            </w:r>
            <w:r w:rsidDel="00000000" w:rsidR="00000000" w:rsidRPr="00000000">
              <w:rPr>
                <w:rtl w:val="0"/>
              </w:rPr>
            </w:r>
          </w:p>
        </w:tc>
      </w:tr>
      <w:tr>
        <w:trPr>
          <w:cantSplit w:val="0"/>
          <w:trHeight w:val="2040" w:hRule="atLeast"/>
          <w:tblHeader w:val="0"/>
        </w:trPr>
        <w:tc>
          <w:tcPr>
            <w:tcBorders>
              <w:top w:color="000000" w:space="0" w:sz="0" w:val="nil"/>
              <w:left w:color="000000" w:space="0" w:sz="12" w:val="single"/>
              <w:bottom w:color="000000" w:space="0" w:sz="12" w:val="single"/>
              <w:right w:color="000000" w:space="0" w:sz="12" w:val="single"/>
            </w:tcBorders>
            <w:shd w:fill="ffffcc" w:val="clear"/>
            <w:tcMar>
              <w:top w:w="0.0" w:type="dxa"/>
              <w:left w:w="40.0" w:type="dxa"/>
              <w:bottom w:w="0.0" w:type="dxa"/>
              <w:right w:w="40.0" w:type="dxa"/>
            </w:tcMar>
            <w:vAlign w:val="center"/>
          </w:tcPr>
          <w:p w:rsidR="00000000" w:rsidDel="00000000" w:rsidP="00000000" w:rsidRDefault="00000000" w:rsidRPr="00000000" w14:paraId="00000007">
            <w:pPr>
              <w:pageBreakBefore w:val="0"/>
              <w:widowControl w:val="0"/>
              <w:jc w:val="center"/>
              <w:rPr>
                <w:rFonts w:ascii="Calibri" w:cs="Calibri" w:eastAsia="Calibri" w:hAnsi="Calibri"/>
              </w:rPr>
            </w:pPr>
            <w:r w:rsidDel="00000000" w:rsidR="00000000" w:rsidRPr="00000000">
              <w:rPr>
                <w:rFonts w:ascii="Calibri" w:cs="Calibri" w:eastAsia="Calibri" w:hAnsi="Calibri"/>
                <w:sz w:val="20"/>
                <w:szCs w:val="20"/>
                <w:rtl w:val="0"/>
              </w:rPr>
              <w:t xml:space="preserve">T(Transition)</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ffffcc" w:val="clear"/>
            <w:tcMar>
              <w:top w:w="0.0" w:type="dxa"/>
              <w:left w:w="40.0" w:type="dxa"/>
              <w:bottom w:w="0.0" w:type="dxa"/>
              <w:right w:w="40.0" w:type="dxa"/>
            </w:tcMar>
            <w:vAlign w:val="top"/>
          </w:tcPr>
          <w:p w:rsidR="00000000" w:rsidDel="00000000" w:rsidP="00000000" w:rsidRDefault="00000000" w:rsidRPr="00000000" w14:paraId="00000008">
            <w:pPr>
              <w:pageBreakBefore w:val="0"/>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Individual who is actively seeking a role outside his current organisation to either change the domain or to move away from the existing culture or may be because there are not enough opportunities within the same organisation. S/he can also be somebody who is asked to leave in such extraordinary times.</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ffffcc" w:val="clear"/>
            <w:tcMar>
              <w:top w:w="0.0" w:type="dxa"/>
              <w:left w:w="40.0" w:type="dxa"/>
              <w:bottom w:w="0.0" w:type="dxa"/>
              <w:right w:w="40.0" w:type="dxa"/>
            </w:tcMar>
            <w:vAlign w:val="center"/>
          </w:tcPr>
          <w:p w:rsidR="00000000" w:rsidDel="00000000" w:rsidP="00000000" w:rsidRDefault="00000000" w:rsidRPr="00000000" w14:paraId="00000009">
            <w:pPr>
              <w:pageBreakBefore w:val="0"/>
              <w:widowControl w:val="0"/>
              <w:jc w:val="center"/>
              <w:rPr>
                <w:rFonts w:ascii="Calibri" w:cs="Calibri" w:eastAsia="Calibri" w:hAnsi="Calibri"/>
              </w:rPr>
            </w:pPr>
            <w:r w:rsidDel="00000000" w:rsidR="00000000" w:rsidRPr="00000000">
              <w:rPr>
                <w:rFonts w:ascii="Calibri" w:cs="Calibri" w:eastAsia="Calibri" w:hAnsi="Calibri"/>
                <w:sz w:val="20"/>
                <w:szCs w:val="20"/>
                <w:rtl w:val="0"/>
              </w:rPr>
              <w:t xml:space="preserve">Organization Change</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ffffcc" w:val="clear"/>
            <w:tcMar>
              <w:top w:w="0.0" w:type="dxa"/>
              <w:left w:w="40.0" w:type="dxa"/>
              <w:bottom w:w="0.0" w:type="dxa"/>
              <w:right w:w="40.0" w:type="dxa"/>
            </w:tcMar>
            <w:vAlign w:val="center"/>
          </w:tcPr>
          <w:p w:rsidR="00000000" w:rsidDel="00000000" w:rsidP="00000000" w:rsidRDefault="00000000" w:rsidRPr="00000000" w14:paraId="0000000A">
            <w:pPr>
              <w:pageBreakBefore w:val="0"/>
              <w:widowControl w:val="0"/>
              <w:jc w:val="center"/>
              <w:rPr>
                <w:rFonts w:ascii="Calibri" w:cs="Calibri" w:eastAsia="Calibri" w:hAnsi="Calibri"/>
              </w:rPr>
            </w:pPr>
            <w:r w:rsidDel="00000000" w:rsidR="00000000" w:rsidRPr="00000000">
              <w:rPr>
                <w:rFonts w:ascii="Calibri" w:cs="Calibri" w:eastAsia="Calibri" w:hAnsi="Calibri"/>
                <w:sz w:val="20"/>
                <w:szCs w:val="20"/>
                <w:rtl w:val="0"/>
              </w:rPr>
              <w:t xml:space="preserve">Any movement</w:t>
            </w:r>
            <w:r w:rsidDel="00000000" w:rsidR="00000000" w:rsidRPr="00000000">
              <w:rPr>
                <w:rtl w:val="0"/>
              </w:rPr>
            </w:r>
          </w:p>
        </w:tc>
      </w:tr>
      <w:tr>
        <w:trPr>
          <w:cantSplit w:val="0"/>
          <w:trHeight w:val="1050" w:hRule="atLeast"/>
          <w:tblHeader w:val="0"/>
        </w:trPr>
        <w:tc>
          <w:tcPr>
            <w:vMerge w:val="restart"/>
            <w:tcBorders>
              <w:top w:color="000000" w:space="0" w:sz="0" w:val="nil"/>
              <w:left w:color="000000" w:space="0" w:sz="12" w:val="single"/>
              <w:bottom w:color="000000" w:space="0" w:sz="12" w:val="single"/>
              <w:right w:color="000000" w:space="0" w:sz="12" w:val="single"/>
            </w:tcBorders>
            <w:shd w:fill="b4c6e7" w:val="clear"/>
            <w:tcMar>
              <w:top w:w="0.0" w:type="dxa"/>
              <w:left w:w="40.0" w:type="dxa"/>
              <w:bottom w:w="0.0" w:type="dxa"/>
              <w:right w:w="40.0" w:type="dxa"/>
            </w:tcMar>
            <w:vAlign w:val="center"/>
          </w:tcPr>
          <w:p w:rsidR="00000000" w:rsidDel="00000000" w:rsidP="00000000" w:rsidRDefault="00000000" w:rsidRPr="00000000" w14:paraId="0000000B">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A(Acceleration)</w:t>
            </w:r>
          </w:p>
        </w:tc>
        <w:tc>
          <w:tcPr>
            <w:vMerge w:val="restart"/>
            <w:tcBorders>
              <w:top w:color="000000" w:space="0" w:sz="0" w:val="nil"/>
              <w:left w:color="000000" w:space="0" w:sz="0" w:val="nil"/>
              <w:bottom w:color="000000" w:space="0" w:sz="12" w:val="single"/>
              <w:right w:color="000000" w:space="0" w:sz="12" w:val="single"/>
            </w:tcBorders>
            <w:shd w:fill="b4c6e7" w:val="clear"/>
            <w:tcMar>
              <w:top w:w="0.0" w:type="dxa"/>
              <w:left w:w="40.0" w:type="dxa"/>
              <w:bottom w:w="0.0" w:type="dxa"/>
              <w:right w:w="40.0" w:type="dxa"/>
            </w:tcMar>
            <w:vAlign w:val="top"/>
          </w:tcPr>
          <w:p w:rsidR="00000000" w:rsidDel="00000000" w:rsidP="00000000" w:rsidRDefault="00000000" w:rsidRPr="00000000" w14:paraId="0000000C">
            <w:pPr>
              <w:pageBreakBefore w:val="0"/>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 who is settled in the organisation and has some opportunities within the system to grow. These opportunities are primarily within the same function or it can be a lateral movement as well. With such a growth, he has an intent to have an increase in salary/perks without changing an organisation.</w:t>
            </w:r>
          </w:p>
        </w:tc>
        <w:tc>
          <w:tcPr>
            <w:vMerge w:val="restart"/>
            <w:tcBorders>
              <w:top w:color="000000" w:space="0" w:sz="0" w:val="nil"/>
              <w:left w:color="000000" w:space="0" w:sz="0" w:val="nil"/>
              <w:bottom w:color="000000" w:space="0" w:sz="12" w:val="single"/>
              <w:right w:color="000000" w:space="0" w:sz="12" w:val="single"/>
            </w:tcBorders>
            <w:shd w:fill="b4c6e7" w:val="clear"/>
            <w:tcMar>
              <w:top w:w="0.0" w:type="dxa"/>
              <w:left w:w="40.0" w:type="dxa"/>
              <w:bottom w:w="0.0" w:type="dxa"/>
              <w:right w:w="40.0" w:type="dxa"/>
            </w:tcMar>
            <w:vAlign w:val="center"/>
          </w:tcPr>
          <w:p w:rsidR="00000000" w:rsidDel="00000000" w:rsidP="00000000" w:rsidRDefault="00000000" w:rsidRPr="00000000" w14:paraId="0000000D">
            <w:pPr>
              <w:pageBreakBefore w:val="0"/>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Organisation Change</w:t>
            </w:r>
          </w:p>
        </w:tc>
        <w:tc>
          <w:tcPr>
            <w:tcBorders>
              <w:top w:color="000000" w:space="0" w:sz="0" w:val="nil"/>
              <w:left w:color="000000" w:space="0" w:sz="0" w:val="nil"/>
              <w:bottom w:color="000000" w:space="0" w:sz="12" w:val="single"/>
              <w:right w:color="000000" w:space="0" w:sz="12" w:val="single"/>
            </w:tcBorders>
            <w:shd w:fill="d9e2f3" w:val="clear"/>
            <w:tcMar>
              <w:top w:w="0.0" w:type="dxa"/>
              <w:left w:w="40.0" w:type="dxa"/>
              <w:bottom w:w="0.0" w:type="dxa"/>
              <w:right w:w="40.0" w:type="dxa"/>
            </w:tcMar>
            <w:vAlign w:val="center"/>
          </w:tcPr>
          <w:p w:rsidR="00000000" w:rsidDel="00000000" w:rsidP="00000000" w:rsidRDefault="00000000" w:rsidRPr="00000000" w14:paraId="0000000E">
            <w:pPr>
              <w:pageBreakBefore w:val="0"/>
              <w:widowControl w:val="0"/>
              <w:jc w:val="center"/>
              <w:rPr>
                <w:rFonts w:ascii="Calibri" w:cs="Calibri" w:eastAsia="Calibri" w:hAnsi="Calibri"/>
              </w:rPr>
            </w:pPr>
            <w:r w:rsidDel="00000000" w:rsidR="00000000" w:rsidRPr="00000000">
              <w:rPr>
                <w:rFonts w:ascii="Calibri" w:cs="Calibri" w:eastAsia="Calibri" w:hAnsi="Calibri"/>
                <w:sz w:val="20"/>
                <w:szCs w:val="20"/>
                <w:rtl w:val="0"/>
              </w:rPr>
              <w:t xml:space="preserve">Parallel Role/Domain Change</w:t>
            </w:r>
            <w:r w:rsidDel="00000000" w:rsidR="00000000" w:rsidRPr="00000000">
              <w:rPr>
                <w:rtl w:val="0"/>
              </w:rPr>
            </w:r>
          </w:p>
        </w:tc>
      </w:tr>
      <w:tr>
        <w:trPr>
          <w:cantSplit w:val="0"/>
          <w:trHeight w:val="540" w:hRule="atLeast"/>
          <w:tblHeader w:val="0"/>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rPr>
                <w:rFonts w:ascii="Calibri" w:cs="Calibri" w:eastAsia="Calibri" w:hAnsi="Calibri"/>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rPr>
                <w:rFonts w:ascii="Calibri" w:cs="Calibri" w:eastAsia="Calibri" w:hAnsi="Calibri"/>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deeaf6" w:val="clear"/>
            <w:tcMar>
              <w:top w:w="0.0" w:type="dxa"/>
              <w:left w:w="40.0" w:type="dxa"/>
              <w:bottom w:w="0.0" w:type="dxa"/>
              <w:right w:w="40.0" w:type="dxa"/>
            </w:tcMar>
            <w:vAlign w:val="center"/>
          </w:tcPr>
          <w:p w:rsidR="00000000" w:rsidDel="00000000" w:rsidP="00000000" w:rsidRDefault="00000000" w:rsidRPr="00000000" w14:paraId="00000012">
            <w:pPr>
              <w:pageBreakBefore w:val="0"/>
              <w:widowControl w:val="0"/>
              <w:jc w:val="center"/>
              <w:rPr>
                <w:rFonts w:ascii="Calibri" w:cs="Calibri" w:eastAsia="Calibri" w:hAnsi="Calibri"/>
              </w:rPr>
            </w:pPr>
            <w:r w:rsidDel="00000000" w:rsidR="00000000" w:rsidRPr="00000000">
              <w:rPr>
                <w:rFonts w:ascii="Calibri" w:cs="Calibri" w:eastAsia="Calibri" w:hAnsi="Calibri"/>
                <w:sz w:val="20"/>
                <w:szCs w:val="20"/>
                <w:rtl w:val="0"/>
              </w:rPr>
              <w:t xml:space="preserve">Growth (Promotion/Higher Role)</w:t>
            </w:r>
            <w:r w:rsidDel="00000000" w:rsidR="00000000" w:rsidRPr="00000000">
              <w:rPr>
                <w:rtl w:val="0"/>
              </w:rPr>
            </w:r>
          </w:p>
        </w:tc>
      </w:tr>
      <w:tr>
        <w:trPr>
          <w:cantSplit w:val="0"/>
          <w:trHeight w:val="1785" w:hRule="atLeast"/>
          <w:tblHeader w:val="0"/>
        </w:trPr>
        <w:tc>
          <w:tcPr>
            <w:tcBorders>
              <w:top w:color="000000" w:space="0" w:sz="0" w:val="nil"/>
              <w:left w:color="000000" w:space="0" w:sz="12" w:val="single"/>
              <w:bottom w:color="000000" w:space="0" w:sz="12" w:val="single"/>
              <w:right w:color="000000" w:space="0" w:sz="12" w:val="single"/>
            </w:tcBorders>
            <w:shd w:fill="e2efd9" w:val="clear"/>
            <w:tcMar>
              <w:top w:w="0.0" w:type="dxa"/>
              <w:left w:w="40.0" w:type="dxa"/>
              <w:bottom w:w="0.0" w:type="dxa"/>
              <w:right w:w="40.0" w:type="dxa"/>
            </w:tcMar>
            <w:vAlign w:val="center"/>
          </w:tcPr>
          <w:p w:rsidR="00000000" w:rsidDel="00000000" w:rsidP="00000000" w:rsidRDefault="00000000" w:rsidRPr="00000000" w14:paraId="00000013">
            <w:pPr>
              <w:pageBreakBefore w:val="0"/>
              <w:widowControl w:val="0"/>
              <w:jc w:val="center"/>
              <w:rPr>
                <w:rFonts w:ascii="Calibri" w:cs="Calibri" w:eastAsia="Calibri" w:hAnsi="Calibri"/>
              </w:rPr>
            </w:pPr>
            <w:r w:rsidDel="00000000" w:rsidR="00000000" w:rsidRPr="00000000">
              <w:rPr>
                <w:rFonts w:ascii="Calibri" w:cs="Calibri" w:eastAsia="Calibri" w:hAnsi="Calibri"/>
                <w:sz w:val="20"/>
                <w:szCs w:val="20"/>
                <w:rtl w:val="0"/>
              </w:rPr>
              <w:t xml:space="preserve">P(Professional Confidence)</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e2efd9" w:val="clear"/>
            <w:tcMar>
              <w:top w:w="0.0" w:type="dxa"/>
              <w:left w:w="40.0" w:type="dxa"/>
              <w:bottom w:w="0.0" w:type="dxa"/>
              <w:right w:w="40.0" w:type="dxa"/>
            </w:tcMar>
            <w:vAlign w:val="top"/>
          </w:tcPr>
          <w:p w:rsidR="00000000" w:rsidDel="00000000" w:rsidP="00000000" w:rsidRDefault="00000000" w:rsidRPr="00000000" w14:paraId="00000014">
            <w:pPr>
              <w:pageBreakBefore w:val="0"/>
              <w:widowControl w:val="0"/>
              <w:rPr>
                <w:rFonts w:ascii="Calibri" w:cs="Calibri" w:eastAsia="Calibri" w:hAnsi="Calibri"/>
              </w:rPr>
            </w:pPr>
            <w:r w:rsidDel="00000000" w:rsidR="00000000" w:rsidRPr="00000000">
              <w:rPr>
                <w:rFonts w:ascii="Calibri" w:cs="Calibri" w:eastAsia="Calibri" w:hAnsi="Calibri"/>
                <w:sz w:val="20"/>
                <w:szCs w:val="20"/>
                <w:rtl w:val="0"/>
              </w:rPr>
              <w:t xml:space="preserve">Individual who wants to invest in his own learning and development to gain professional confidence and be able to talk with confidence in the current role about data and come up with ideas on what/how data can be used in a particular situation to solve a particular problem. In the long term, s/he may invest further in professional skilling and would also want to grow further, this growth can be within or outside the organisation.</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e2efd9" w:val="clear"/>
            <w:tcMar>
              <w:top w:w="0.0" w:type="dxa"/>
              <w:left w:w="40.0" w:type="dxa"/>
              <w:bottom w:w="0.0" w:type="dxa"/>
              <w:right w:w="40.0" w:type="dxa"/>
            </w:tcMar>
            <w:vAlign w:val="center"/>
          </w:tcPr>
          <w:p w:rsidR="00000000" w:rsidDel="00000000" w:rsidP="00000000" w:rsidRDefault="00000000" w:rsidRPr="00000000" w14:paraId="00000015">
            <w:pPr>
              <w:pageBreakBefore w:val="0"/>
              <w:widowControl w:val="0"/>
              <w:jc w:val="center"/>
              <w:rPr>
                <w:rFonts w:ascii="Calibri" w:cs="Calibri" w:eastAsia="Calibri" w:hAnsi="Calibri"/>
              </w:rPr>
            </w:pPr>
            <w:r w:rsidDel="00000000" w:rsidR="00000000" w:rsidRPr="00000000">
              <w:rPr>
                <w:rFonts w:ascii="Calibri" w:cs="Calibri" w:eastAsia="Calibri" w:hAnsi="Calibri"/>
                <w:sz w:val="20"/>
                <w:szCs w:val="20"/>
                <w:rtl w:val="0"/>
              </w:rPr>
              <w:t xml:space="preserve">No Change</w:t>
            </w: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e2efd9" w:val="clear"/>
            <w:tcMar>
              <w:top w:w="0.0" w:type="dxa"/>
              <w:left w:w="40.0" w:type="dxa"/>
              <w:bottom w:w="0.0" w:type="dxa"/>
              <w:right w:w="40.0" w:type="dxa"/>
            </w:tcMar>
            <w:vAlign w:val="center"/>
          </w:tcPr>
          <w:p w:rsidR="00000000" w:rsidDel="00000000" w:rsidP="00000000" w:rsidRDefault="00000000" w:rsidRPr="00000000" w14:paraId="00000016">
            <w:pPr>
              <w:pageBreakBefore w:val="0"/>
              <w:widowControl w:val="0"/>
              <w:jc w:val="center"/>
              <w:rPr>
                <w:rFonts w:ascii="Calibri" w:cs="Calibri" w:eastAsia="Calibri" w:hAnsi="Calibri"/>
              </w:rPr>
            </w:pPr>
            <w:r w:rsidDel="00000000" w:rsidR="00000000" w:rsidRPr="00000000">
              <w:rPr>
                <w:rFonts w:ascii="Calibri" w:cs="Calibri" w:eastAsia="Calibri" w:hAnsi="Calibri"/>
                <w:sz w:val="20"/>
                <w:szCs w:val="20"/>
                <w:rtl w:val="0"/>
              </w:rPr>
              <w:t xml:space="preserve">No immediate movement hence no change</w:t>
            </w:r>
            <w:r w:rsidDel="00000000" w:rsidR="00000000" w:rsidRPr="00000000">
              <w:rPr>
                <w:rtl w:val="0"/>
              </w:rPr>
            </w:r>
          </w:p>
        </w:tc>
      </w:tr>
    </w:tbl>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For ex: Lateral movement is ok as long as it is similar work it is “A”</w:t>
      </w:r>
    </w:p>
    <w:p w:rsidR="00000000" w:rsidDel="00000000" w:rsidP="00000000" w:rsidRDefault="00000000" w:rsidRPr="00000000" w14:paraId="00000019">
      <w:pPr>
        <w:pageBreakBefore w:val="0"/>
        <w:rPr/>
      </w:pPr>
      <w:r w:rsidDel="00000000" w:rsidR="00000000" w:rsidRPr="00000000">
        <w:rPr>
          <w:rtl w:val="0"/>
        </w:rPr>
        <w:t xml:space="preserve">But movement to another team and major change in role (moving from SW projects to Data Science team OR moving from operations to HR Analytics) should be considered as Transition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