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wk4erip8coq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14. Risk Register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eecn1oz7k9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Code: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/>
      </w:pPr>
      <w:bookmarkStart w:colFirst="0" w:colLast="0" w:name="_hk07agd5lv4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Date of review: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7.659574468085"/>
        <w:gridCol w:w="2456.1702127659573"/>
        <w:gridCol w:w="2456.1702127659573"/>
        <w:tblGridChange w:id="0">
          <w:tblGrid>
            <w:gridCol w:w="4447.659574468085"/>
            <w:gridCol w:w="2456.1702127659573"/>
            <w:gridCol w:w="2456.17021276595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RiskID#1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RiskID#2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of identification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Identifier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Category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Probability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Impact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symptoms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Owner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Assignee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Any Secondary Risk: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WBS element/ Activity Impacted: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Contingency reserves: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and Fallback plans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Avoidance / Enhancement 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Mitigation / Exploitation 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Sharing / Transference 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 Status Update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 as of Today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Comments/ Current Risk status: (incl. history of application of corresponding risk response plans and their efficacy etc).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 this in an excel sheet. It is easy to track and filter risk there. Put all these rows here in the column.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