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3cz121q4qzh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16. Project Management Plan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vm84zjjw52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Code: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gmrlmz97cc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Project Overview: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Refer to Scope Baseline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pyk9m8hzetd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Project Budget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Refer to Estimation and Budget Sheets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vr3nccq6m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Project Completion date: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Refer to Project Schedule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85wa5fq542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Reference Materials: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Reference to the business need, market survey, feasibility stud, historical information.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yntwyl6g0t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Definition and Acronyms: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Descriptions of terminologies used in the project.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eamun9vdhu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Stakeholder details: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Refter to Stakeholder Regiter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hmj1ou844z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Project Lifecycle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cqmhvnzmbx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Project Management Methodology: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xohz5npdw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xohz5npdwk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Milestone List: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Refer to Milestone List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tfni55olmmb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Resource Calendar: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Refer to Human Resource Management Plan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f7026qcxum9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Subsidiary Plan: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7w9rlv8f5vg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Reference to all subsidiary Plans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7w9rlv8f5v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7w9rlv8f5vg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Baselines: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Reference to all baselines ( Scope/ Time/ Cost/ Quality etc):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kcgkg4rz8ww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WBS/ WBS dictionary: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Reference to WBS Dictionary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y324sqj4eq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Risk Register: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Reference to Risk Register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