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ng7hfcmfe5l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1. Benefit-Cost Analysis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5a3ewvj8s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the Project/ Proposal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ydc4dsd4di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brief description about the project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9ihdfm3bt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Constraints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Factors that limit the ability to meet objectives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5abj2tm0h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Assumptions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considered to be true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9tni7cnf9s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As-is model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present system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7j19o77q0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Solution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that the project will provide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mmkuqbgk5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Life Cycle Benefits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Earning from the product of the project Consider constraints and assumptions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qlw6z9wuhb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Life Cycle Costs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Expenses on the project. Consider constraints and assumptions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rknsl3xe2ht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Comparison of benefits and costs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benefits should be more than costs. The BCR (Benefit cost ratio) should be greater than 1. It also states the model used for comparison.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6akasjt58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Recommendations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above analysis.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