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D32" w:rsidRDefault="00570D3D" w:rsidP="00AD4D39">
      <w:pPr>
        <w:pStyle w:val="Heading3"/>
      </w:pPr>
      <w:r>
        <w:t xml:space="preserve">The </w:t>
      </w:r>
      <w:r w:rsidR="006C3A98" w:rsidRPr="006C3A98">
        <w:t>NIST Definition of Cloud Computing</w:t>
      </w:r>
    </w:p>
    <w:p w:rsidR="00557784" w:rsidRDefault="00557784" w:rsidP="00AA3C3A">
      <w:pPr>
        <w:pStyle w:val="NormalBlack"/>
      </w:pPr>
      <w:r>
        <w:t xml:space="preserve">Authors: </w:t>
      </w:r>
      <w:smartTag w:uri="urn:schemas-microsoft-com:office:smarttags" w:element="PersonName">
        <w:r>
          <w:t>Peter Mell</w:t>
        </w:r>
      </w:smartTag>
      <w:r>
        <w:t xml:space="preserve"> and Tim Grance</w:t>
      </w:r>
    </w:p>
    <w:p w:rsidR="0050281A" w:rsidRDefault="00570D3D" w:rsidP="00570D3D">
      <w:r>
        <w:t>Version 15, 10-7</w:t>
      </w:r>
      <w:r w:rsidR="00163D3C">
        <w:t>-09</w:t>
      </w:r>
    </w:p>
    <w:p w:rsidR="00163D3C" w:rsidRDefault="00163D3C" w:rsidP="00AA3C3A">
      <w:pPr>
        <w:pStyle w:val="NormalBlack"/>
      </w:pPr>
    </w:p>
    <w:p w:rsidR="00AA3C3A" w:rsidRDefault="00AA3C3A" w:rsidP="00AA3C3A">
      <w:pPr>
        <w:pStyle w:val="NormalBlack"/>
      </w:pPr>
      <w:r>
        <w:t>National Institute of Standards and Technology, Information Technology Laboratory</w:t>
      </w:r>
    </w:p>
    <w:p w:rsidR="0050281A" w:rsidRDefault="0050281A" w:rsidP="0027727F">
      <w:pPr>
        <w:pStyle w:val="NormalBlack"/>
      </w:pPr>
    </w:p>
    <w:p w:rsidR="00416D32" w:rsidRDefault="00332675" w:rsidP="0027727F">
      <w:pPr>
        <w:pStyle w:val="NormalBlack"/>
      </w:pPr>
      <w:r>
        <w:t>Note</w:t>
      </w:r>
      <w:r w:rsidR="00157138">
        <w:t xml:space="preserve"> 1</w:t>
      </w:r>
      <w:r>
        <w:t xml:space="preserve">: </w:t>
      </w:r>
      <w:r w:rsidR="00B52FB2" w:rsidRPr="007029B5">
        <w:t xml:space="preserve">Cloud </w:t>
      </w:r>
      <w:r w:rsidR="00B52FB2">
        <w:t>c</w:t>
      </w:r>
      <w:r w:rsidR="00B52FB2" w:rsidRPr="007029B5">
        <w:t>omputing is still an evolving paradigm</w:t>
      </w:r>
      <w:r w:rsidR="00B52FB2">
        <w:t>.</w:t>
      </w:r>
      <w:r w:rsidR="00B52FB2" w:rsidRPr="007029B5">
        <w:t xml:space="preserve"> </w:t>
      </w:r>
      <w:r w:rsidR="00B52FB2">
        <w:t>Its</w:t>
      </w:r>
      <w:r w:rsidR="00B52FB2" w:rsidRPr="007029B5">
        <w:t xml:space="preserve"> definitions, use cases, underlying technologies, issues, risks, and benefits will be refined in a spirited debate by the public and private sectors.</w:t>
      </w:r>
      <w:r w:rsidR="00B52FB2">
        <w:t xml:space="preserve"> </w:t>
      </w:r>
      <w:r w:rsidR="00B52FB2" w:rsidRPr="007029B5">
        <w:t>These definitions, attributes, and characteristics will evolve and change over time.</w:t>
      </w:r>
    </w:p>
    <w:p w:rsidR="00157138" w:rsidRDefault="00157138" w:rsidP="0027727F">
      <w:pPr>
        <w:pStyle w:val="NormalBlack"/>
      </w:pPr>
    </w:p>
    <w:p w:rsidR="00157138" w:rsidRDefault="00157138" w:rsidP="0027727F">
      <w:pPr>
        <w:pStyle w:val="NormalBlack"/>
      </w:pPr>
      <w:r>
        <w:t>Note 2: The cloud computing industry represents a large ecosystem of many models, vendors, and market niches. This definition attempts to encompass all of the various cloud approaches.</w:t>
      </w:r>
    </w:p>
    <w:p w:rsidR="00E83DD4" w:rsidRPr="00E83DD4" w:rsidRDefault="00E83DD4" w:rsidP="00AD4D39">
      <w:pPr>
        <w:pStyle w:val="Heading3"/>
      </w:pPr>
      <w:r w:rsidRPr="00E83DD4">
        <w:t>Definition of Cloud Computing:</w:t>
      </w:r>
    </w:p>
    <w:p w:rsidR="00166B58" w:rsidRDefault="00166B58" w:rsidP="00645981"/>
    <w:p w:rsidR="00166B58" w:rsidRDefault="00166B58" w:rsidP="00166B58">
      <w:r>
        <w:t xml:space="preserve">Cloud computing is a model for enabling convenient, </w:t>
      </w:r>
      <w:r>
        <w:rPr>
          <w:color w:val="000000"/>
        </w:rPr>
        <w:t xml:space="preserve">on-demand network access to a shared pool of configurable computing resources (e.g., networks, servers, storage, applications, and services) that can be rapidly provisioned and released </w:t>
      </w:r>
      <w:r>
        <w:t>with minimal management effort or service provider interaction</w:t>
      </w:r>
      <w:r>
        <w:rPr>
          <w:color w:val="000000"/>
        </w:rPr>
        <w:t xml:space="preserve">. </w:t>
      </w:r>
      <w:r>
        <w:t xml:space="preserve">This cloud </w:t>
      </w:r>
      <w:r w:rsidRPr="00841DA1">
        <w:t xml:space="preserve">model </w:t>
      </w:r>
      <w:r>
        <w:t>promotes availability and is composed of five</w:t>
      </w:r>
      <w:r w:rsidRPr="007A5A8D">
        <w:t xml:space="preserve"> </w:t>
      </w:r>
      <w:r>
        <w:t>essential</w:t>
      </w:r>
      <w:r w:rsidRPr="002E7647">
        <w:t xml:space="preserve"> </w:t>
      </w:r>
      <w:r w:rsidRPr="002E7647">
        <w:rPr>
          <w:b/>
        </w:rPr>
        <w:t>c</w:t>
      </w:r>
      <w:r w:rsidRPr="00013D39">
        <w:rPr>
          <w:b/>
        </w:rPr>
        <w:t>haracteristics</w:t>
      </w:r>
      <w:r>
        <w:rPr>
          <w:b/>
        </w:rPr>
        <w:t>,</w:t>
      </w:r>
      <w:r>
        <w:t xml:space="preserve"> </w:t>
      </w:r>
      <w:r w:rsidRPr="007A5A8D">
        <w:t>three</w:t>
      </w:r>
      <w:r>
        <w:t xml:space="preserve"> </w:t>
      </w:r>
      <w:r>
        <w:rPr>
          <w:b/>
        </w:rPr>
        <w:t xml:space="preserve">service </w:t>
      </w:r>
      <w:r w:rsidRPr="00013D39">
        <w:rPr>
          <w:b/>
        </w:rPr>
        <w:t>models</w:t>
      </w:r>
      <w:r>
        <w:t xml:space="preserve">, and </w:t>
      </w:r>
      <w:r w:rsidRPr="007A5A8D">
        <w:t>four</w:t>
      </w:r>
      <w:r>
        <w:t xml:space="preserve"> </w:t>
      </w:r>
      <w:r w:rsidRPr="00013D39">
        <w:rPr>
          <w:b/>
        </w:rPr>
        <w:t xml:space="preserve">deployment </w:t>
      </w:r>
      <w:r>
        <w:rPr>
          <w:b/>
        </w:rPr>
        <w:t>models</w:t>
      </w:r>
      <w:r>
        <w:t>.</w:t>
      </w:r>
    </w:p>
    <w:p w:rsidR="00166B58" w:rsidRPr="00E7394A" w:rsidRDefault="00166B58" w:rsidP="00166B58">
      <w:pPr>
        <w:rPr>
          <w:color w:val="000000"/>
        </w:rPr>
      </w:pPr>
    </w:p>
    <w:p w:rsidR="00166B58" w:rsidRPr="00924AAC" w:rsidRDefault="00166B58" w:rsidP="00166B58">
      <w:pPr>
        <w:pStyle w:val="BodyText"/>
        <w:rPr>
          <w:b/>
          <w:bCs/>
        </w:rPr>
      </w:pPr>
      <w:r w:rsidRPr="00924AAC">
        <w:rPr>
          <w:b/>
          <w:bCs/>
        </w:rPr>
        <w:t>Essential Characteristics:</w:t>
      </w:r>
    </w:p>
    <w:p w:rsidR="00166B58" w:rsidRDefault="00166B58" w:rsidP="00166B58">
      <w:pPr>
        <w:ind w:left="1440" w:hanging="720"/>
      </w:pPr>
      <w:r w:rsidRPr="00525FD3">
        <w:rPr>
          <w:i/>
        </w:rPr>
        <w:t>On-demand self-service.</w:t>
      </w:r>
      <w:r>
        <w:t xml:space="preserve"> A consumer can unilaterally provision computing c</w:t>
      </w:r>
      <w:r w:rsidRPr="00B26B0A">
        <w:t>apabilities</w:t>
      </w:r>
      <w:r>
        <w:t xml:space="preserve">, such as server time and network storage, as needed automatically without requiring human interaction with each service’s provider. </w:t>
      </w:r>
    </w:p>
    <w:p w:rsidR="00166B58" w:rsidRDefault="00166B58" w:rsidP="00166B58">
      <w:pPr>
        <w:ind w:left="1440" w:hanging="720"/>
      </w:pPr>
      <w:r>
        <w:rPr>
          <w:i/>
        </w:rPr>
        <w:t>Broad network access</w:t>
      </w:r>
      <w:r w:rsidRPr="00525FD3">
        <w:rPr>
          <w:i/>
        </w:rPr>
        <w:t>.</w:t>
      </w:r>
      <w:r>
        <w:t xml:space="preserve"> </w:t>
      </w:r>
      <w:r w:rsidRPr="002411F4">
        <w:t xml:space="preserve">Capabilities are </w:t>
      </w:r>
      <w:r>
        <w:t>available over the network and</w:t>
      </w:r>
      <w:r w:rsidRPr="002411F4">
        <w:t xml:space="preserve"> </w:t>
      </w:r>
      <w:r>
        <w:t xml:space="preserve">accessed through standard mechanisms that promote use by </w:t>
      </w:r>
      <w:r w:rsidRPr="002411F4">
        <w:t>heterogeneous</w:t>
      </w:r>
      <w:r>
        <w:t xml:space="preserve"> thin or thick </w:t>
      </w:r>
      <w:r w:rsidRPr="002411F4">
        <w:t xml:space="preserve">client platforms (e.g., mobile phones, laptops, </w:t>
      </w:r>
      <w:r>
        <w:t xml:space="preserve">and </w:t>
      </w:r>
      <w:r w:rsidRPr="002411F4">
        <w:t>PDAs).</w:t>
      </w:r>
    </w:p>
    <w:p w:rsidR="00166B58" w:rsidRDefault="00166B58" w:rsidP="00166B58">
      <w:pPr>
        <w:ind w:left="1440" w:hanging="720"/>
      </w:pPr>
      <w:r>
        <w:rPr>
          <w:i/>
        </w:rPr>
        <w:t>R</w:t>
      </w:r>
      <w:r w:rsidRPr="00606EC8">
        <w:rPr>
          <w:i/>
        </w:rPr>
        <w:t xml:space="preserve">esource </w:t>
      </w:r>
      <w:r>
        <w:rPr>
          <w:i/>
        </w:rPr>
        <w:t>p</w:t>
      </w:r>
      <w:r w:rsidRPr="00606EC8">
        <w:rPr>
          <w:i/>
        </w:rPr>
        <w:t>ooling.</w:t>
      </w:r>
      <w:r>
        <w:t xml:space="preserve"> The provider’s computing resources are pooled to serve </w:t>
      </w:r>
      <w:r w:rsidRPr="008F63B8">
        <w:t>multiple</w:t>
      </w:r>
      <w:r>
        <w:t xml:space="preserv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network bandwidth, and virtual machines.</w:t>
      </w:r>
    </w:p>
    <w:p w:rsidR="00166B58" w:rsidRDefault="00166B58" w:rsidP="00166B58">
      <w:pPr>
        <w:ind w:left="1440" w:hanging="720"/>
      </w:pPr>
      <w:r>
        <w:rPr>
          <w:i/>
        </w:rPr>
        <w:t>Rapid elasticity</w:t>
      </w:r>
      <w:r w:rsidRPr="00525FD3">
        <w:rPr>
          <w:i/>
        </w:rPr>
        <w:t>.</w:t>
      </w:r>
      <w:r>
        <w:t xml:space="preserve"> </w:t>
      </w:r>
      <w:r w:rsidRPr="00474516">
        <w:t xml:space="preserve">Capabilities can be rapidly </w:t>
      </w:r>
      <w:r>
        <w:t xml:space="preserve">and elastically provisioned, </w:t>
      </w:r>
      <w:r w:rsidRPr="008F63B8">
        <w:t xml:space="preserve">in some cases automatically, to quickly scale </w:t>
      </w:r>
      <w:r>
        <w:t>out and rapidly released to quickly scale in. To the consumer, the capabilities available for provisioning often appear to be unlimited and can be purchased in any quantity at any time.</w:t>
      </w:r>
    </w:p>
    <w:p w:rsidR="00166B58" w:rsidRPr="00970757" w:rsidRDefault="00166B58" w:rsidP="00166B58">
      <w:pPr>
        <w:ind w:left="1440" w:hanging="720"/>
      </w:pPr>
      <w:r w:rsidRPr="002C7F9D">
        <w:rPr>
          <w:i/>
        </w:rPr>
        <w:t>Measured Service.</w:t>
      </w:r>
      <w:r w:rsidRPr="002C7F9D">
        <w:t xml:space="preserve"> Cloud systems automatically control and optimize resource use by leveraging a</w:t>
      </w:r>
      <w:r w:rsidRPr="00970757">
        <w:t xml:space="preserve">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rsidR="00166B58" w:rsidRDefault="00166B58" w:rsidP="00166B58"/>
    <w:p w:rsidR="00166B58" w:rsidRPr="00924AAC" w:rsidRDefault="00166B58" w:rsidP="00166B58">
      <w:pPr>
        <w:pStyle w:val="BodyText"/>
        <w:rPr>
          <w:b/>
          <w:bCs/>
        </w:rPr>
      </w:pPr>
      <w:r>
        <w:rPr>
          <w:b/>
          <w:bCs/>
        </w:rPr>
        <w:t>Service</w:t>
      </w:r>
      <w:r w:rsidRPr="00924AAC">
        <w:rPr>
          <w:b/>
          <w:bCs/>
        </w:rPr>
        <w:t xml:space="preserve"> Models:</w:t>
      </w:r>
    </w:p>
    <w:p w:rsidR="00166B58" w:rsidRDefault="00166B58" w:rsidP="00166B58">
      <w:pPr>
        <w:ind w:left="1440" w:hanging="720"/>
      </w:pPr>
      <w:r>
        <w:rPr>
          <w:i/>
        </w:rPr>
        <w:t>Cloud Software as a S</w:t>
      </w:r>
      <w:r w:rsidRPr="00C8712A">
        <w:rPr>
          <w:i/>
        </w:rPr>
        <w:t>ervice</w:t>
      </w:r>
      <w:r>
        <w:rPr>
          <w:i/>
        </w:rPr>
        <w:t xml:space="preserve"> (SaaS).</w:t>
      </w:r>
      <w:r>
        <w:t xml:space="preserve"> The capability provided to the consumer is to use the provider’s applications running on a cloud infrastructure. The applications are accessible from various client devices through a thin client interface such as a web browser (e.g., web-based email). The consumer</w:t>
      </w:r>
      <w:r w:rsidRPr="00B26B0A">
        <w:t xml:space="preserve"> </w:t>
      </w:r>
      <w:r>
        <w:t>does not manage or control the underlying cloud infrastructure including network, servers, operating systems, storage, or even individual application capabilities, with the possible exception of limited user-specific application configuration settings.</w:t>
      </w:r>
    </w:p>
    <w:p w:rsidR="00166B58" w:rsidRDefault="00166B58" w:rsidP="00166B58">
      <w:pPr>
        <w:ind w:left="1440" w:hanging="720"/>
      </w:pPr>
      <w:r>
        <w:rPr>
          <w:i/>
        </w:rPr>
        <w:t>Cloud Platform as a S</w:t>
      </w:r>
      <w:r w:rsidRPr="00B63783">
        <w:rPr>
          <w:i/>
        </w:rPr>
        <w:t>ervic</w:t>
      </w:r>
      <w:r>
        <w:rPr>
          <w:i/>
        </w:rPr>
        <w:t xml:space="preserve">e </w:t>
      </w:r>
      <w:r w:rsidRPr="00E04408">
        <w:rPr>
          <w:i/>
        </w:rPr>
        <w:t>(</w:t>
      </w:r>
      <w:r w:rsidRPr="008442CE">
        <w:rPr>
          <w:i/>
        </w:rPr>
        <w:t>PaaS)</w:t>
      </w:r>
      <w:r>
        <w:t>.</w:t>
      </w:r>
      <w:r w:rsidRPr="00E04408">
        <w:t xml:space="preserve"> </w:t>
      </w:r>
      <w:r>
        <w:t>The capability provided to the consumer is to deploy onto the cloud infrastructure consumer-created or acquired applications created using programming languages and tools supported by the provider. The consumer does not manage or control the underlying cloud infrastructure including network, servers, operating systems, or storage, but has control over the deployed applications and possibly application hosting environment configurations.</w:t>
      </w:r>
    </w:p>
    <w:p w:rsidR="00166B58" w:rsidRDefault="00166B58" w:rsidP="00166B58">
      <w:pPr>
        <w:ind w:left="1440" w:hanging="720"/>
      </w:pPr>
      <w:r w:rsidRPr="00254A54">
        <w:rPr>
          <w:i/>
        </w:rPr>
        <w:t xml:space="preserve">Cloud </w:t>
      </w:r>
      <w:r>
        <w:rPr>
          <w:i/>
        </w:rPr>
        <w:t>Infrastructure as a S</w:t>
      </w:r>
      <w:r w:rsidRPr="00254A54">
        <w:rPr>
          <w:i/>
        </w:rPr>
        <w:t>ervice</w:t>
      </w:r>
      <w:r>
        <w:rPr>
          <w:i/>
        </w:rPr>
        <w:t xml:space="preserve"> (IaaS). </w:t>
      </w:r>
      <w: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deployed applications, and possibly limited control of select networking components (e.g., host firewalls).</w:t>
      </w:r>
    </w:p>
    <w:p w:rsidR="00166B58" w:rsidRDefault="00166B58" w:rsidP="00166B58">
      <w:pPr>
        <w:ind w:left="1440" w:hanging="720"/>
      </w:pPr>
    </w:p>
    <w:p w:rsidR="00166B58" w:rsidRPr="00924AAC" w:rsidRDefault="00166B58" w:rsidP="00166B58">
      <w:pPr>
        <w:pStyle w:val="BodyText"/>
        <w:rPr>
          <w:b/>
          <w:bCs/>
        </w:rPr>
      </w:pPr>
      <w:r w:rsidRPr="00924AAC">
        <w:rPr>
          <w:b/>
          <w:bCs/>
        </w:rPr>
        <w:t>Deployment Models:</w:t>
      </w:r>
    </w:p>
    <w:p w:rsidR="00166B58" w:rsidRDefault="00166B58" w:rsidP="00166B58">
      <w:pPr>
        <w:ind w:left="1440" w:hanging="720"/>
      </w:pPr>
      <w:r>
        <w:rPr>
          <w:i/>
        </w:rPr>
        <w:t>Private c</w:t>
      </w:r>
      <w:r w:rsidRPr="00CB5DE5">
        <w:rPr>
          <w:i/>
        </w:rPr>
        <w:t>loud</w:t>
      </w:r>
      <w:r>
        <w:rPr>
          <w:i/>
        </w:rPr>
        <w:t xml:space="preserve">. </w:t>
      </w:r>
      <w:r>
        <w:t>The cloud infrastructure is operated solely for an organization. It may be managed by the organization or a third party and may exist on premise or off premise.</w:t>
      </w:r>
    </w:p>
    <w:p w:rsidR="00166B58" w:rsidRDefault="00166B58" w:rsidP="00166B58">
      <w:pPr>
        <w:ind w:left="1440" w:hanging="720"/>
      </w:pPr>
      <w:r w:rsidRPr="00DE07D6">
        <w:rPr>
          <w:i/>
        </w:rPr>
        <w:t xml:space="preserve">Community </w:t>
      </w:r>
      <w:r>
        <w:rPr>
          <w:i/>
        </w:rPr>
        <w:t>c</w:t>
      </w:r>
      <w:r w:rsidRPr="00DE07D6">
        <w:rPr>
          <w:i/>
        </w:rPr>
        <w:t>loud.</w:t>
      </w:r>
      <w:r>
        <w:t xml:space="preserve"> The cloud infrastructure is shared by several organizations and supports a specific community that has </w:t>
      </w:r>
      <w:r w:rsidRPr="00B26B0A">
        <w:t>shared concerns</w:t>
      </w:r>
      <w:r>
        <w:t xml:space="preserve"> (e.g., </w:t>
      </w:r>
      <w:r w:rsidRPr="00B26B0A">
        <w:t xml:space="preserve">mission, security requirements, </w:t>
      </w:r>
      <w:r>
        <w:t>p</w:t>
      </w:r>
      <w:r w:rsidRPr="00B26B0A">
        <w:t>olicy</w:t>
      </w:r>
      <w:r>
        <w:t>,</w:t>
      </w:r>
      <w:r w:rsidRPr="00B26B0A">
        <w:t xml:space="preserve"> and compliance considerations</w:t>
      </w:r>
      <w:r>
        <w:t>). It may be managed by the organizations or a third party and may exist on premise or off premise.</w:t>
      </w:r>
    </w:p>
    <w:p w:rsidR="00166B58" w:rsidRDefault="00166B58" w:rsidP="00166B58">
      <w:pPr>
        <w:ind w:left="1440" w:hanging="720"/>
      </w:pPr>
      <w:r w:rsidRPr="008D2078">
        <w:rPr>
          <w:i/>
        </w:rPr>
        <w:t>Public</w:t>
      </w:r>
      <w:r>
        <w:rPr>
          <w:i/>
        </w:rPr>
        <w:t xml:space="preserve"> c</w:t>
      </w:r>
      <w:r w:rsidRPr="008D2078">
        <w:rPr>
          <w:i/>
        </w:rPr>
        <w:t>loud</w:t>
      </w:r>
      <w:r>
        <w:rPr>
          <w:i/>
        </w:rPr>
        <w:t xml:space="preserve">. </w:t>
      </w:r>
      <w:r>
        <w:t>The cloud infrastructure is made available to the general public or a large industry group and is owned by an organization selling cloud services.</w:t>
      </w:r>
    </w:p>
    <w:p w:rsidR="00D55D77" w:rsidRDefault="00166B58" w:rsidP="00166B58">
      <w:pPr>
        <w:ind w:left="1440" w:hanging="720"/>
      </w:pPr>
      <w:r w:rsidRPr="005F1C81">
        <w:rPr>
          <w:i/>
        </w:rPr>
        <w:t>Hybrid cloud</w:t>
      </w:r>
      <w:r>
        <w:t>. The cloud infrastructure is a composition of two or more clouds (private, community, or public) that remain unique entities but are bound together by standardized or proprietary technology that enables data and application portability (e.g., cloud bursting for load-balancing between clouds).</w:t>
      </w:r>
    </w:p>
    <w:p w:rsidR="00845E3F" w:rsidRDefault="00845E3F" w:rsidP="00166B58">
      <w:pPr>
        <w:ind w:left="1440" w:hanging="720"/>
      </w:pPr>
    </w:p>
    <w:p w:rsidR="00845E3F" w:rsidRPr="0033220F" w:rsidRDefault="00845E3F" w:rsidP="00570D3D">
      <w:pPr>
        <w:ind w:left="720" w:hanging="720"/>
      </w:pPr>
      <w:r>
        <w:t>Note: Cloud software takes full advantage of the cloud paradigm by being service oriented with a focus on statelessness, low coupling, modularity, and semantic interoperability.</w:t>
      </w:r>
    </w:p>
    <w:sectPr w:rsidR="00845E3F" w:rsidRPr="0033220F" w:rsidSect="004400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8BA" w:rsidRDefault="004878BA">
      <w:r>
        <w:separator/>
      </w:r>
    </w:p>
  </w:endnote>
  <w:endnote w:type="continuationSeparator" w:id="0">
    <w:p w:rsidR="004878BA" w:rsidRDefault="004878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8BA" w:rsidRDefault="004878BA">
      <w:r>
        <w:separator/>
      </w:r>
    </w:p>
  </w:footnote>
  <w:footnote w:type="continuationSeparator" w:id="0">
    <w:p w:rsidR="004878BA" w:rsidRDefault="004878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07595"/>
    <w:multiLevelType w:val="hybridMultilevel"/>
    <w:tmpl w:val="61B02B3C"/>
    <w:lvl w:ilvl="0" w:tplc="03123A90">
      <w:start w:val="1"/>
      <w:numFmt w:val="bullet"/>
      <w:lvlText w:val="•"/>
      <w:lvlJc w:val="left"/>
      <w:pPr>
        <w:tabs>
          <w:tab w:val="num" w:pos="720"/>
        </w:tabs>
        <w:ind w:left="720" w:hanging="360"/>
      </w:pPr>
      <w:rPr>
        <w:rFonts w:ascii="Times New Roman" w:hAnsi="Times New Roman" w:hint="default"/>
      </w:rPr>
    </w:lvl>
    <w:lvl w:ilvl="1" w:tplc="FD08ABF2" w:tentative="1">
      <w:start w:val="1"/>
      <w:numFmt w:val="bullet"/>
      <w:lvlText w:val="•"/>
      <w:lvlJc w:val="left"/>
      <w:pPr>
        <w:tabs>
          <w:tab w:val="num" w:pos="1440"/>
        </w:tabs>
        <w:ind w:left="1440" w:hanging="360"/>
      </w:pPr>
      <w:rPr>
        <w:rFonts w:ascii="Times New Roman" w:hAnsi="Times New Roman" w:hint="default"/>
      </w:rPr>
    </w:lvl>
    <w:lvl w:ilvl="2" w:tplc="E420286E" w:tentative="1">
      <w:start w:val="1"/>
      <w:numFmt w:val="bullet"/>
      <w:lvlText w:val="•"/>
      <w:lvlJc w:val="left"/>
      <w:pPr>
        <w:tabs>
          <w:tab w:val="num" w:pos="2160"/>
        </w:tabs>
        <w:ind w:left="2160" w:hanging="360"/>
      </w:pPr>
      <w:rPr>
        <w:rFonts w:ascii="Times New Roman" w:hAnsi="Times New Roman" w:hint="default"/>
      </w:rPr>
    </w:lvl>
    <w:lvl w:ilvl="3" w:tplc="62FCB4BE" w:tentative="1">
      <w:start w:val="1"/>
      <w:numFmt w:val="bullet"/>
      <w:lvlText w:val="•"/>
      <w:lvlJc w:val="left"/>
      <w:pPr>
        <w:tabs>
          <w:tab w:val="num" w:pos="2880"/>
        </w:tabs>
        <w:ind w:left="2880" w:hanging="360"/>
      </w:pPr>
      <w:rPr>
        <w:rFonts w:ascii="Times New Roman" w:hAnsi="Times New Roman" w:hint="default"/>
      </w:rPr>
    </w:lvl>
    <w:lvl w:ilvl="4" w:tplc="67E2CD10" w:tentative="1">
      <w:start w:val="1"/>
      <w:numFmt w:val="bullet"/>
      <w:lvlText w:val="•"/>
      <w:lvlJc w:val="left"/>
      <w:pPr>
        <w:tabs>
          <w:tab w:val="num" w:pos="3600"/>
        </w:tabs>
        <w:ind w:left="3600" w:hanging="360"/>
      </w:pPr>
      <w:rPr>
        <w:rFonts w:ascii="Times New Roman" w:hAnsi="Times New Roman" w:hint="default"/>
      </w:rPr>
    </w:lvl>
    <w:lvl w:ilvl="5" w:tplc="77BCC368" w:tentative="1">
      <w:start w:val="1"/>
      <w:numFmt w:val="bullet"/>
      <w:lvlText w:val="•"/>
      <w:lvlJc w:val="left"/>
      <w:pPr>
        <w:tabs>
          <w:tab w:val="num" w:pos="4320"/>
        </w:tabs>
        <w:ind w:left="4320" w:hanging="360"/>
      </w:pPr>
      <w:rPr>
        <w:rFonts w:ascii="Times New Roman" w:hAnsi="Times New Roman" w:hint="default"/>
      </w:rPr>
    </w:lvl>
    <w:lvl w:ilvl="6" w:tplc="FA90265C" w:tentative="1">
      <w:start w:val="1"/>
      <w:numFmt w:val="bullet"/>
      <w:lvlText w:val="•"/>
      <w:lvlJc w:val="left"/>
      <w:pPr>
        <w:tabs>
          <w:tab w:val="num" w:pos="5040"/>
        </w:tabs>
        <w:ind w:left="5040" w:hanging="360"/>
      </w:pPr>
      <w:rPr>
        <w:rFonts w:ascii="Times New Roman" w:hAnsi="Times New Roman" w:hint="default"/>
      </w:rPr>
    </w:lvl>
    <w:lvl w:ilvl="7" w:tplc="13A897AE" w:tentative="1">
      <w:start w:val="1"/>
      <w:numFmt w:val="bullet"/>
      <w:lvlText w:val="•"/>
      <w:lvlJc w:val="left"/>
      <w:pPr>
        <w:tabs>
          <w:tab w:val="num" w:pos="5760"/>
        </w:tabs>
        <w:ind w:left="5760" w:hanging="360"/>
      </w:pPr>
      <w:rPr>
        <w:rFonts w:ascii="Times New Roman" w:hAnsi="Times New Roman" w:hint="default"/>
      </w:rPr>
    </w:lvl>
    <w:lvl w:ilvl="8" w:tplc="52FC0D2C" w:tentative="1">
      <w:start w:val="1"/>
      <w:numFmt w:val="bullet"/>
      <w:lvlText w:val="•"/>
      <w:lvlJc w:val="left"/>
      <w:pPr>
        <w:tabs>
          <w:tab w:val="num" w:pos="6480"/>
        </w:tabs>
        <w:ind w:left="6480" w:hanging="360"/>
      </w:pPr>
      <w:rPr>
        <w:rFonts w:ascii="Times New Roman" w:hAnsi="Times New Roman" w:hint="default"/>
      </w:rPr>
    </w:lvl>
  </w:abstractNum>
  <w:abstractNum w:abstractNumId="1">
    <w:nsid w:val="37C96A1B"/>
    <w:multiLevelType w:val="hybridMultilevel"/>
    <w:tmpl w:val="9FD63C1A"/>
    <w:lvl w:ilvl="0" w:tplc="3660756C">
      <w:start w:val="1"/>
      <w:numFmt w:val="bullet"/>
      <w:lvlText w:val="•"/>
      <w:lvlJc w:val="left"/>
      <w:pPr>
        <w:tabs>
          <w:tab w:val="num" w:pos="720"/>
        </w:tabs>
        <w:ind w:left="720" w:hanging="360"/>
      </w:pPr>
      <w:rPr>
        <w:rFonts w:ascii="Times New Roman" w:hAnsi="Times New Roman" w:hint="default"/>
      </w:rPr>
    </w:lvl>
    <w:lvl w:ilvl="1" w:tplc="52EA30EE" w:tentative="1">
      <w:start w:val="1"/>
      <w:numFmt w:val="bullet"/>
      <w:lvlText w:val="•"/>
      <w:lvlJc w:val="left"/>
      <w:pPr>
        <w:tabs>
          <w:tab w:val="num" w:pos="1440"/>
        </w:tabs>
        <w:ind w:left="1440" w:hanging="360"/>
      </w:pPr>
      <w:rPr>
        <w:rFonts w:ascii="Times New Roman" w:hAnsi="Times New Roman" w:hint="default"/>
      </w:rPr>
    </w:lvl>
    <w:lvl w:ilvl="2" w:tplc="64D2532E" w:tentative="1">
      <w:start w:val="1"/>
      <w:numFmt w:val="bullet"/>
      <w:lvlText w:val="•"/>
      <w:lvlJc w:val="left"/>
      <w:pPr>
        <w:tabs>
          <w:tab w:val="num" w:pos="2160"/>
        </w:tabs>
        <w:ind w:left="2160" w:hanging="360"/>
      </w:pPr>
      <w:rPr>
        <w:rFonts w:ascii="Times New Roman" w:hAnsi="Times New Roman" w:hint="default"/>
      </w:rPr>
    </w:lvl>
    <w:lvl w:ilvl="3" w:tplc="A4BC6914" w:tentative="1">
      <w:start w:val="1"/>
      <w:numFmt w:val="bullet"/>
      <w:lvlText w:val="•"/>
      <w:lvlJc w:val="left"/>
      <w:pPr>
        <w:tabs>
          <w:tab w:val="num" w:pos="2880"/>
        </w:tabs>
        <w:ind w:left="2880" w:hanging="360"/>
      </w:pPr>
      <w:rPr>
        <w:rFonts w:ascii="Times New Roman" w:hAnsi="Times New Roman" w:hint="default"/>
      </w:rPr>
    </w:lvl>
    <w:lvl w:ilvl="4" w:tplc="B8C01EFC" w:tentative="1">
      <w:start w:val="1"/>
      <w:numFmt w:val="bullet"/>
      <w:lvlText w:val="•"/>
      <w:lvlJc w:val="left"/>
      <w:pPr>
        <w:tabs>
          <w:tab w:val="num" w:pos="3600"/>
        </w:tabs>
        <w:ind w:left="3600" w:hanging="360"/>
      </w:pPr>
      <w:rPr>
        <w:rFonts w:ascii="Times New Roman" w:hAnsi="Times New Roman" w:hint="default"/>
      </w:rPr>
    </w:lvl>
    <w:lvl w:ilvl="5" w:tplc="134CB4CC" w:tentative="1">
      <w:start w:val="1"/>
      <w:numFmt w:val="bullet"/>
      <w:lvlText w:val="•"/>
      <w:lvlJc w:val="left"/>
      <w:pPr>
        <w:tabs>
          <w:tab w:val="num" w:pos="4320"/>
        </w:tabs>
        <w:ind w:left="4320" w:hanging="360"/>
      </w:pPr>
      <w:rPr>
        <w:rFonts w:ascii="Times New Roman" w:hAnsi="Times New Roman" w:hint="default"/>
      </w:rPr>
    </w:lvl>
    <w:lvl w:ilvl="6" w:tplc="835CFB84" w:tentative="1">
      <w:start w:val="1"/>
      <w:numFmt w:val="bullet"/>
      <w:lvlText w:val="•"/>
      <w:lvlJc w:val="left"/>
      <w:pPr>
        <w:tabs>
          <w:tab w:val="num" w:pos="5040"/>
        </w:tabs>
        <w:ind w:left="5040" w:hanging="360"/>
      </w:pPr>
      <w:rPr>
        <w:rFonts w:ascii="Times New Roman" w:hAnsi="Times New Roman" w:hint="default"/>
      </w:rPr>
    </w:lvl>
    <w:lvl w:ilvl="7" w:tplc="BBFC3B96" w:tentative="1">
      <w:start w:val="1"/>
      <w:numFmt w:val="bullet"/>
      <w:lvlText w:val="•"/>
      <w:lvlJc w:val="left"/>
      <w:pPr>
        <w:tabs>
          <w:tab w:val="num" w:pos="5760"/>
        </w:tabs>
        <w:ind w:left="5760" w:hanging="360"/>
      </w:pPr>
      <w:rPr>
        <w:rFonts w:ascii="Times New Roman" w:hAnsi="Times New Roman" w:hint="default"/>
      </w:rPr>
    </w:lvl>
    <w:lvl w:ilvl="8" w:tplc="3F482EB8" w:tentative="1">
      <w:start w:val="1"/>
      <w:numFmt w:val="bullet"/>
      <w:lvlText w:val="•"/>
      <w:lvlJc w:val="left"/>
      <w:pPr>
        <w:tabs>
          <w:tab w:val="num" w:pos="6480"/>
        </w:tabs>
        <w:ind w:left="6480" w:hanging="360"/>
      </w:pPr>
      <w:rPr>
        <w:rFonts w:ascii="Times New Roman" w:hAnsi="Times New Roman" w:hint="default"/>
      </w:rPr>
    </w:lvl>
  </w:abstractNum>
  <w:abstractNum w:abstractNumId="2">
    <w:nsid w:val="429F05AD"/>
    <w:multiLevelType w:val="hybridMultilevel"/>
    <w:tmpl w:val="B8CA9C72"/>
    <w:lvl w:ilvl="0" w:tplc="6DDC29AE">
      <w:start w:val="1"/>
      <w:numFmt w:val="bullet"/>
      <w:lvlText w:val=""/>
      <w:lvlJc w:val="left"/>
      <w:pPr>
        <w:tabs>
          <w:tab w:val="num" w:pos="720"/>
        </w:tabs>
        <w:ind w:left="720" w:hanging="360"/>
      </w:pPr>
      <w:rPr>
        <w:rFonts w:ascii="Symbol" w:hAnsi="Symbol" w:hint="default"/>
      </w:rPr>
    </w:lvl>
    <w:lvl w:ilvl="1" w:tplc="04090001">
      <w:start w:val="1"/>
      <w:numFmt w:val="bullet"/>
      <w:lvlText w:val="o"/>
      <w:lvlJc w:val="left"/>
      <w:pPr>
        <w:tabs>
          <w:tab w:val="num" w:pos="1440"/>
        </w:tabs>
        <w:ind w:left="1440" w:hanging="360"/>
      </w:pPr>
      <w:rPr>
        <w:rFonts w:ascii="Courier New" w:hAnsi="Courier New" w:cs="Courier New" w:hint="default"/>
      </w:rPr>
    </w:lvl>
    <w:lvl w:ilvl="2" w:tplc="F410BC04" w:tentative="1">
      <w:start w:val="1"/>
      <w:numFmt w:val="bullet"/>
      <w:lvlText w:val=""/>
      <w:lvlJc w:val="left"/>
      <w:pPr>
        <w:tabs>
          <w:tab w:val="num" w:pos="2160"/>
        </w:tabs>
        <w:ind w:left="2160" w:hanging="360"/>
      </w:pPr>
      <w:rPr>
        <w:rFonts w:ascii="Wingdings" w:hAnsi="Wingdings" w:hint="default"/>
      </w:rPr>
    </w:lvl>
    <w:lvl w:ilvl="3" w:tplc="90360B44" w:tentative="1">
      <w:start w:val="1"/>
      <w:numFmt w:val="bullet"/>
      <w:lvlText w:val=""/>
      <w:lvlJc w:val="left"/>
      <w:pPr>
        <w:tabs>
          <w:tab w:val="num" w:pos="2880"/>
        </w:tabs>
        <w:ind w:left="2880" w:hanging="360"/>
      </w:pPr>
      <w:rPr>
        <w:rFonts w:ascii="Symbol" w:hAnsi="Symbol" w:hint="default"/>
      </w:rPr>
    </w:lvl>
    <w:lvl w:ilvl="4" w:tplc="92CAEAB4" w:tentative="1">
      <w:start w:val="1"/>
      <w:numFmt w:val="bullet"/>
      <w:lvlText w:val="o"/>
      <w:lvlJc w:val="left"/>
      <w:pPr>
        <w:tabs>
          <w:tab w:val="num" w:pos="3600"/>
        </w:tabs>
        <w:ind w:left="3600" w:hanging="360"/>
      </w:pPr>
      <w:rPr>
        <w:rFonts w:ascii="Courier New" w:hAnsi="Courier New" w:cs="Courier New" w:hint="default"/>
      </w:rPr>
    </w:lvl>
    <w:lvl w:ilvl="5" w:tplc="BBF2AC5C" w:tentative="1">
      <w:start w:val="1"/>
      <w:numFmt w:val="bullet"/>
      <w:lvlText w:val=""/>
      <w:lvlJc w:val="left"/>
      <w:pPr>
        <w:tabs>
          <w:tab w:val="num" w:pos="4320"/>
        </w:tabs>
        <w:ind w:left="4320" w:hanging="360"/>
      </w:pPr>
      <w:rPr>
        <w:rFonts w:ascii="Wingdings" w:hAnsi="Wingdings" w:hint="default"/>
      </w:rPr>
    </w:lvl>
    <w:lvl w:ilvl="6" w:tplc="EF4AB3F6" w:tentative="1">
      <w:start w:val="1"/>
      <w:numFmt w:val="bullet"/>
      <w:lvlText w:val=""/>
      <w:lvlJc w:val="left"/>
      <w:pPr>
        <w:tabs>
          <w:tab w:val="num" w:pos="5040"/>
        </w:tabs>
        <w:ind w:left="5040" w:hanging="360"/>
      </w:pPr>
      <w:rPr>
        <w:rFonts w:ascii="Symbol" w:hAnsi="Symbol" w:hint="default"/>
      </w:rPr>
    </w:lvl>
    <w:lvl w:ilvl="7" w:tplc="6FA6D27A" w:tentative="1">
      <w:start w:val="1"/>
      <w:numFmt w:val="bullet"/>
      <w:lvlText w:val="o"/>
      <w:lvlJc w:val="left"/>
      <w:pPr>
        <w:tabs>
          <w:tab w:val="num" w:pos="5760"/>
        </w:tabs>
        <w:ind w:left="5760" w:hanging="360"/>
      </w:pPr>
      <w:rPr>
        <w:rFonts w:ascii="Courier New" w:hAnsi="Courier New" w:cs="Courier New" w:hint="default"/>
      </w:rPr>
    </w:lvl>
    <w:lvl w:ilvl="8" w:tplc="1302AECA" w:tentative="1">
      <w:start w:val="1"/>
      <w:numFmt w:val="bullet"/>
      <w:lvlText w:val=""/>
      <w:lvlJc w:val="left"/>
      <w:pPr>
        <w:tabs>
          <w:tab w:val="num" w:pos="6480"/>
        </w:tabs>
        <w:ind w:left="6480" w:hanging="360"/>
      </w:pPr>
      <w:rPr>
        <w:rFonts w:ascii="Wingdings" w:hAnsi="Wingdings" w:hint="default"/>
      </w:rPr>
    </w:lvl>
  </w:abstractNum>
  <w:abstractNum w:abstractNumId="3">
    <w:nsid w:val="5E1A610B"/>
    <w:multiLevelType w:val="hybridMultilevel"/>
    <w:tmpl w:val="4C34FA6A"/>
    <w:lvl w:ilvl="0" w:tplc="7CC4010C">
      <w:start w:val="1"/>
      <w:numFmt w:val="bullet"/>
      <w:lvlText w:val="•"/>
      <w:lvlJc w:val="left"/>
      <w:pPr>
        <w:tabs>
          <w:tab w:val="num" w:pos="720"/>
        </w:tabs>
        <w:ind w:left="720" w:hanging="360"/>
      </w:pPr>
      <w:rPr>
        <w:rFonts w:ascii="Times New Roman" w:hAnsi="Times New Roman" w:hint="default"/>
      </w:rPr>
    </w:lvl>
    <w:lvl w:ilvl="1" w:tplc="62745686" w:tentative="1">
      <w:start w:val="1"/>
      <w:numFmt w:val="bullet"/>
      <w:lvlText w:val="•"/>
      <w:lvlJc w:val="left"/>
      <w:pPr>
        <w:tabs>
          <w:tab w:val="num" w:pos="1440"/>
        </w:tabs>
        <w:ind w:left="1440" w:hanging="360"/>
      </w:pPr>
      <w:rPr>
        <w:rFonts w:ascii="Times New Roman" w:hAnsi="Times New Roman" w:hint="default"/>
      </w:rPr>
    </w:lvl>
    <w:lvl w:ilvl="2" w:tplc="A4D055EE" w:tentative="1">
      <w:start w:val="1"/>
      <w:numFmt w:val="bullet"/>
      <w:lvlText w:val="•"/>
      <w:lvlJc w:val="left"/>
      <w:pPr>
        <w:tabs>
          <w:tab w:val="num" w:pos="2160"/>
        </w:tabs>
        <w:ind w:left="2160" w:hanging="360"/>
      </w:pPr>
      <w:rPr>
        <w:rFonts w:ascii="Times New Roman" w:hAnsi="Times New Roman" w:hint="default"/>
      </w:rPr>
    </w:lvl>
    <w:lvl w:ilvl="3" w:tplc="2280D41E" w:tentative="1">
      <w:start w:val="1"/>
      <w:numFmt w:val="bullet"/>
      <w:lvlText w:val="•"/>
      <w:lvlJc w:val="left"/>
      <w:pPr>
        <w:tabs>
          <w:tab w:val="num" w:pos="2880"/>
        </w:tabs>
        <w:ind w:left="2880" w:hanging="360"/>
      </w:pPr>
      <w:rPr>
        <w:rFonts w:ascii="Times New Roman" w:hAnsi="Times New Roman" w:hint="default"/>
      </w:rPr>
    </w:lvl>
    <w:lvl w:ilvl="4" w:tplc="20DE384C" w:tentative="1">
      <w:start w:val="1"/>
      <w:numFmt w:val="bullet"/>
      <w:lvlText w:val="•"/>
      <w:lvlJc w:val="left"/>
      <w:pPr>
        <w:tabs>
          <w:tab w:val="num" w:pos="3600"/>
        </w:tabs>
        <w:ind w:left="3600" w:hanging="360"/>
      </w:pPr>
      <w:rPr>
        <w:rFonts w:ascii="Times New Roman" w:hAnsi="Times New Roman" w:hint="default"/>
      </w:rPr>
    </w:lvl>
    <w:lvl w:ilvl="5" w:tplc="3BC6760A" w:tentative="1">
      <w:start w:val="1"/>
      <w:numFmt w:val="bullet"/>
      <w:lvlText w:val="•"/>
      <w:lvlJc w:val="left"/>
      <w:pPr>
        <w:tabs>
          <w:tab w:val="num" w:pos="4320"/>
        </w:tabs>
        <w:ind w:left="4320" w:hanging="360"/>
      </w:pPr>
      <w:rPr>
        <w:rFonts w:ascii="Times New Roman" w:hAnsi="Times New Roman" w:hint="default"/>
      </w:rPr>
    </w:lvl>
    <w:lvl w:ilvl="6" w:tplc="F14C9758" w:tentative="1">
      <w:start w:val="1"/>
      <w:numFmt w:val="bullet"/>
      <w:lvlText w:val="•"/>
      <w:lvlJc w:val="left"/>
      <w:pPr>
        <w:tabs>
          <w:tab w:val="num" w:pos="5040"/>
        </w:tabs>
        <w:ind w:left="5040" w:hanging="360"/>
      </w:pPr>
      <w:rPr>
        <w:rFonts w:ascii="Times New Roman" w:hAnsi="Times New Roman" w:hint="default"/>
      </w:rPr>
    </w:lvl>
    <w:lvl w:ilvl="7" w:tplc="9BEAC798" w:tentative="1">
      <w:start w:val="1"/>
      <w:numFmt w:val="bullet"/>
      <w:lvlText w:val="•"/>
      <w:lvlJc w:val="left"/>
      <w:pPr>
        <w:tabs>
          <w:tab w:val="num" w:pos="5760"/>
        </w:tabs>
        <w:ind w:left="5760" w:hanging="360"/>
      </w:pPr>
      <w:rPr>
        <w:rFonts w:ascii="Times New Roman" w:hAnsi="Times New Roman" w:hint="default"/>
      </w:rPr>
    </w:lvl>
    <w:lvl w:ilvl="8" w:tplc="8B863E84" w:tentative="1">
      <w:start w:val="1"/>
      <w:numFmt w:val="bullet"/>
      <w:lvlText w:val="•"/>
      <w:lvlJc w:val="left"/>
      <w:pPr>
        <w:tabs>
          <w:tab w:val="num" w:pos="6480"/>
        </w:tabs>
        <w:ind w:left="6480" w:hanging="360"/>
      </w:pPr>
      <w:rPr>
        <w:rFonts w:ascii="Times New Roman" w:hAnsi="Times New Roman" w:hint="default"/>
      </w:rPr>
    </w:lvl>
  </w:abstractNum>
  <w:abstractNum w:abstractNumId="4">
    <w:nsid w:val="6C455CB2"/>
    <w:multiLevelType w:val="hybridMultilevel"/>
    <w:tmpl w:val="E0F0EC2C"/>
    <w:lvl w:ilvl="0" w:tplc="DC6A5E9E">
      <w:start w:val="1"/>
      <w:numFmt w:val="bullet"/>
      <w:lvlText w:val="•"/>
      <w:lvlJc w:val="left"/>
      <w:pPr>
        <w:tabs>
          <w:tab w:val="num" w:pos="720"/>
        </w:tabs>
        <w:ind w:left="720" w:hanging="360"/>
      </w:pPr>
      <w:rPr>
        <w:rFonts w:ascii="Times New Roman" w:hAnsi="Times New Roman" w:hint="default"/>
      </w:rPr>
    </w:lvl>
    <w:lvl w:ilvl="1" w:tplc="33ACA7D2">
      <w:start w:val="165"/>
      <w:numFmt w:val="bullet"/>
      <w:lvlText w:val="–"/>
      <w:lvlJc w:val="left"/>
      <w:pPr>
        <w:tabs>
          <w:tab w:val="num" w:pos="1440"/>
        </w:tabs>
        <w:ind w:left="1440" w:hanging="360"/>
      </w:pPr>
      <w:rPr>
        <w:rFonts w:ascii="Times New Roman" w:hAnsi="Times New Roman" w:hint="default"/>
      </w:rPr>
    </w:lvl>
    <w:lvl w:ilvl="2" w:tplc="C2DE50B6" w:tentative="1">
      <w:start w:val="1"/>
      <w:numFmt w:val="bullet"/>
      <w:lvlText w:val="•"/>
      <w:lvlJc w:val="left"/>
      <w:pPr>
        <w:tabs>
          <w:tab w:val="num" w:pos="2160"/>
        </w:tabs>
        <w:ind w:left="2160" w:hanging="360"/>
      </w:pPr>
      <w:rPr>
        <w:rFonts w:ascii="Times New Roman" w:hAnsi="Times New Roman" w:hint="default"/>
      </w:rPr>
    </w:lvl>
    <w:lvl w:ilvl="3" w:tplc="E3003A9E" w:tentative="1">
      <w:start w:val="1"/>
      <w:numFmt w:val="bullet"/>
      <w:lvlText w:val="•"/>
      <w:lvlJc w:val="left"/>
      <w:pPr>
        <w:tabs>
          <w:tab w:val="num" w:pos="2880"/>
        </w:tabs>
        <w:ind w:left="2880" w:hanging="360"/>
      </w:pPr>
      <w:rPr>
        <w:rFonts w:ascii="Times New Roman" w:hAnsi="Times New Roman" w:hint="default"/>
      </w:rPr>
    </w:lvl>
    <w:lvl w:ilvl="4" w:tplc="47D895CC" w:tentative="1">
      <w:start w:val="1"/>
      <w:numFmt w:val="bullet"/>
      <w:lvlText w:val="•"/>
      <w:lvlJc w:val="left"/>
      <w:pPr>
        <w:tabs>
          <w:tab w:val="num" w:pos="3600"/>
        </w:tabs>
        <w:ind w:left="3600" w:hanging="360"/>
      </w:pPr>
      <w:rPr>
        <w:rFonts w:ascii="Times New Roman" w:hAnsi="Times New Roman" w:hint="default"/>
      </w:rPr>
    </w:lvl>
    <w:lvl w:ilvl="5" w:tplc="2E6EB866" w:tentative="1">
      <w:start w:val="1"/>
      <w:numFmt w:val="bullet"/>
      <w:lvlText w:val="•"/>
      <w:lvlJc w:val="left"/>
      <w:pPr>
        <w:tabs>
          <w:tab w:val="num" w:pos="4320"/>
        </w:tabs>
        <w:ind w:left="4320" w:hanging="360"/>
      </w:pPr>
      <w:rPr>
        <w:rFonts w:ascii="Times New Roman" w:hAnsi="Times New Roman" w:hint="default"/>
      </w:rPr>
    </w:lvl>
    <w:lvl w:ilvl="6" w:tplc="8FB46052" w:tentative="1">
      <w:start w:val="1"/>
      <w:numFmt w:val="bullet"/>
      <w:lvlText w:val="•"/>
      <w:lvlJc w:val="left"/>
      <w:pPr>
        <w:tabs>
          <w:tab w:val="num" w:pos="5040"/>
        </w:tabs>
        <w:ind w:left="5040" w:hanging="360"/>
      </w:pPr>
      <w:rPr>
        <w:rFonts w:ascii="Times New Roman" w:hAnsi="Times New Roman" w:hint="default"/>
      </w:rPr>
    </w:lvl>
    <w:lvl w:ilvl="7" w:tplc="83C80B12" w:tentative="1">
      <w:start w:val="1"/>
      <w:numFmt w:val="bullet"/>
      <w:lvlText w:val="•"/>
      <w:lvlJc w:val="left"/>
      <w:pPr>
        <w:tabs>
          <w:tab w:val="num" w:pos="5760"/>
        </w:tabs>
        <w:ind w:left="5760" w:hanging="360"/>
      </w:pPr>
      <w:rPr>
        <w:rFonts w:ascii="Times New Roman" w:hAnsi="Times New Roman" w:hint="default"/>
      </w:rPr>
    </w:lvl>
    <w:lvl w:ilvl="8" w:tplc="143827A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FELayout/>
  </w:compat>
  <w:rsids>
    <w:rsidRoot w:val="00841DA1"/>
    <w:rsid w:val="000047CF"/>
    <w:rsid w:val="00005745"/>
    <w:rsid w:val="00006088"/>
    <w:rsid w:val="0001309A"/>
    <w:rsid w:val="00013D39"/>
    <w:rsid w:val="00015635"/>
    <w:rsid w:val="000218DE"/>
    <w:rsid w:val="00032F22"/>
    <w:rsid w:val="00036FA4"/>
    <w:rsid w:val="00054148"/>
    <w:rsid w:val="0006027A"/>
    <w:rsid w:val="00066BC3"/>
    <w:rsid w:val="00072F2E"/>
    <w:rsid w:val="00074F94"/>
    <w:rsid w:val="00075E32"/>
    <w:rsid w:val="00083C9A"/>
    <w:rsid w:val="00090A41"/>
    <w:rsid w:val="000A0AB3"/>
    <w:rsid w:val="000A3B1C"/>
    <w:rsid w:val="000A6492"/>
    <w:rsid w:val="000A6D80"/>
    <w:rsid w:val="000C3017"/>
    <w:rsid w:val="000D4C5D"/>
    <w:rsid w:val="000E25FE"/>
    <w:rsid w:val="001010A7"/>
    <w:rsid w:val="001018F5"/>
    <w:rsid w:val="001079DF"/>
    <w:rsid w:val="00117057"/>
    <w:rsid w:val="00117B7A"/>
    <w:rsid w:val="0012003F"/>
    <w:rsid w:val="0012664E"/>
    <w:rsid w:val="00157138"/>
    <w:rsid w:val="00163D3C"/>
    <w:rsid w:val="0016539D"/>
    <w:rsid w:val="00166B58"/>
    <w:rsid w:val="00171F4E"/>
    <w:rsid w:val="00183313"/>
    <w:rsid w:val="00186580"/>
    <w:rsid w:val="00187600"/>
    <w:rsid w:val="001A6259"/>
    <w:rsid w:val="001B1264"/>
    <w:rsid w:val="001B542A"/>
    <w:rsid w:val="001C01F7"/>
    <w:rsid w:val="001C2F37"/>
    <w:rsid w:val="001C3279"/>
    <w:rsid w:val="001C57EB"/>
    <w:rsid w:val="001E043D"/>
    <w:rsid w:val="001E1E81"/>
    <w:rsid w:val="001E334D"/>
    <w:rsid w:val="001E5462"/>
    <w:rsid w:val="001E6249"/>
    <w:rsid w:val="001E6528"/>
    <w:rsid w:val="001F3E5C"/>
    <w:rsid w:val="001F5DA8"/>
    <w:rsid w:val="001F6B84"/>
    <w:rsid w:val="00202A61"/>
    <w:rsid w:val="002042E3"/>
    <w:rsid w:val="002079B9"/>
    <w:rsid w:val="002104AB"/>
    <w:rsid w:val="00215F8E"/>
    <w:rsid w:val="00225F75"/>
    <w:rsid w:val="00235C52"/>
    <w:rsid w:val="00235E8C"/>
    <w:rsid w:val="00237936"/>
    <w:rsid w:val="00237F3A"/>
    <w:rsid w:val="002411F4"/>
    <w:rsid w:val="00254A54"/>
    <w:rsid w:val="00255BB5"/>
    <w:rsid w:val="00256A92"/>
    <w:rsid w:val="002578A5"/>
    <w:rsid w:val="00260D2E"/>
    <w:rsid w:val="00266EEE"/>
    <w:rsid w:val="00273A95"/>
    <w:rsid w:val="0027604C"/>
    <w:rsid w:val="00276762"/>
    <w:rsid w:val="0027727F"/>
    <w:rsid w:val="00280DDD"/>
    <w:rsid w:val="00294615"/>
    <w:rsid w:val="002A3BCD"/>
    <w:rsid w:val="002B474F"/>
    <w:rsid w:val="002B7B13"/>
    <w:rsid w:val="002C7F9D"/>
    <w:rsid w:val="002D0462"/>
    <w:rsid w:val="002D06B8"/>
    <w:rsid w:val="002D09CD"/>
    <w:rsid w:val="002D260B"/>
    <w:rsid w:val="002D3725"/>
    <w:rsid w:val="002D790E"/>
    <w:rsid w:val="002E7647"/>
    <w:rsid w:val="002F4CB5"/>
    <w:rsid w:val="00320077"/>
    <w:rsid w:val="0033220F"/>
    <w:rsid w:val="00332675"/>
    <w:rsid w:val="003327E5"/>
    <w:rsid w:val="0034373B"/>
    <w:rsid w:val="003455E7"/>
    <w:rsid w:val="0035337B"/>
    <w:rsid w:val="00381C36"/>
    <w:rsid w:val="0039019E"/>
    <w:rsid w:val="00394591"/>
    <w:rsid w:val="003961AC"/>
    <w:rsid w:val="003A1E9F"/>
    <w:rsid w:val="003B104E"/>
    <w:rsid w:val="003E453B"/>
    <w:rsid w:val="003E585F"/>
    <w:rsid w:val="003E6608"/>
    <w:rsid w:val="003F1FA8"/>
    <w:rsid w:val="003F6E3A"/>
    <w:rsid w:val="003F7E97"/>
    <w:rsid w:val="00416D32"/>
    <w:rsid w:val="00420337"/>
    <w:rsid w:val="00425CF4"/>
    <w:rsid w:val="0044007B"/>
    <w:rsid w:val="00446F42"/>
    <w:rsid w:val="0045070A"/>
    <w:rsid w:val="00454D37"/>
    <w:rsid w:val="00472CCF"/>
    <w:rsid w:val="00474516"/>
    <w:rsid w:val="0047498A"/>
    <w:rsid w:val="0047628A"/>
    <w:rsid w:val="004770CD"/>
    <w:rsid w:val="004878BA"/>
    <w:rsid w:val="00494C91"/>
    <w:rsid w:val="004956CE"/>
    <w:rsid w:val="004A163B"/>
    <w:rsid w:val="004C4805"/>
    <w:rsid w:val="004D21EB"/>
    <w:rsid w:val="004D4A64"/>
    <w:rsid w:val="004E0B52"/>
    <w:rsid w:val="004E2C60"/>
    <w:rsid w:val="004E6EBB"/>
    <w:rsid w:val="004F1DFF"/>
    <w:rsid w:val="0050281A"/>
    <w:rsid w:val="00510F10"/>
    <w:rsid w:val="00511B86"/>
    <w:rsid w:val="00512BDF"/>
    <w:rsid w:val="00520087"/>
    <w:rsid w:val="005254F2"/>
    <w:rsid w:val="00525FD3"/>
    <w:rsid w:val="0053214B"/>
    <w:rsid w:val="00535B57"/>
    <w:rsid w:val="00543321"/>
    <w:rsid w:val="00546FD3"/>
    <w:rsid w:val="005510CE"/>
    <w:rsid w:val="00555ACC"/>
    <w:rsid w:val="00557784"/>
    <w:rsid w:val="00560178"/>
    <w:rsid w:val="0056744C"/>
    <w:rsid w:val="00570D3D"/>
    <w:rsid w:val="005A0B9C"/>
    <w:rsid w:val="005A2315"/>
    <w:rsid w:val="005A34D2"/>
    <w:rsid w:val="005B2A68"/>
    <w:rsid w:val="005B74D9"/>
    <w:rsid w:val="005D22AA"/>
    <w:rsid w:val="005D5AC2"/>
    <w:rsid w:val="005E11D9"/>
    <w:rsid w:val="005E6D00"/>
    <w:rsid w:val="005F1C81"/>
    <w:rsid w:val="00606EC8"/>
    <w:rsid w:val="00626D84"/>
    <w:rsid w:val="00633847"/>
    <w:rsid w:val="00640DC3"/>
    <w:rsid w:val="00645981"/>
    <w:rsid w:val="0065153D"/>
    <w:rsid w:val="0065578F"/>
    <w:rsid w:val="0065684F"/>
    <w:rsid w:val="00657874"/>
    <w:rsid w:val="00666FBE"/>
    <w:rsid w:val="00670580"/>
    <w:rsid w:val="006752DF"/>
    <w:rsid w:val="006770E6"/>
    <w:rsid w:val="00681659"/>
    <w:rsid w:val="00686780"/>
    <w:rsid w:val="006937F8"/>
    <w:rsid w:val="006A2324"/>
    <w:rsid w:val="006C2421"/>
    <w:rsid w:val="006C3A98"/>
    <w:rsid w:val="006D0B30"/>
    <w:rsid w:val="006F403E"/>
    <w:rsid w:val="006F6618"/>
    <w:rsid w:val="007029B5"/>
    <w:rsid w:val="00707906"/>
    <w:rsid w:val="00715004"/>
    <w:rsid w:val="00726B4C"/>
    <w:rsid w:val="00737356"/>
    <w:rsid w:val="00746595"/>
    <w:rsid w:val="0076355A"/>
    <w:rsid w:val="007667AA"/>
    <w:rsid w:val="0077053B"/>
    <w:rsid w:val="00775974"/>
    <w:rsid w:val="00776A68"/>
    <w:rsid w:val="007845E4"/>
    <w:rsid w:val="00787200"/>
    <w:rsid w:val="00787276"/>
    <w:rsid w:val="007A0C37"/>
    <w:rsid w:val="007A5A8D"/>
    <w:rsid w:val="007B25CD"/>
    <w:rsid w:val="007B2657"/>
    <w:rsid w:val="007B4C39"/>
    <w:rsid w:val="007C3918"/>
    <w:rsid w:val="007C5A78"/>
    <w:rsid w:val="007C6B1C"/>
    <w:rsid w:val="007D3B27"/>
    <w:rsid w:val="007D6566"/>
    <w:rsid w:val="007E01F7"/>
    <w:rsid w:val="007E6B40"/>
    <w:rsid w:val="007F15D4"/>
    <w:rsid w:val="007F358E"/>
    <w:rsid w:val="007F7619"/>
    <w:rsid w:val="00841DA1"/>
    <w:rsid w:val="00844B2A"/>
    <w:rsid w:val="00845E3F"/>
    <w:rsid w:val="00866D33"/>
    <w:rsid w:val="00892A48"/>
    <w:rsid w:val="008B129D"/>
    <w:rsid w:val="008B23AA"/>
    <w:rsid w:val="008C02D8"/>
    <w:rsid w:val="008D2078"/>
    <w:rsid w:val="008E066D"/>
    <w:rsid w:val="008E153C"/>
    <w:rsid w:val="008E45F5"/>
    <w:rsid w:val="008E6C9C"/>
    <w:rsid w:val="008E73D4"/>
    <w:rsid w:val="008E78C0"/>
    <w:rsid w:val="008F1E6C"/>
    <w:rsid w:val="008F200A"/>
    <w:rsid w:val="008F2646"/>
    <w:rsid w:val="00913558"/>
    <w:rsid w:val="0091397F"/>
    <w:rsid w:val="00914E17"/>
    <w:rsid w:val="00920F1D"/>
    <w:rsid w:val="009452C7"/>
    <w:rsid w:val="009462AC"/>
    <w:rsid w:val="0095271B"/>
    <w:rsid w:val="0095630E"/>
    <w:rsid w:val="00970757"/>
    <w:rsid w:val="00971F7A"/>
    <w:rsid w:val="0099140F"/>
    <w:rsid w:val="00996412"/>
    <w:rsid w:val="009B4A55"/>
    <w:rsid w:val="009B73E5"/>
    <w:rsid w:val="009C0C91"/>
    <w:rsid w:val="009C303D"/>
    <w:rsid w:val="009D1CF9"/>
    <w:rsid w:val="009D479B"/>
    <w:rsid w:val="009E7207"/>
    <w:rsid w:val="009F4D40"/>
    <w:rsid w:val="00A33692"/>
    <w:rsid w:val="00A41E05"/>
    <w:rsid w:val="00A4416C"/>
    <w:rsid w:val="00A716B8"/>
    <w:rsid w:val="00A71CC3"/>
    <w:rsid w:val="00A73316"/>
    <w:rsid w:val="00A90105"/>
    <w:rsid w:val="00A9106C"/>
    <w:rsid w:val="00A92E3D"/>
    <w:rsid w:val="00A97B60"/>
    <w:rsid w:val="00AA3C3A"/>
    <w:rsid w:val="00AB0CCE"/>
    <w:rsid w:val="00AB25EA"/>
    <w:rsid w:val="00AB4568"/>
    <w:rsid w:val="00AB4D9A"/>
    <w:rsid w:val="00AB5C10"/>
    <w:rsid w:val="00AC7C53"/>
    <w:rsid w:val="00AD07ED"/>
    <w:rsid w:val="00AD4D39"/>
    <w:rsid w:val="00AE6DB3"/>
    <w:rsid w:val="00AF1861"/>
    <w:rsid w:val="00AF1D14"/>
    <w:rsid w:val="00B0429A"/>
    <w:rsid w:val="00B101DE"/>
    <w:rsid w:val="00B130CE"/>
    <w:rsid w:val="00B27D66"/>
    <w:rsid w:val="00B30E4E"/>
    <w:rsid w:val="00B31B70"/>
    <w:rsid w:val="00B42EDD"/>
    <w:rsid w:val="00B43032"/>
    <w:rsid w:val="00B46262"/>
    <w:rsid w:val="00B47774"/>
    <w:rsid w:val="00B50A42"/>
    <w:rsid w:val="00B52FB2"/>
    <w:rsid w:val="00B54784"/>
    <w:rsid w:val="00B62D14"/>
    <w:rsid w:val="00B63783"/>
    <w:rsid w:val="00B70203"/>
    <w:rsid w:val="00B73E1A"/>
    <w:rsid w:val="00B839B3"/>
    <w:rsid w:val="00B867F4"/>
    <w:rsid w:val="00B87FF5"/>
    <w:rsid w:val="00B9682D"/>
    <w:rsid w:val="00BC726E"/>
    <w:rsid w:val="00BD007E"/>
    <w:rsid w:val="00BD3979"/>
    <w:rsid w:val="00BD581A"/>
    <w:rsid w:val="00BE1AE2"/>
    <w:rsid w:val="00BE26C4"/>
    <w:rsid w:val="00BE4A39"/>
    <w:rsid w:val="00BF40D1"/>
    <w:rsid w:val="00BF57AB"/>
    <w:rsid w:val="00BF63C2"/>
    <w:rsid w:val="00BF6F99"/>
    <w:rsid w:val="00C01F14"/>
    <w:rsid w:val="00C03689"/>
    <w:rsid w:val="00C03E51"/>
    <w:rsid w:val="00C12510"/>
    <w:rsid w:val="00C156EE"/>
    <w:rsid w:val="00C21D2F"/>
    <w:rsid w:val="00C22E65"/>
    <w:rsid w:val="00C273CE"/>
    <w:rsid w:val="00C30B37"/>
    <w:rsid w:val="00C31D86"/>
    <w:rsid w:val="00C347FE"/>
    <w:rsid w:val="00C549ED"/>
    <w:rsid w:val="00C63CA2"/>
    <w:rsid w:val="00C65950"/>
    <w:rsid w:val="00C777EF"/>
    <w:rsid w:val="00C83487"/>
    <w:rsid w:val="00C8712A"/>
    <w:rsid w:val="00C87364"/>
    <w:rsid w:val="00C97642"/>
    <w:rsid w:val="00CB5DE5"/>
    <w:rsid w:val="00CB7EB6"/>
    <w:rsid w:val="00CC29AB"/>
    <w:rsid w:val="00CD24F6"/>
    <w:rsid w:val="00CD3B1A"/>
    <w:rsid w:val="00CE144B"/>
    <w:rsid w:val="00CE2685"/>
    <w:rsid w:val="00CE71CD"/>
    <w:rsid w:val="00CF5FD4"/>
    <w:rsid w:val="00D147D1"/>
    <w:rsid w:val="00D16892"/>
    <w:rsid w:val="00D32C11"/>
    <w:rsid w:val="00D33322"/>
    <w:rsid w:val="00D42C4E"/>
    <w:rsid w:val="00D5234F"/>
    <w:rsid w:val="00D52A8D"/>
    <w:rsid w:val="00D55D77"/>
    <w:rsid w:val="00D56EBA"/>
    <w:rsid w:val="00D64489"/>
    <w:rsid w:val="00D800E1"/>
    <w:rsid w:val="00D82239"/>
    <w:rsid w:val="00D9186F"/>
    <w:rsid w:val="00DA0504"/>
    <w:rsid w:val="00DB14C6"/>
    <w:rsid w:val="00DC0BFB"/>
    <w:rsid w:val="00DC1E21"/>
    <w:rsid w:val="00DC4E39"/>
    <w:rsid w:val="00DC7ADF"/>
    <w:rsid w:val="00DD0CA5"/>
    <w:rsid w:val="00DD26D8"/>
    <w:rsid w:val="00DE07D6"/>
    <w:rsid w:val="00DF0115"/>
    <w:rsid w:val="00E03E63"/>
    <w:rsid w:val="00E05B88"/>
    <w:rsid w:val="00E151A9"/>
    <w:rsid w:val="00E60061"/>
    <w:rsid w:val="00E717BE"/>
    <w:rsid w:val="00E7394A"/>
    <w:rsid w:val="00E83DD4"/>
    <w:rsid w:val="00E91DFB"/>
    <w:rsid w:val="00E95C4C"/>
    <w:rsid w:val="00EB6DEE"/>
    <w:rsid w:val="00EF29E2"/>
    <w:rsid w:val="00EF4799"/>
    <w:rsid w:val="00EF4C0D"/>
    <w:rsid w:val="00EF4C76"/>
    <w:rsid w:val="00F07026"/>
    <w:rsid w:val="00F106B3"/>
    <w:rsid w:val="00F11DD6"/>
    <w:rsid w:val="00F16765"/>
    <w:rsid w:val="00F2401A"/>
    <w:rsid w:val="00F40340"/>
    <w:rsid w:val="00F42D1D"/>
    <w:rsid w:val="00F452E0"/>
    <w:rsid w:val="00F52FFB"/>
    <w:rsid w:val="00F666A6"/>
    <w:rsid w:val="00F82F75"/>
    <w:rsid w:val="00FB7172"/>
    <w:rsid w:val="00FD01C7"/>
    <w:rsid w:val="00FD4BA7"/>
    <w:rsid w:val="00FD5159"/>
    <w:rsid w:val="00FE5592"/>
    <w:rsid w:val="00FF1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F1D"/>
    <w:rPr>
      <w:sz w:val="24"/>
      <w:szCs w:val="24"/>
      <w:lang w:eastAsia="ja-JP"/>
    </w:rPr>
  </w:style>
  <w:style w:type="paragraph" w:styleId="Heading1">
    <w:name w:val="heading 1"/>
    <w:basedOn w:val="Normal"/>
    <w:next w:val="Normal"/>
    <w:qFormat/>
    <w:rsid w:val="00AD4D3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4598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autoRedefine/>
    <w:qFormat/>
    <w:rsid w:val="00AD4D39"/>
    <w:pPr>
      <w:keepNext/>
      <w:spacing w:before="240" w:after="6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841DA1"/>
    <w:pPr>
      <w:suppressAutoHyphens/>
      <w:spacing w:after="240"/>
    </w:pPr>
    <w:rPr>
      <w:rFonts w:eastAsia="Times New Roman"/>
      <w:sz w:val="22"/>
      <w:szCs w:val="20"/>
      <w:lang w:eastAsia="en-US"/>
    </w:rPr>
  </w:style>
  <w:style w:type="paragraph" w:styleId="DocumentMap">
    <w:name w:val="Document Map"/>
    <w:basedOn w:val="Normal"/>
    <w:semiHidden/>
    <w:rsid w:val="000A6D80"/>
    <w:pPr>
      <w:shd w:val="clear" w:color="auto" w:fill="000080"/>
    </w:pPr>
    <w:rPr>
      <w:rFonts w:ascii="Tahoma" w:hAnsi="Tahoma" w:cs="Tahoma"/>
      <w:sz w:val="20"/>
      <w:szCs w:val="20"/>
    </w:rPr>
  </w:style>
  <w:style w:type="table" w:styleId="TableGrid">
    <w:name w:val="Table Grid"/>
    <w:basedOn w:val="TableNormal"/>
    <w:rsid w:val="00BF57AB"/>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C03689"/>
    <w:rPr>
      <w:sz w:val="16"/>
      <w:szCs w:val="16"/>
    </w:rPr>
  </w:style>
  <w:style w:type="paragraph" w:styleId="CommentText">
    <w:name w:val="annotation text"/>
    <w:basedOn w:val="Normal"/>
    <w:link w:val="CommentTextChar"/>
    <w:semiHidden/>
    <w:rsid w:val="00C03689"/>
    <w:rPr>
      <w:sz w:val="20"/>
      <w:szCs w:val="20"/>
    </w:rPr>
  </w:style>
  <w:style w:type="paragraph" w:styleId="CommentSubject">
    <w:name w:val="annotation subject"/>
    <w:basedOn w:val="CommentText"/>
    <w:next w:val="CommentText"/>
    <w:semiHidden/>
    <w:rsid w:val="00C03689"/>
    <w:rPr>
      <w:b/>
      <w:bCs/>
    </w:rPr>
  </w:style>
  <w:style w:type="paragraph" w:styleId="BalloonText">
    <w:name w:val="Balloon Text"/>
    <w:basedOn w:val="Normal"/>
    <w:semiHidden/>
    <w:rsid w:val="00C03689"/>
    <w:rPr>
      <w:rFonts w:ascii="Tahoma" w:hAnsi="Tahoma" w:cs="Tahoma"/>
      <w:sz w:val="16"/>
      <w:szCs w:val="16"/>
    </w:rPr>
  </w:style>
  <w:style w:type="paragraph" w:styleId="FootnoteText">
    <w:name w:val="footnote text"/>
    <w:basedOn w:val="Normal"/>
    <w:link w:val="FootnoteTextChar"/>
    <w:semiHidden/>
    <w:rsid w:val="007A5A8D"/>
    <w:rPr>
      <w:sz w:val="20"/>
      <w:szCs w:val="20"/>
    </w:rPr>
  </w:style>
  <w:style w:type="character" w:styleId="FootnoteReference">
    <w:name w:val="footnote reference"/>
    <w:basedOn w:val="DefaultParagraphFont"/>
    <w:semiHidden/>
    <w:rsid w:val="007A5A8D"/>
    <w:rPr>
      <w:vertAlign w:val="superscript"/>
    </w:rPr>
  </w:style>
  <w:style w:type="character" w:customStyle="1" w:styleId="Heading3Char">
    <w:name w:val="Heading 3 Char"/>
    <w:basedOn w:val="DefaultParagraphFont"/>
    <w:link w:val="Heading3"/>
    <w:rsid w:val="00AD4D39"/>
    <w:rPr>
      <w:rFonts w:ascii="Arial" w:eastAsia="MS Mincho" w:hAnsi="Arial" w:cs="Arial"/>
      <w:b/>
      <w:bCs/>
      <w:sz w:val="24"/>
      <w:szCs w:val="26"/>
      <w:lang w:val="en-US" w:eastAsia="ja-JP" w:bidi="ar-SA"/>
    </w:rPr>
  </w:style>
  <w:style w:type="character" w:styleId="Emphasis">
    <w:name w:val="Emphasis"/>
    <w:basedOn w:val="DefaultParagraphFont"/>
    <w:qFormat/>
    <w:rsid w:val="00A71CC3"/>
    <w:rPr>
      <w:i/>
      <w:iCs/>
    </w:rPr>
  </w:style>
  <w:style w:type="character" w:customStyle="1" w:styleId="FootnoteTextChar">
    <w:name w:val="Footnote Text Char"/>
    <w:basedOn w:val="DefaultParagraphFont"/>
    <w:link w:val="FootnoteText"/>
    <w:semiHidden/>
    <w:locked/>
    <w:rsid w:val="00166B58"/>
    <w:rPr>
      <w:rFonts w:eastAsia="MS Mincho"/>
      <w:lang w:val="en-US" w:eastAsia="ja-JP" w:bidi="ar-SA"/>
    </w:rPr>
  </w:style>
  <w:style w:type="paragraph" w:customStyle="1" w:styleId="NormalBlack">
    <w:name w:val="Normal + Black"/>
    <w:basedOn w:val="Normal"/>
    <w:rsid w:val="0027727F"/>
    <w:pPr>
      <w:outlineLvl w:val="0"/>
    </w:pPr>
  </w:style>
  <w:style w:type="character" w:customStyle="1" w:styleId="CommentTextChar">
    <w:name w:val="Comment Text Char"/>
    <w:basedOn w:val="DefaultParagraphFont"/>
    <w:link w:val="CommentText"/>
    <w:semiHidden/>
    <w:locked/>
    <w:rsid w:val="00166B58"/>
    <w:rPr>
      <w:rFonts w:eastAsia="MS Mincho"/>
      <w:lang w:val="en-US" w:eastAsia="ja-JP" w:bidi="ar-SA"/>
    </w:rPr>
  </w:style>
  <w:style w:type="paragraph" w:styleId="PlainText">
    <w:name w:val="Plain Text"/>
    <w:basedOn w:val="Normal"/>
    <w:rsid w:val="0033220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73833337">
      <w:bodyDiv w:val="1"/>
      <w:marLeft w:val="0"/>
      <w:marRight w:val="0"/>
      <w:marTop w:val="0"/>
      <w:marBottom w:val="0"/>
      <w:divBdr>
        <w:top w:val="none" w:sz="0" w:space="0" w:color="auto"/>
        <w:left w:val="none" w:sz="0" w:space="0" w:color="auto"/>
        <w:bottom w:val="none" w:sz="0" w:space="0" w:color="auto"/>
        <w:right w:val="none" w:sz="0" w:space="0" w:color="auto"/>
      </w:divBdr>
      <w:divsChild>
        <w:div w:id="228276153">
          <w:marLeft w:val="0"/>
          <w:marRight w:val="0"/>
          <w:marTop w:val="0"/>
          <w:marBottom w:val="0"/>
          <w:divBdr>
            <w:top w:val="none" w:sz="0" w:space="0" w:color="auto"/>
            <w:left w:val="none" w:sz="0" w:space="0" w:color="auto"/>
            <w:bottom w:val="none" w:sz="0" w:space="0" w:color="auto"/>
            <w:right w:val="none" w:sz="0" w:space="0" w:color="auto"/>
          </w:divBdr>
          <w:divsChild>
            <w:div w:id="1549536593">
              <w:marLeft w:val="0"/>
              <w:marRight w:val="0"/>
              <w:marTop w:val="0"/>
              <w:marBottom w:val="0"/>
              <w:divBdr>
                <w:top w:val="none" w:sz="0" w:space="0" w:color="auto"/>
                <w:left w:val="none" w:sz="0" w:space="0" w:color="auto"/>
                <w:bottom w:val="none" w:sz="0" w:space="0" w:color="auto"/>
                <w:right w:val="none" w:sz="0" w:space="0" w:color="auto"/>
              </w:divBdr>
            </w:div>
            <w:div w:id="1735204386">
              <w:marLeft w:val="0"/>
              <w:marRight w:val="0"/>
              <w:marTop w:val="0"/>
              <w:marBottom w:val="0"/>
              <w:divBdr>
                <w:top w:val="none" w:sz="0" w:space="0" w:color="auto"/>
                <w:left w:val="none" w:sz="0" w:space="0" w:color="auto"/>
                <w:bottom w:val="none" w:sz="0" w:space="0" w:color="auto"/>
                <w:right w:val="none" w:sz="0" w:space="0" w:color="auto"/>
              </w:divBdr>
            </w:div>
            <w:div w:id="1807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4967">
      <w:bodyDiv w:val="1"/>
      <w:marLeft w:val="0"/>
      <w:marRight w:val="0"/>
      <w:marTop w:val="0"/>
      <w:marBottom w:val="0"/>
      <w:divBdr>
        <w:top w:val="none" w:sz="0" w:space="0" w:color="auto"/>
        <w:left w:val="none" w:sz="0" w:space="0" w:color="auto"/>
        <w:bottom w:val="none" w:sz="0" w:space="0" w:color="auto"/>
        <w:right w:val="none" w:sz="0" w:space="0" w:color="auto"/>
      </w:divBdr>
      <w:divsChild>
        <w:div w:id="1648824964">
          <w:marLeft w:val="0"/>
          <w:marRight w:val="0"/>
          <w:marTop w:val="0"/>
          <w:marBottom w:val="0"/>
          <w:divBdr>
            <w:top w:val="none" w:sz="0" w:space="0" w:color="auto"/>
            <w:left w:val="none" w:sz="0" w:space="0" w:color="auto"/>
            <w:bottom w:val="none" w:sz="0" w:space="0" w:color="auto"/>
            <w:right w:val="none" w:sz="0" w:space="0" w:color="auto"/>
          </w:divBdr>
          <w:divsChild>
            <w:div w:id="58990059">
              <w:marLeft w:val="0"/>
              <w:marRight w:val="0"/>
              <w:marTop w:val="0"/>
              <w:marBottom w:val="0"/>
              <w:divBdr>
                <w:top w:val="none" w:sz="0" w:space="0" w:color="auto"/>
                <w:left w:val="none" w:sz="0" w:space="0" w:color="auto"/>
                <w:bottom w:val="none" w:sz="0" w:space="0" w:color="auto"/>
                <w:right w:val="none" w:sz="0" w:space="0" w:color="auto"/>
              </w:divBdr>
            </w:div>
            <w:div w:id="730883533">
              <w:marLeft w:val="0"/>
              <w:marRight w:val="0"/>
              <w:marTop w:val="0"/>
              <w:marBottom w:val="0"/>
              <w:divBdr>
                <w:top w:val="none" w:sz="0" w:space="0" w:color="auto"/>
                <w:left w:val="none" w:sz="0" w:space="0" w:color="auto"/>
                <w:bottom w:val="none" w:sz="0" w:space="0" w:color="auto"/>
                <w:right w:val="none" w:sz="0" w:space="0" w:color="auto"/>
              </w:divBdr>
            </w:div>
            <w:div w:id="934560747">
              <w:marLeft w:val="0"/>
              <w:marRight w:val="0"/>
              <w:marTop w:val="0"/>
              <w:marBottom w:val="0"/>
              <w:divBdr>
                <w:top w:val="none" w:sz="0" w:space="0" w:color="auto"/>
                <w:left w:val="none" w:sz="0" w:space="0" w:color="auto"/>
                <w:bottom w:val="none" w:sz="0" w:space="0" w:color="auto"/>
                <w:right w:val="none" w:sz="0" w:space="0" w:color="auto"/>
              </w:divBdr>
            </w:div>
            <w:div w:id="9697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197">
      <w:bodyDiv w:val="1"/>
      <w:marLeft w:val="0"/>
      <w:marRight w:val="0"/>
      <w:marTop w:val="0"/>
      <w:marBottom w:val="0"/>
      <w:divBdr>
        <w:top w:val="none" w:sz="0" w:space="0" w:color="auto"/>
        <w:left w:val="none" w:sz="0" w:space="0" w:color="auto"/>
        <w:bottom w:val="none" w:sz="0" w:space="0" w:color="auto"/>
        <w:right w:val="none" w:sz="0" w:space="0" w:color="auto"/>
      </w:divBdr>
    </w:div>
    <w:div w:id="1759673141">
      <w:bodyDiv w:val="1"/>
      <w:marLeft w:val="0"/>
      <w:marRight w:val="0"/>
      <w:marTop w:val="0"/>
      <w:marBottom w:val="0"/>
      <w:divBdr>
        <w:top w:val="none" w:sz="0" w:space="0" w:color="auto"/>
        <w:left w:val="none" w:sz="0" w:space="0" w:color="auto"/>
        <w:bottom w:val="none" w:sz="0" w:space="0" w:color="auto"/>
        <w:right w:val="none" w:sz="0" w:space="0" w:color="auto"/>
      </w:divBdr>
    </w:div>
    <w:div w:id="1817717004">
      <w:bodyDiv w:val="1"/>
      <w:marLeft w:val="0"/>
      <w:marRight w:val="0"/>
      <w:marTop w:val="0"/>
      <w:marBottom w:val="0"/>
      <w:divBdr>
        <w:top w:val="none" w:sz="0" w:space="0" w:color="auto"/>
        <w:left w:val="none" w:sz="0" w:space="0" w:color="auto"/>
        <w:bottom w:val="none" w:sz="0" w:space="0" w:color="auto"/>
        <w:right w:val="none" w:sz="0" w:space="0" w:color="auto"/>
      </w:divBdr>
      <w:divsChild>
        <w:div w:id="1758481149">
          <w:marLeft w:val="0"/>
          <w:marRight w:val="0"/>
          <w:marTop w:val="0"/>
          <w:marBottom w:val="0"/>
          <w:divBdr>
            <w:top w:val="none" w:sz="0" w:space="0" w:color="auto"/>
            <w:left w:val="none" w:sz="0" w:space="0" w:color="auto"/>
            <w:bottom w:val="none" w:sz="0" w:space="0" w:color="auto"/>
            <w:right w:val="none" w:sz="0" w:space="0" w:color="auto"/>
          </w:divBdr>
          <w:divsChild>
            <w:div w:id="769619115">
              <w:marLeft w:val="0"/>
              <w:marRight w:val="0"/>
              <w:marTop w:val="0"/>
              <w:marBottom w:val="0"/>
              <w:divBdr>
                <w:top w:val="none" w:sz="0" w:space="0" w:color="auto"/>
                <w:left w:val="none" w:sz="0" w:space="0" w:color="auto"/>
                <w:bottom w:val="none" w:sz="0" w:space="0" w:color="auto"/>
                <w:right w:val="none" w:sz="0" w:space="0" w:color="auto"/>
              </w:divBdr>
            </w:div>
            <w:div w:id="15275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 NIST Notional Definition of Cloud Computing</vt:lpstr>
    </vt:vector>
  </TitlesOfParts>
  <Company>NIST</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NIST Notional Definition of Cloud Computing</dc:title>
  <dc:subject/>
  <dc:creator>Computer Security Division</dc:creator>
  <cp:keywords/>
  <dc:description/>
  <cp:lastModifiedBy>Hari Prasad</cp:lastModifiedBy>
  <cp:revision>2</cp:revision>
  <cp:lastPrinted>2009-04-27T06:02:00Z</cp:lastPrinted>
  <dcterms:created xsi:type="dcterms:W3CDTF">2010-02-25T12:16:00Z</dcterms:created>
  <dcterms:modified xsi:type="dcterms:W3CDTF">2010-02-25T12:16:00Z</dcterms:modified>
</cp:coreProperties>
</file>