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D1" w:rsidRDefault="00A70A87" w:rsidP="00A70A87">
      <w:pPr>
        <w:pStyle w:val="Heading1"/>
      </w:pPr>
      <w:r>
        <w:t>Annexure 2: IT Information Systems used by ISKCON and Associated Trusts</w:t>
      </w:r>
    </w:p>
    <w:p w:rsidR="00A70A87" w:rsidRDefault="00813C04" w:rsidP="00A70A87">
      <w:pPr>
        <w:pStyle w:val="Heading2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00057FA" wp14:editId="583C062F">
            <wp:simplePos x="0" y="0"/>
            <wp:positionH relativeFrom="column">
              <wp:posOffset>-4445</wp:posOffset>
            </wp:positionH>
            <wp:positionV relativeFrom="paragraph">
              <wp:posOffset>73660</wp:posOffset>
            </wp:positionV>
            <wp:extent cx="1333500" cy="889635"/>
            <wp:effectExtent l="0" t="0" r="0" b="5715"/>
            <wp:wrapTight wrapText="bothSides">
              <wp:wrapPolygon edited="0">
                <wp:start x="1234" y="0"/>
                <wp:lineTo x="309" y="463"/>
                <wp:lineTo x="1234" y="7400"/>
                <wp:lineTo x="0" y="12026"/>
                <wp:lineTo x="0" y="21276"/>
                <wp:lineTo x="14194" y="21276"/>
                <wp:lineTo x="21291" y="21276"/>
                <wp:lineTo x="21291" y="4625"/>
                <wp:lineTo x="16046" y="1388"/>
                <wp:lineTo x="9566" y="0"/>
                <wp:lineTo x="1234" y="0"/>
              </wp:wrapPolygon>
            </wp:wrapTight>
            <wp:docPr id="1" name="Picture 1" descr="http://4.bp.blogspot.com/-ZR3l0CTRffI/TyVF_JTpvgI/AAAAAAAAAXw/ojp-WUzv_G8/s1600/Tally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ZR3l0CTRffI/TyVF_JTpvgI/AAAAAAAAAXw/ojp-WUzv_G8/s1600/TallyLogo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A87">
        <w:t>Tally</w:t>
      </w:r>
      <w:r w:rsidR="0006647F">
        <w:t xml:space="preserve"> 4.91</w:t>
      </w:r>
    </w:p>
    <w:p w:rsidR="00813C04" w:rsidRDefault="00216177" w:rsidP="0006647F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2859211" wp14:editId="194162C1">
            <wp:simplePos x="0" y="0"/>
            <wp:positionH relativeFrom="column">
              <wp:posOffset>2967355</wp:posOffset>
            </wp:positionH>
            <wp:positionV relativeFrom="paragraph">
              <wp:posOffset>695325</wp:posOffset>
            </wp:positionV>
            <wp:extent cx="17526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365" y="20736"/>
                <wp:lineTo x="21365" y="0"/>
                <wp:lineTo x="0" y="0"/>
              </wp:wrapPolygon>
            </wp:wrapTight>
            <wp:docPr id="2" name="Picture 2" descr="http://www.saraltds.com/images/td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raltds.com/images/tds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47F">
        <w:t>Tally is currently used by Accounts &amp; Finance (for all trusts), Material Management (for ISKCON) and GST (Inventory management).</w:t>
      </w:r>
      <w:r w:rsidR="00571139">
        <w:t xml:space="preserve"> </w:t>
      </w:r>
      <w:r w:rsidR="00813C04">
        <w:t>The Tally instances used by these departments are independent and the data is being entered in both instances separately</w:t>
      </w:r>
      <w:r>
        <w:t xml:space="preserve"> by the respective teams.</w:t>
      </w:r>
    </w:p>
    <w:p w:rsidR="00216177" w:rsidRDefault="00571139" w:rsidP="0006647F">
      <w:r>
        <w:t xml:space="preserve">Please note that we are also using </w:t>
      </w:r>
    </w:p>
    <w:p w:rsidR="00216177" w:rsidRDefault="00216177" w:rsidP="00216177">
      <w:pPr>
        <w:pStyle w:val="ListParagraph"/>
        <w:numPr>
          <w:ilvl w:val="0"/>
          <w:numId w:val="15"/>
        </w:num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5E180D4" wp14:editId="47181CE8">
            <wp:simplePos x="0" y="0"/>
            <wp:positionH relativeFrom="column">
              <wp:posOffset>4372610</wp:posOffset>
            </wp:positionH>
            <wp:positionV relativeFrom="paragraph">
              <wp:posOffset>104775</wp:posOffset>
            </wp:positionV>
            <wp:extent cx="1773555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345" y="21312"/>
                <wp:lineTo x="21345" y="0"/>
                <wp:lineTo x="0" y="0"/>
              </wp:wrapPolygon>
            </wp:wrapTight>
            <wp:docPr id="3" name="Picture 3" descr="Tax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x Soft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139">
        <w:t xml:space="preserve">Saral TDS </w:t>
      </w:r>
    </w:p>
    <w:p w:rsidR="0006647F" w:rsidRDefault="00571139" w:rsidP="00216177">
      <w:pPr>
        <w:pStyle w:val="ListParagraph"/>
        <w:numPr>
          <w:ilvl w:val="0"/>
          <w:numId w:val="15"/>
        </w:numPr>
      </w:pPr>
      <w:r>
        <w:t>Saral Income Tax</w:t>
      </w:r>
      <w:r w:rsidR="00216177">
        <w:t xml:space="preserve"> to compute and e-file the tax returns</w:t>
      </w:r>
    </w:p>
    <w:p w:rsidR="00216177" w:rsidRDefault="00216177" w:rsidP="00216177">
      <w:pPr>
        <w:pStyle w:val="Heading2"/>
      </w:pPr>
      <w:r>
        <w:t>PayGenie – The Payroll Software</w:t>
      </w:r>
    </w:p>
    <w:p w:rsidR="00216177" w:rsidRDefault="00216177" w:rsidP="00216177">
      <w:r>
        <w:t>PayGenie is a highly customizable</w:t>
      </w:r>
      <w:r w:rsidR="00235AE1">
        <w:t>, user-friendly and cost-effective</w:t>
      </w:r>
      <w:r>
        <w:t xml:space="preserve"> payroll solution</w:t>
      </w:r>
      <w:r w:rsidR="00235AE1">
        <w:t xml:space="preserve"> from TenXLabs.</w:t>
      </w:r>
    </w:p>
    <w:p w:rsidR="00A70A87" w:rsidRDefault="00A70A87" w:rsidP="00A70A87">
      <w:pPr>
        <w:pStyle w:val="Heading2"/>
      </w:pPr>
      <w:r>
        <w:t>Dhananjaya</w:t>
      </w:r>
    </w:p>
    <w:p w:rsidR="00A70A87" w:rsidRDefault="00A70A87" w:rsidP="00A70A87">
      <w:r>
        <w:t xml:space="preserve">Dhananjaya is an application developed in-house </w:t>
      </w:r>
      <w:r w:rsidR="0006647F">
        <w:t>for donation management and has the following modules: Donor Data Management, Receipt Processing, Patron Form Processing, Patron Bahumana Processing (special puja invitations, patron cards, newsletter, book sets, name inscriptions etc.) and Dispatch Management.</w:t>
      </w:r>
    </w:p>
    <w:p w:rsidR="0006647F" w:rsidRDefault="0006647F" w:rsidP="0006647F">
      <w:pPr>
        <w:pStyle w:val="Heading2"/>
      </w:pPr>
      <w:r>
        <w:t>PRISM Futura</w:t>
      </w:r>
    </w:p>
    <w:p w:rsidR="0006647F" w:rsidRPr="0006647F" w:rsidRDefault="00CA4E4D" w:rsidP="0006647F">
      <w:r>
        <w:t xml:space="preserve">This software, </w:t>
      </w:r>
      <w:r w:rsidR="0006647F">
        <w:t>developed by Ntuitive Technologies</w:t>
      </w:r>
      <w:r>
        <w:t xml:space="preserve">, </w:t>
      </w:r>
      <w:r w:rsidR="0006647F">
        <w:t xml:space="preserve">is </w:t>
      </w:r>
      <w:r>
        <w:t xml:space="preserve">being </w:t>
      </w:r>
      <w:r w:rsidR="0006647F">
        <w:t xml:space="preserve">used by TSF-Prasadam division. The POS is used for billing in restaurants. Apart from this the other modules like stores, material management, procurements, indents are also used. </w:t>
      </w:r>
    </w:p>
    <w:p w:rsidR="0006647F" w:rsidRPr="00A70A87" w:rsidRDefault="0006647F" w:rsidP="0006647F">
      <w:pPr>
        <w:pStyle w:val="Heading2"/>
      </w:pPr>
      <w:r>
        <w:t>Destiny ERP</w:t>
      </w:r>
    </w:p>
    <w:p w:rsidR="00A70A87" w:rsidRDefault="006A2C16" w:rsidP="00A70A87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6478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475" y="21234"/>
                <wp:lineTo x="21475" y="0"/>
                <wp:lineTo x="0" y="0"/>
              </wp:wrapPolygon>
            </wp:wrapTight>
            <wp:docPr id="4" name="Picture 4" descr="http://www.aksharatech.com/images/destin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ksharatech.com/images/destiny_log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47F">
        <w:t>Destiny ERP is a software product from Akshara Agile Technologies and used by TSF-Gifts Division.</w:t>
      </w:r>
      <w:r>
        <w:t xml:space="preserve"> The TSF Gifts Division handles retail sales and consignment sales of books, gift items and various devotional paraphernalia. The software is used for inventory &amp; stores management, sales management, sales forecasting, procurement planning, and procurement to payment.</w:t>
      </w:r>
    </w:p>
    <w:p w:rsidR="0006647F" w:rsidRDefault="00571139" w:rsidP="0006647F">
      <w:pPr>
        <w:pStyle w:val="Heading2"/>
      </w:pPr>
      <w:r>
        <w:t>Guest House Booking Software</w:t>
      </w:r>
    </w:p>
    <w:p w:rsidR="00571139" w:rsidRDefault="00571139" w:rsidP="00571139">
      <w:r>
        <w:t>A software developed in-house and caters to the need to guest house room booking, and billing.</w:t>
      </w:r>
      <w:bookmarkStart w:id="0" w:name="_GoBack"/>
      <w:bookmarkEnd w:id="0"/>
    </w:p>
    <w:p w:rsidR="00571139" w:rsidRDefault="00571139" w:rsidP="00571139">
      <w:pPr>
        <w:pStyle w:val="Heading2"/>
      </w:pPr>
      <w:r>
        <w:t>Subscription Management Software</w:t>
      </w:r>
    </w:p>
    <w:p w:rsidR="00571139" w:rsidRDefault="00571139" w:rsidP="00571139">
      <w:r>
        <w:t>It is a customized version of Dhananjaya software which is being used by the BVD magazine division for managing the subscriptions.</w:t>
      </w:r>
    </w:p>
    <w:p w:rsidR="00571139" w:rsidRDefault="00571139" w:rsidP="00571139"/>
    <w:sectPr w:rsidR="00571139" w:rsidSect="00332307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1A"/>
    <w:multiLevelType w:val="hybridMultilevel"/>
    <w:tmpl w:val="366A1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97EB2"/>
    <w:multiLevelType w:val="hybridMultilevel"/>
    <w:tmpl w:val="829E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F168E"/>
    <w:multiLevelType w:val="hybridMultilevel"/>
    <w:tmpl w:val="2DA8F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17D01"/>
    <w:multiLevelType w:val="hybridMultilevel"/>
    <w:tmpl w:val="E5DA8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D2F9A"/>
    <w:multiLevelType w:val="hybridMultilevel"/>
    <w:tmpl w:val="E118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F6"/>
    <w:multiLevelType w:val="hybridMultilevel"/>
    <w:tmpl w:val="FF98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550FA"/>
    <w:multiLevelType w:val="hybridMultilevel"/>
    <w:tmpl w:val="960A6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B5C"/>
    <w:multiLevelType w:val="hybridMultilevel"/>
    <w:tmpl w:val="02082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34D0"/>
    <w:multiLevelType w:val="multilevel"/>
    <w:tmpl w:val="B5F6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E470F3"/>
    <w:multiLevelType w:val="hybridMultilevel"/>
    <w:tmpl w:val="C3B230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DB771E"/>
    <w:multiLevelType w:val="hybridMultilevel"/>
    <w:tmpl w:val="2C6ECB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974FE2"/>
    <w:multiLevelType w:val="hybridMultilevel"/>
    <w:tmpl w:val="ABB0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26473C"/>
    <w:multiLevelType w:val="hybridMultilevel"/>
    <w:tmpl w:val="C5087AD0"/>
    <w:lvl w:ilvl="0" w:tplc="F258DD7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CD2"/>
    <w:multiLevelType w:val="hybridMultilevel"/>
    <w:tmpl w:val="AD16C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2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07"/>
    <w:rsid w:val="00031399"/>
    <w:rsid w:val="00056955"/>
    <w:rsid w:val="0006647F"/>
    <w:rsid w:val="00133B25"/>
    <w:rsid w:val="00161EE6"/>
    <w:rsid w:val="001C27A7"/>
    <w:rsid w:val="00216177"/>
    <w:rsid w:val="00235AE1"/>
    <w:rsid w:val="00295F92"/>
    <w:rsid w:val="00332307"/>
    <w:rsid w:val="00337063"/>
    <w:rsid w:val="003A12D3"/>
    <w:rsid w:val="003A64CD"/>
    <w:rsid w:val="003C2DAA"/>
    <w:rsid w:val="003C78A1"/>
    <w:rsid w:val="00432B44"/>
    <w:rsid w:val="00435A11"/>
    <w:rsid w:val="004B77A4"/>
    <w:rsid w:val="0051158E"/>
    <w:rsid w:val="00552669"/>
    <w:rsid w:val="00571139"/>
    <w:rsid w:val="005F6666"/>
    <w:rsid w:val="006351E3"/>
    <w:rsid w:val="006622FB"/>
    <w:rsid w:val="006A2C16"/>
    <w:rsid w:val="006A70B6"/>
    <w:rsid w:val="006C2E9C"/>
    <w:rsid w:val="007B47EA"/>
    <w:rsid w:val="007C79D0"/>
    <w:rsid w:val="007E5D2D"/>
    <w:rsid w:val="00813C04"/>
    <w:rsid w:val="00816B5F"/>
    <w:rsid w:val="008A3E7A"/>
    <w:rsid w:val="008D5C4B"/>
    <w:rsid w:val="008F7EEF"/>
    <w:rsid w:val="00930A0C"/>
    <w:rsid w:val="009920B6"/>
    <w:rsid w:val="009B2300"/>
    <w:rsid w:val="00A62829"/>
    <w:rsid w:val="00A70A87"/>
    <w:rsid w:val="00AB2262"/>
    <w:rsid w:val="00AE5E17"/>
    <w:rsid w:val="00C41CB1"/>
    <w:rsid w:val="00CA4E4D"/>
    <w:rsid w:val="00E06B37"/>
    <w:rsid w:val="00E512D1"/>
    <w:rsid w:val="00EA2728"/>
    <w:rsid w:val="00F421D1"/>
    <w:rsid w:val="00F64B0D"/>
    <w:rsid w:val="00F7608C"/>
    <w:rsid w:val="00F87654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1D1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D2D"/>
    <w:pPr>
      <w:pBdr>
        <w:bottom w:val="single" w:sz="4" w:space="1" w:color="auto"/>
      </w:pBdr>
      <w:spacing w:before="360"/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2307"/>
    <w:pPr>
      <w:pBdr>
        <w:bottom w:val="none" w:sz="0" w:space="0" w:color="auto"/>
      </w:pBdr>
      <w:spacing w:before="240" w:line="240" w:lineRule="auto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07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D2D"/>
    <w:rPr>
      <w:rFonts w:asciiTheme="majorHAnsi" w:hAnsiTheme="majorHAns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307"/>
    <w:rPr>
      <w:rFonts w:asciiTheme="majorHAnsi" w:hAnsiTheme="majorHAnsi"/>
      <w:b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8A3E7A"/>
    <w:pPr>
      <w:pBdr>
        <w:bottom w:val="none" w:sz="0" w:space="0" w:color="auto"/>
      </w:pBdr>
      <w:spacing w:before="0" w:after="480" w:line="240" w:lineRule="auto"/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A3E7A"/>
    <w:rPr>
      <w:rFonts w:asciiTheme="majorHAnsi" w:hAnsiTheme="majorHAnsi"/>
      <w:b/>
      <w:sz w:val="36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8A3E7A"/>
    <w:pPr>
      <w:pBdr>
        <w:bottom w:val="none" w:sz="0" w:space="0" w:color="auto"/>
      </w:pBd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A3E7A"/>
    <w:rPr>
      <w:rFonts w:asciiTheme="majorHAnsi" w:hAnsiTheme="majorHAnsi"/>
      <w:b/>
      <w:sz w:val="28"/>
    </w:rPr>
  </w:style>
  <w:style w:type="table" w:styleId="TableGrid">
    <w:name w:val="Table Grid"/>
    <w:basedOn w:val="TableNormal"/>
    <w:uiPriority w:val="59"/>
    <w:rsid w:val="00295F9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F421D1"/>
    <w:pPr>
      <w:spacing w:before="60" w:after="60"/>
      <w:jc w:val="left"/>
    </w:pPr>
    <w:rPr>
      <w:rFonts w:eastAsiaTheme="minorEastAsia"/>
      <w:lang w:eastAsia="en-IN"/>
    </w:rPr>
  </w:style>
  <w:style w:type="character" w:customStyle="1" w:styleId="TableTextChar">
    <w:name w:val="Table Text Char"/>
    <w:basedOn w:val="DefaultParagraphFont"/>
    <w:link w:val="TableText"/>
    <w:rsid w:val="00F421D1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C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1D1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D2D"/>
    <w:pPr>
      <w:pBdr>
        <w:bottom w:val="single" w:sz="4" w:space="1" w:color="auto"/>
      </w:pBdr>
      <w:spacing w:before="360"/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2307"/>
    <w:pPr>
      <w:pBdr>
        <w:bottom w:val="none" w:sz="0" w:space="0" w:color="auto"/>
      </w:pBdr>
      <w:spacing w:before="240" w:line="240" w:lineRule="auto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07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D2D"/>
    <w:rPr>
      <w:rFonts w:asciiTheme="majorHAnsi" w:hAnsiTheme="majorHAns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307"/>
    <w:rPr>
      <w:rFonts w:asciiTheme="majorHAnsi" w:hAnsiTheme="majorHAnsi"/>
      <w:b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8A3E7A"/>
    <w:pPr>
      <w:pBdr>
        <w:bottom w:val="none" w:sz="0" w:space="0" w:color="auto"/>
      </w:pBdr>
      <w:spacing w:before="0" w:after="480" w:line="240" w:lineRule="auto"/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A3E7A"/>
    <w:rPr>
      <w:rFonts w:asciiTheme="majorHAnsi" w:hAnsiTheme="majorHAnsi"/>
      <w:b/>
      <w:sz w:val="36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8A3E7A"/>
    <w:pPr>
      <w:pBdr>
        <w:bottom w:val="none" w:sz="0" w:space="0" w:color="auto"/>
      </w:pBd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A3E7A"/>
    <w:rPr>
      <w:rFonts w:asciiTheme="majorHAnsi" w:hAnsiTheme="majorHAnsi"/>
      <w:b/>
      <w:sz w:val="28"/>
    </w:rPr>
  </w:style>
  <w:style w:type="table" w:styleId="TableGrid">
    <w:name w:val="Table Grid"/>
    <w:basedOn w:val="TableNormal"/>
    <w:uiPriority w:val="59"/>
    <w:rsid w:val="00295F9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F421D1"/>
    <w:pPr>
      <w:spacing w:before="60" w:after="60"/>
      <w:jc w:val="left"/>
    </w:pPr>
    <w:rPr>
      <w:rFonts w:eastAsiaTheme="minorEastAsia"/>
      <w:lang w:eastAsia="en-IN"/>
    </w:rPr>
  </w:style>
  <w:style w:type="character" w:customStyle="1" w:styleId="TableTextChar">
    <w:name w:val="Table Text Char"/>
    <w:basedOn w:val="DefaultParagraphFont"/>
    <w:link w:val="TableText"/>
    <w:rsid w:val="00F421D1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C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Vallabha Dasa</dc:creator>
  <cp:lastModifiedBy>Janaki Vallabha Dasa</cp:lastModifiedBy>
  <cp:revision>8</cp:revision>
  <dcterms:created xsi:type="dcterms:W3CDTF">2014-12-22T14:13:00Z</dcterms:created>
  <dcterms:modified xsi:type="dcterms:W3CDTF">2014-12-25T04:10:00Z</dcterms:modified>
</cp:coreProperties>
</file>