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0578F0">
        <w:rPr>
          <w:b/>
          <w:color w:val="auto"/>
        </w:rPr>
        <w:t>6</w:t>
      </w:r>
      <w:r w:rsidR="005943BC">
        <w:rPr>
          <w:b/>
          <w:color w:val="auto"/>
        </w:rPr>
        <w:t>/</w:t>
      </w:r>
      <w:r w:rsidR="00842275">
        <w:rPr>
          <w:b/>
          <w:color w:val="auto"/>
        </w:rPr>
        <w:t>15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0578F0">
        <w:rPr>
          <w:b/>
          <w:color w:val="auto"/>
        </w:rPr>
        <w:t>06</w:t>
      </w:r>
      <w:r w:rsidRPr="004930D8">
        <w:rPr>
          <w:b/>
          <w:color w:val="auto"/>
        </w:rPr>
        <w:t>/</w:t>
      </w:r>
      <w:r w:rsidR="00842275">
        <w:rPr>
          <w:b/>
          <w:color w:val="auto"/>
        </w:rPr>
        <w:t>19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471" w:type="pct"/>
            <w:vAlign w:val="center"/>
          </w:tcPr>
          <w:p w:rsidR="00201912" w:rsidRPr="007D0085" w:rsidRDefault="00201912" w:rsidP="00D9236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7D0085" w:rsidRDefault="00201912" w:rsidP="00D9236A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902" w:type="pct"/>
            <w:vAlign w:val="center"/>
          </w:tcPr>
          <w:p w:rsidR="00201912" w:rsidRPr="007D0085" w:rsidRDefault="00201912" w:rsidP="00D9236A">
            <w:pPr>
              <w:pStyle w:val="OffTrac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Dev</w:t>
            </w:r>
          </w:p>
        </w:tc>
      </w:tr>
    </w:tbl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14D6F" w:rsidRDefault="00D14D6F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13301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Pittsburg USD/ VSP Tier Structure Change/ Due Date 6/5/15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High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Closed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13338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Coachella Valley Water District - Script Enrollments / 6/11/15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High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Closed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13344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Redlands USD - Cannot add to split transmittals for REEP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High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Closed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13356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County of Sacramento/Reinstate Vision Due: 6-16-15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High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Closed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13357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Riverside SOS 7/1/15 CBR/ $0.00 Anthem Rates/ Due Date 6/18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High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Closed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13362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County of Sacramento/Reinstate WC Medical/Dental Due: 6-17-15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High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Closed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13360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Peralta CCD/Term Date Correction Due: 6-18-15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High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Closed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13354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Conejo Valley USD/ Flack/ Dep Coverage to Match FI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Dev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13343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Beaumont USD/Correct MES Vision Rate on CBR Due: 6-10-15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Dev-Pending Clarification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Dev-Pending Clarification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n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Hold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n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Hold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n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Hold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n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Hold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13312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Import: Coachella Valley WD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Prod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13336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MCSIG/Add plans to all MCSIG clients/asap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Prod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13352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Redlands USD/Benefits Terminated in Error Due: 6-15-15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Prod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13374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Xmtl: Coachalla Valley Water District/Guardian Dental 834 5010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Prod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13375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Xmtl: Coachella Valley Water District/Anthem Blue Cross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Prod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13363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Peralta CCD/Reinstate Bundled Vision Due: 6-19-15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Prod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13364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Peralta CCD/Bundled Vision Cancelled Due: 6-19-15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OffTrac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Prod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At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QA-Ready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13331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Oceanside USD/Metlife Dental 834 5010 Format - Effective date Issue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At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QA-Ready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13350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Xmtl: Peralta CCD/VSP 834 5010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At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QA-Started</w:t>
            </w:r>
          </w:p>
        </w:tc>
      </w:tr>
      <w:tr w:rsidR="00D14D6F" w:rsidRPr="004930D8" w:rsidTr="00D14D6F">
        <w:trPr>
          <w:trHeight w:val="269"/>
        </w:trPr>
        <w:tc>
          <w:tcPr>
            <w:tcW w:w="22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8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13351</w:t>
            </w:r>
          </w:p>
        </w:tc>
        <w:tc>
          <w:tcPr>
            <w:tcW w:w="471" w:type="pct"/>
            <w:vAlign w:val="center"/>
          </w:tcPr>
          <w:p w:rsidR="00D14D6F" w:rsidRPr="00D14D6F" w:rsidRDefault="00D14D6F" w:rsidP="00D14D6F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D14D6F" w:rsidRPr="00D14D6F" w:rsidRDefault="00D14D6F" w:rsidP="00D14D6F">
            <w:pPr>
              <w:rPr>
                <w:rFonts w:cs="Calibri"/>
                <w:color w:val="000000"/>
                <w:sz w:val="22"/>
                <w:szCs w:val="22"/>
              </w:rPr>
            </w:pPr>
            <w:r w:rsidRPr="00D14D6F">
              <w:rPr>
                <w:rFonts w:cs="Calibri"/>
                <w:color w:val="000000"/>
                <w:sz w:val="22"/>
                <w:szCs w:val="22"/>
              </w:rPr>
              <w:t>Xmtl: Coastline ROP - MetLife Hyatt Legal</w:t>
            </w:r>
          </w:p>
        </w:tc>
        <w:tc>
          <w:tcPr>
            <w:tcW w:w="902" w:type="pct"/>
            <w:vAlign w:val="center"/>
          </w:tcPr>
          <w:p w:rsidR="00D14D6F" w:rsidRPr="00D14D6F" w:rsidRDefault="00D14D6F" w:rsidP="00D14D6F">
            <w:pPr>
              <w:pStyle w:val="AtRisk"/>
              <w:rPr>
                <w:sz w:val="22"/>
                <w:szCs w:val="22"/>
              </w:rPr>
            </w:pPr>
            <w:r w:rsidRPr="00D14D6F">
              <w:rPr>
                <w:sz w:val="22"/>
                <w:szCs w:val="22"/>
              </w:rPr>
              <w:t>QA-Started</w:t>
            </w:r>
          </w:p>
        </w:tc>
      </w:tr>
    </w:tbl>
    <w:p w:rsidR="002849F8" w:rsidRDefault="002849F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696ABC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D9236A">
        <w:trPr>
          <w:trHeight w:val="269"/>
        </w:trPr>
        <w:tc>
          <w:tcPr>
            <w:tcW w:w="24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AC4706" w:rsidRPr="002A4CF2" w:rsidTr="00AC4706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BenefitBridge Tech and Client service Meeting</w:t>
            </w:r>
          </w:p>
        </w:tc>
        <w:tc>
          <w:tcPr>
            <w:tcW w:w="909" w:type="pct"/>
            <w:vAlign w:val="center"/>
            <w:hideMark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  <w:hideMark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Creating Dummy Client files for invoice run</w:t>
            </w:r>
          </w:p>
        </w:tc>
        <w:tc>
          <w:tcPr>
            <w:tcW w:w="909" w:type="pct"/>
            <w:vAlign w:val="center"/>
            <w:hideMark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6.5 Release Analysis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Transmittal Monitoring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Invoice Run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Removing duplicate batch in invoice run &amp; verified data as per squish 12604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District Count Report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Coordinator Changes Report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Save and Schedule Report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Fontana CBR report generation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  <w:tr w:rsidR="00AC4706" w:rsidRPr="002A4CF2" w:rsidTr="00AC4706">
        <w:trPr>
          <w:trHeight w:val="300"/>
        </w:trPr>
        <w:tc>
          <w:tcPr>
            <w:tcW w:w="249" w:type="pct"/>
            <w:noWrap/>
            <w:vAlign w:val="center"/>
          </w:tcPr>
          <w:p w:rsidR="00AC4706" w:rsidRPr="000578F0" w:rsidRDefault="00AC470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3842" w:type="pct"/>
            <w:vAlign w:val="center"/>
          </w:tcPr>
          <w:p w:rsidR="00AC4706" w:rsidRPr="00AC4706" w:rsidRDefault="00AC4706" w:rsidP="00AC4706">
            <w:pPr>
              <w:rPr>
                <w:rFonts w:cs="Arial"/>
                <w:color w:val="000000"/>
                <w:sz w:val="22"/>
                <w:szCs w:val="22"/>
              </w:rPr>
            </w:pPr>
            <w:r w:rsidRPr="00AC4706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center"/>
          </w:tcPr>
          <w:p w:rsidR="00AC4706" w:rsidRPr="00AC4706" w:rsidRDefault="00AC4706" w:rsidP="00AC4706">
            <w:pPr>
              <w:pStyle w:val="OnTrack"/>
              <w:rPr>
                <w:sz w:val="22"/>
                <w:szCs w:val="22"/>
              </w:rPr>
            </w:pPr>
            <w:r w:rsidRPr="00AC4706">
              <w:rPr>
                <w:sz w:val="22"/>
                <w:szCs w:val="22"/>
              </w:rPr>
              <w:t>Completed</w:t>
            </w:r>
          </w:p>
        </w:tc>
      </w:tr>
    </w:tbl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201912" w:rsidRPr="004930D8" w:rsidTr="00C06BAD">
        <w:trPr>
          <w:trHeight w:val="539"/>
        </w:trPr>
        <w:tc>
          <w:tcPr>
            <w:tcW w:w="18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FE466D" w:rsidRPr="00EB79F3" w:rsidTr="00C06BAD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12514</w:t>
            </w:r>
          </w:p>
        </w:tc>
        <w:tc>
          <w:tcPr>
            <w:tcW w:w="1309" w:type="pct"/>
            <w:vAlign w:val="center"/>
          </w:tcPr>
          <w:p w:rsidR="00FE466D" w:rsidRPr="00FE466D" w:rsidRDefault="00FE466D" w:rsidP="00FE466D">
            <w:pPr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Analyzed Squish, Recreated the Issue before fix and updated test cases</w:t>
            </w:r>
          </w:p>
        </w:tc>
        <w:tc>
          <w:tcPr>
            <w:tcW w:w="760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69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E466D" w:rsidRPr="00EB79F3" w:rsidTr="00C06BAD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10303</w:t>
            </w:r>
          </w:p>
        </w:tc>
        <w:tc>
          <w:tcPr>
            <w:tcW w:w="1309" w:type="pct"/>
            <w:vAlign w:val="center"/>
          </w:tcPr>
          <w:p w:rsidR="00FE466D" w:rsidRPr="00FE466D" w:rsidRDefault="00FE466D" w:rsidP="00FE466D">
            <w:pPr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Analyzed Squish and Recreated the Issue before fix</w:t>
            </w:r>
          </w:p>
        </w:tc>
        <w:tc>
          <w:tcPr>
            <w:tcW w:w="760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69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E466D" w:rsidRPr="00EB79F3" w:rsidTr="00C06BAD">
        <w:trPr>
          <w:trHeight w:val="521"/>
        </w:trPr>
        <w:tc>
          <w:tcPr>
            <w:tcW w:w="186" w:type="pct"/>
            <w:noWrap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12857</w:t>
            </w:r>
          </w:p>
        </w:tc>
        <w:tc>
          <w:tcPr>
            <w:tcW w:w="1309" w:type="pct"/>
            <w:vAlign w:val="center"/>
          </w:tcPr>
          <w:p w:rsidR="00FE466D" w:rsidRPr="00FE466D" w:rsidRDefault="00FE466D" w:rsidP="00FE466D">
            <w:pPr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Analyzed Squish and Recreated the Issue before fix</w:t>
            </w:r>
          </w:p>
        </w:tc>
        <w:tc>
          <w:tcPr>
            <w:tcW w:w="760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9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E466D" w:rsidRPr="00EB79F3" w:rsidTr="00C06BAD">
        <w:trPr>
          <w:trHeight w:val="521"/>
        </w:trPr>
        <w:tc>
          <w:tcPr>
            <w:tcW w:w="186" w:type="pct"/>
            <w:noWrap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13035</w:t>
            </w:r>
          </w:p>
        </w:tc>
        <w:tc>
          <w:tcPr>
            <w:tcW w:w="1309" w:type="pct"/>
            <w:vAlign w:val="center"/>
          </w:tcPr>
          <w:p w:rsidR="00FE466D" w:rsidRPr="00FE466D" w:rsidRDefault="00FE466D" w:rsidP="00FE466D">
            <w:pPr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Analyzed Squish and Recreating the Issue before fix</w:t>
            </w:r>
          </w:p>
        </w:tc>
        <w:tc>
          <w:tcPr>
            <w:tcW w:w="760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New</w:t>
            </w:r>
          </w:p>
        </w:tc>
        <w:tc>
          <w:tcPr>
            <w:tcW w:w="692" w:type="pct"/>
            <w:vAlign w:val="center"/>
          </w:tcPr>
          <w:p w:rsidR="00FE466D" w:rsidRPr="00FE466D" w:rsidRDefault="00FE466D" w:rsidP="00C06BA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E466D" w:rsidRPr="00EB79F3" w:rsidTr="00C06BAD">
        <w:trPr>
          <w:trHeight w:val="300"/>
        </w:trPr>
        <w:tc>
          <w:tcPr>
            <w:tcW w:w="186" w:type="pct"/>
            <w:noWrap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FE466D" w:rsidRPr="00FE466D" w:rsidRDefault="00FE466D" w:rsidP="00FE466D">
            <w:pPr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DB Split &amp; Constraints: Executing Regression Test Cases</w:t>
            </w:r>
          </w:p>
        </w:tc>
        <w:tc>
          <w:tcPr>
            <w:tcW w:w="760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FE466D" w:rsidRPr="00FE466D" w:rsidRDefault="00FE466D" w:rsidP="00C06BAD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E466D" w:rsidRPr="00EB79F3" w:rsidTr="00C06BAD">
        <w:trPr>
          <w:trHeight w:val="300"/>
        </w:trPr>
        <w:tc>
          <w:tcPr>
            <w:tcW w:w="186" w:type="pct"/>
            <w:noWrap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FE466D" w:rsidRPr="00FE466D" w:rsidRDefault="00FE466D" w:rsidP="00FE466D">
            <w:pPr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CBMS - Given KT</w:t>
            </w:r>
          </w:p>
        </w:tc>
        <w:tc>
          <w:tcPr>
            <w:tcW w:w="760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FE466D" w:rsidRPr="00FE466D" w:rsidRDefault="00FE466D" w:rsidP="00FE466D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FE466D" w:rsidRPr="00FE466D" w:rsidRDefault="00FE466D" w:rsidP="00C06BAD">
            <w:pPr>
              <w:rPr>
                <w:rFonts w:cs="Arial"/>
                <w:color w:val="000000"/>
                <w:sz w:val="22"/>
                <w:szCs w:val="22"/>
              </w:rPr>
            </w:pPr>
            <w:r w:rsidRPr="00FE466D">
              <w:rPr>
                <w:rFonts w:cs="Arial"/>
                <w:color w:val="000000"/>
                <w:sz w:val="22"/>
                <w:szCs w:val="22"/>
              </w:rPr>
              <w:t>Overview about Employer, Enrollment Center tabs</w:t>
            </w:r>
          </w:p>
        </w:tc>
      </w:tr>
    </w:tbl>
    <w:p w:rsidR="0097619B" w:rsidRPr="004930D8" w:rsidRDefault="0097619B" w:rsidP="005D4BE9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706" w:rsidRDefault="00AC4706">
      <w:pPr>
        <w:spacing w:after="0" w:line="240" w:lineRule="auto"/>
      </w:pPr>
      <w:r>
        <w:separator/>
      </w:r>
    </w:p>
  </w:endnote>
  <w:endnote w:type="continuationSeparator" w:id="0">
    <w:p w:rsidR="00AC4706" w:rsidRDefault="00AC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706" w:rsidRPr="00DE4146" w:rsidRDefault="00AC4706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06/15/2015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06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19/2015</w:t>
    </w:r>
  </w:p>
  <w:p w:rsidR="00AC4706" w:rsidRPr="00DE4146" w:rsidRDefault="00AC4706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C06BAD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706" w:rsidRDefault="00AC4706">
      <w:pPr>
        <w:spacing w:after="0" w:line="240" w:lineRule="auto"/>
      </w:pPr>
      <w:r>
        <w:separator/>
      </w:r>
    </w:p>
  </w:footnote>
  <w:footnote w:type="continuationSeparator" w:id="0">
    <w:p w:rsidR="00AC4706" w:rsidRDefault="00AC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706" w:rsidRDefault="00AC4706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7B47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6400"/>
    <w:rsid w:val="002564B5"/>
    <w:rsid w:val="002668F4"/>
    <w:rsid w:val="00273DFA"/>
    <w:rsid w:val="002849F8"/>
    <w:rsid w:val="00291CDF"/>
    <w:rsid w:val="00293BA0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4BE9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84C7F"/>
    <w:rsid w:val="00696ABC"/>
    <w:rsid w:val="006C03B4"/>
    <w:rsid w:val="006C05ED"/>
    <w:rsid w:val="006D0C13"/>
    <w:rsid w:val="006D5776"/>
    <w:rsid w:val="006D73DC"/>
    <w:rsid w:val="006F7B0F"/>
    <w:rsid w:val="00702155"/>
    <w:rsid w:val="00732A38"/>
    <w:rsid w:val="00740666"/>
    <w:rsid w:val="007430B5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21A00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8F0A4E"/>
    <w:rsid w:val="00900BFA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345ED"/>
    <w:rsid w:val="00A4206F"/>
    <w:rsid w:val="00A43057"/>
    <w:rsid w:val="00A445A2"/>
    <w:rsid w:val="00A63796"/>
    <w:rsid w:val="00A7497B"/>
    <w:rsid w:val="00A97307"/>
    <w:rsid w:val="00AA4957"/>
    <w:rsid w:val="00AB11A0"/>
    <w:rsid w:val="00AB71F9"/>
    <w:rsid w:val="00AC0E21"/>
    <w:rsid w:val="00AC4706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211F3"/>
    <w:rsid w:val="00B254BB"/>
    <w:rsid w:val="00B26B69"/>
    <w:rsid w:val="00B73C7E"/>
    <w:rsid w:val="00B82CC9"/>
    <w:rsid w:val="00B97390"/>
    <w:rsid w:val="00BA6728"/>
    <w:rsid w:val="00BE649B"/>
    <w:rsid w:val="00BE6613"/>
    <w:rsid w:val="00BF420C"/>
    <w:rsid w:val="00C06BAD"/>
    <w:rsid w:val="00C125E4"/>
    <w:rsid w:val="00C159AB"/>
    <w:rsid w:val="00C16259"/>
    <w:rsid w:val="00C22C32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54BD3"/>
    <w:rsid w:val="00D621F5"/>
    <w:rsid w:val="00D70716"/>
    <w:rsid w:val="00D70CD7"/>
    <w:rsid w:val="00D712A0"/>
    <w:rsid w:val="00D81E12"/>
    <w:rsid w:val="00D821D1"/>
    <w:rsid w:val="00D825EB"/>
    <w:rsid w:val="00D9236A"/>
    <w:rsid w:val="00DA3859"/>
    <w:rsid w:val="00DA78FB"/>
    <w:rsid w:val="00DB00C2"/>
    <w:rsid w:val="00DB27E5"/>
    <w:rsid w:val="00DB2960"/>
    <w:rsid w:val="00DB2EFB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35BFA-E639-474F-9F58-7DB9CAE3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168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Abdul Khalid</cp:lastModifiedBy>
  <cp:revision>12</cp:revision>
  <cp:lastPrinted>2014-10-03T07:40:00Z</cp:lastPrinted>
  <dcterms:created xsi:type="dcterms:W3CDTF">2015-06-05T15:22:00Z</dcterms:created>
  <dcterms:modified xsi:type="dcterms:W3CDTF">2015-06-19T14:45:00Z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