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p>
    <w:p>
      <w:pPr>
        <w:spacing w:after="80"/>
        <w:jc w:val="center"/>
      </w:pPr>
      <w:r>
        <w:rPr>
          <w:rFonts w:ascii="Arial" w:cs="Arial" w:eastAsia="Arial" w:hAnsi="Arial"/>
          <w:b/>
          <w:bCs/>
          <w:color w:val="1F3864"/>
          <w:sz w:val="52"/>
          <w:szCs w:val="52"/>
        </w:rPr>
        <w:t xml:space="preserve">PROJECT VITAL</w:t>
      </w:r>
    </w:p>
    <w:p>
      <w:pPr>
        <w:spacing w:after="200"/>
        <w:jc w:val="center"/>
      </w:pPr>
      <w:r>
        <w:rPr>
          <w:rFonts w:ascii="Arial" w:cs="Arial" w:eastAsia="Arial" w:hAnsi="Arial"/>
          <w:i/>
          <w:iCs/>
          <w:color w:val="2E5090"/>
          <w:sz w:val="30"/>
          <w:szCs w:val="30"/>
        </w:rPr>
        <w:t xml:space="preserve">Vital Insights for Thriving Agile Leadership</w:t>
      </w:r>
    </w:p>
    <w:p>
      <w:pPr>
        <w:pBdr>
          <w:bottom w:val="single" w:color="1F3864" w:sz="8" w:space="1"/>
        </w:pBdr>
        <w:spacing w:after="300"/>
        <w:jc w:val="center"/>
      </w:pPr>
    </w:p>
    <w:p>
      <w:pPr>
        <w:spacing w:before="200" w:after="0"/>
      </w:pPr>
    </w:p>
    <w:p>
      <w:pPr>
        <w:spacing w:after="120"/>
        <w:jc w:val="center"/>
      </w:pPr>
      <w:r>
        <w:rPr>
          <w:rFonts w:ascii="Arial" w:cs="Arial" w:eastAsia="Arial" w:hAnsi="Arial"/>
          <w:b/>
          <w:bCs/>
          <w:color w:val="1F3864"/>
          <w:sz w:val="36"/>
          <w:szCs w:val="36"/>
        </w:rPr>
        <w:t xml:space="preserve">TECHNICAL AND STRATEGIC OVERVIEW</w:t>
      </w:r>
    </w:p>
    <w:p>
      <w:pPr>
        <w:spacing w:after="80"/>
        <w:jc w:val="center"/>
      </w:pPr>
      <w:r>
        <w:rPr>
          <w:rFonts w:ascii="Arial" w:cs="Arial" w:eastAsia="Arial" w:hAnsi="Arial"/>
          <w:color w:val="2E5090"/>
          <w:sz w:val="26"/>
          <w:szCs w:val="26"/>
        </w:rPr>
        <w:t xml:space="preserve">Four-Tier Organisational Health Monitoring Framework</w:t>
      </w:r>
    </w:p>
    <w:p>
      <w:pPr>
        <w:spacing w:before="100" w:after="0"/>
      </w:pPr>
    </w:p>
    <w:p>
      <w:pPr>
        <w:spacing w:after="60"/>
        <w:jc w:val="center"/>
      </w:pPr>
      <w:r>
        <w:rPr>
          <w:rFonts w:ascii="Arial" w:cs="Arial" w:eastAsia="Arial" w:hAnsi="Arial"/>
          <w:color w:val="1A1A2E"/>
          <w:sz w:val="26"/>
          <w:szCs w:val="26"/>
        </w:rPr>
        <w:t xml:space="preserve">22 Functions  |  Five Levels of AI Intelligence  |  Human Sensing Architecture</w:t>
      </w:r>
    </w:p>
    <w:p>
      <w:pPr>
        <w:spacing w:after="60"/>
        <w:jc w:val="center"/>
      </w:pPr>
      <w:r>
        <w:rPr>
          <w:rFonts w:ascii="Arial" w:cs="Arial" w:eastAsia="Arial" w:hAnsi="Arial"/>
          <w:color w:val="1A1A2E"/>
          <w:sz w:val="26"/>
          <w:szCs w:val="26"/>
        </w:rPr>
        <w:t xml:space="preserve">Signal Aggregation to Combined OHI  |  Cross-Tier Correlation  |  Double-Loop Learning</w:t>
      </w:r>
    </w:p>
    <w:p>
      <w:pPr>
        <w:spacing w:after="60"/>
        <w:jc w:val="center"/>
      </w:pPr>
      <w:r>
        <w:rPr>
          <w:rFonts w:ascii="Arial" w:cs="Arial" w:eastAsia="Arial" w:hAnsi="Arial"/>
          <w:color w:val="1A1A2E"/>
          <w:sz w:val="26"/>
          <w:szCs w:val="26"/>
        </w:rPr>
        <w:t xml:space="preserve">Pre-Final Version 3  |  March 2026</w:t>
      </w:r>
    </w:p>
    <w:p>
      <w:r>
        <w:br w:type="page"/>
      </w:r>
    </w:p>
    <w:p>
      <w:pPr>
        <w:pStyle w:val="Heading1"/>
      </w:pPr>
      <w:r>
        <w:rPr>
          <w:rFonts w:ascii="Arial" w:cs="Arial" w:eastAsia="Arial" w:hAnsi="Arial"/>
        </w:rPr>
        <w:t xml:space="preserve">The Problem VITAL Solves</w:t>
      </w:r>
    </w:p>
    <w:p>
      <w:pPr>
        <w:spacing w:after="200" w:before="80" w:line="300"/>
      </w:pPr>
      <w:r>
        <w:rPr>
          <w:rFonts w:ascii="Arial" w:cs="Arial" w:eastAsia="Arial" w:hAnsi="Arial"/>
          <w:color w:val="1A1A2E"/>
          <w:sz w:val="26"/>
          <w:szCs w:val="26"/>
        </w:rPr>
        <w:t xml:space="preserve">Organisations do not collapse suddenly. They weaken through correlated drifts. Three specific gaps in how organisations are currently monitored create the conditions for this:</w:t>
      </w:r>
    </w:p>
    <w:p>
      <w:pPr>
        <w:spacing w:before="80" w:after="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3864" w:sz="2"/>
              <w:left w:val="single" w:color="1F3864" w:sz="6"/>
              <w:bottom w:val="single" w:color="1F3864" w:sz="2"/>
              <w:right w:val="single" w:color="1F3864" w:sz="2"/>
            </w:tcBorders>
            <w:shd w:fill="E8EFF7" w:val="clear"/>
            <w:tcMar>
              <w:top w:type="dxa" w:w="120"/>
              <w:left w:type="dxa" w:w="180"/>
              <w:bottom w:type="dxa" w:w="120"/>
              <w:right w:type="dxa" w:w="180"/>
            </w:tcMar>
          </w:tcPr>
          <w:p>
            <w:pPr>
              <w:spacing w:after="200" w:before="80" w:line="300"/>
            </w:pPr>
            <w:r>
              <w:rPr>
                <w:rFonts w:ascii="Arial" w:cs="Arial" w:eastAsia="Arial" w:hAnsi="Arial"/>
                <w:b/>
                <w:bCs/>
                <w:color w:val="1A1A2E"/>
                <w:sz w:val="26"/>
                <w:szCs w:val="26"/>
              </w:rPr>
              <w:t xml:space="preserve">1.  Each monitoring tool watches only its own function</w:t>
            </w:r>
          </w:p>
          <w:p>
            <w:pPr>
              <w:spacing w:after="200" w:before="80" w:line="300"/>
            </w:pPr>
            <w:r>
              <w:rPr>
                <w:rFonts w:ascii="Arial" w:cs="Arial" w:eastAsia="Arial" w:hAnsi="Arial"/>
                <w:color w:val="1A1A2E"/>
                <w:sz w:val="26"/>
                <w:szCs w:val="26"/>
              </w:rPr>
              <w:t xml:space="preserve">Finance reviews cash. HR tracks attrition. Operations measures delivery. Each sees its function clearly and the rest not at all. The organisation has monitoring. What it does not have is a system that watches all functions simultaneously.</w:t>
            </w:r>
          </w:p>
        </w:tc>
      </w:tr>
    </w:tbl>
    <w:p>
      <w:pPr>
        <w:spacing w:before="80" w:after="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3864" w:sz="2"/>
              <w:left w:val="single" w:color="1F3864" w:sz="6"/>
              <w:bottom w:val="single" w:color="1F3864" w:sz="2"/>
              <w:right w:val="single" w:color="1F3864" w:sz="2"/>
            </w:tcBorders>
            <w:shd w:fill="E8EFF7" w:val="clear"/>
            <w:tcMar>
              <w:top w:type="dxa" w:w="120"/>
              <w:left w:type="dxa" w:w="180"/>
              <w:bottom w:type="dxa" w:w="120"/>
              <w:right w:type="dxa" w:w="180"/>
            </w:tcMar>
          </w:tcPr>
          <w:p>
            <w:pPr>
              <w:spacing w:after="200" w:before="80" w:line="300"/>
            </w:pPr>
            <w:r>
              <w:rPr>
                <w:rFonts w:ascii="Arial" w:cs="Arial" w:eastAsia="Arial" w:hAnsi="Arial"/>
                <w:b/>
                <w:bCs/>
                <w:color w:val="1A1A2E"/>
                <w:sz w:val="26"/>
                <w:szCs w:val="26"/>
              </w:rPr>
              <w:t xml:space="preserve">2.  No tool asks the correlation question</w:t>
            </w:r>
          </w:p>
          <w:p>
            <w:pPr>
              <w:spacing w:after="200" w:before="80" w:line="300"/>
            </w:pPr>
            <w:r>
              <w:rPr>
                <w:rFonts w:ascii="Arial" w:cs="Arial" w:eastAsia="Arial" w:hAnsi="Arial"/>
                <w:color w:val="1A1A2E"/>
                <w:sz w:val="26"/>
                <w:szCs w:val="26"/>
              </w:rPr>
              <w:t xml:space="preserve">What does it mean when several of these are moving in the same direction at the same time? That question is where organisational crises are born. No existing management information system asks it.</w:t>
            </w:r>
          </w:p>
        </w:tc>
      </w:tr>
    </w:tbl>
    <w:p>
      <w:pPr>
        <w:spacing w:before="80" w:after="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3864" w:sz="2"/>
              <w:left w:val="single" w:color="1F3864" w:sz="6"/>
              <w:bottom w:val="single" w:color="1F3864" w:sz="2"/>
              <w:right w:val="single" w:color="1F3864" w:sz="2"/>
            </w:tcBorders>
            <w:shd w:fill="E8EFF7" w:val="clear"/>
            <w:tcMar>
              <w:top w:type="dxa" w:w="120"/>
              <w:left w:type="dxa" w:w="180"/>
              <w:bottom w:type="dxa" w:w="120"/>
              <w:right w:type="dxa" w:w="180"/>
            </w:tcMar>
          </w:tcPr>
          <w:p>
            <w:pPr>
              <w:spacing w:after="200" w:before="80" w:line="300"/>
            </w:pPr>
            <w:r>
              <w:rPr>
                <w:rFonts w:ascii="Arial" w:cs="Arial" w:eastAsia="Arial" w:hAnsi="Arial"/>
                <w:b/>
                <w:bCs/>
                <w:color w:val="1A1A2E"/>
                <w:sz w:val="26"/>
                <w:szCs w:val="26"/>
              </w:rPr>
              <w:t xml:space="preserve">3.  By the time the cascade is visible, it has already formed</w:t>
            </w:r>
          </w:p>
          <w:p>
            <w:pPr>
              <w:spacing w:after="200" w:before="80" w:line="300"/>
            </w:pPr>
            <w:r>
              <w:rPr>
                <w:rFonts w:ascii="Arial" w:cs="Arial" w:eastAsia="Arial" w:hAnsi="Arial"/>
                <w:color w:val="1A1A2E"/>
                <w:sz w:val="26"/>
                <w:szCs w:val="26"/>
              </w:rPr>
              <w:t xml:space="preserve">A cash pressure causes people to leave. Attrition in critical roles degrades delivery quality. Delivery problems erode customer relationships, which deepens the cash pressure. Each function has a monitoring tool. None of those tools can see the cascade forming. VITAL can.</w:t>
            </w:r>
          </w:p>
        </w:tc>
      </w:tr>
    </w:tbl>
    <w:p>
      <w:pPr>
        <w:spacing w:before="120" w:after="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3864" w:sz="2"/>
              <w:left w:val="single" w:color="1F3864" w:sz="6"/>
              <w:bottom w:val="single" w:color="1F3864" w:sz="2"/>
              <w:right w:val="single" w:color="1F3864" w:sz="2"/>
            </w:tcBorders>
            <w:shd w:fill="E8F5E9" w:val="clear"/>
            <w:tcMar>
              <w:top w:type="dxa" w:w="120"/>
              <w:left w:type="dxa" w:w="180"/>
              <w:bottom w:type="dxa" w:w="120"/>
              <w:right w:type="dxa" w:w="180"/>
            </w:tcMar>
          </w:tcPr>
          <w:p>
            <w:pPr>
              <w:spacing w:after="200" w:before="80" w:line="300"/>
            </w:pPr>
            <w:r>
              <w:rPr>
                <w:rFonts w:ascii="Arial" w:cs="Arial" w:eastAsia="Arial" w:hAnsi="Arial"/>
                <w:b/>
                <w:bCs/>
                <w:color w:val="1F3864"/>
                <w:sz w:val="28"/>
                <w:szCs w:val="28"/>
              </w:rPr>
              <w:t xml:space="preserve">The Central Claim</w:t>
            </w:r>
          </w:p>
          <w:p>
            <w:pPr>
              <w:spacing w:after="200" w:before="80" w:line="300"/>
            </w:pPr>
            <w:r>
              <w:rPr>
                <w:rFonts w:ascii="Arial" w:cs="Arial" w:eastAsia="Arial" w:hAnsi="Arial"/>
                <w:b/>
                <w:bCs/>
                <w:i/>
                <w:iCs/>
                <w:color w:val="1A1A2E"/>
                <w:sz w:val="26"/>
                <w:szCs w:val="26"/>
              </w:rPr>
              <w:t xml:space="preserve">Organisations monitor functions. VITAL monitors the organisation as a system.</w:t>
            </w:r>
          </w:p>
          <w:p>
            <w:pPr>
              <w:spacing w:after="200" w:before="80" w:line="300"/>
            </w:pPr>
            <w:r>
              <w:rPr>
                <w:rFonts w:ascii="Arial" w:cs="Arial" w:eastAsia="Arial" w:hAnsi="Arial"/>
                <w:color w:val="1A1A2E"/>
                <w:sz w:val="26"/>
                <w:szCs w:val="26"/>
              </w:rPr>
              <w:t xml:space="preserve">VITAL detects organisational distress 30 to 60 days before conventional dashboards show it — because it monitors all functions simultaneously and asks the correlation question continuously.</w:t>
            </w:r>
          </w:p>
        </w:tc>
      </w:tr>
    </w:tbl>
    <w:p>
      <w:r>
        <w:br w:type="page"/>
      </w:r>
    </w:p>
    <w:p>
      <w:pPr>
        <w:pStyle w:val="Heading1"/>
      </w:pPr>
      <w:r>
        <w:rPr>
          <w:rFonts w:ascii="Arial" w:cs="Arial" w:eastAsia="Arial" w:hAnsi="Arial"/>
        </w:rPr>
        <w:t xml:space="preserve">What VITAL Is — Four Precise Statements</w:t>
      </w:r>
    </w:p>
    <w:p>
      <w:pPr>
        <w:spacing w:before="80" w:after="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3864" w:sz="2"/>
              <w:left w:val="single" w:color="1F3864" w:sz="6"/>
              <w:bottom w:val="single" w:color="1F3864" w:sz="2"/>
              <w:right w:val="single" w:color="1F3864" w:sz="2"/>
            </w:tcBorders>
            <w:shd w:fill="E8EFF7" w:val="clear"/>
            <w:tcMar>
              <w:top w:type="dxa" w:w="120"/>
              <w:left w:type="dxa" w:w="180"/>
              <w:bottom w:type="dxa" w:w="120"/>
              <w:right w:type="dxa" w:w="180"/>
            </w:tcMar>
          </w:tcPr>
          <w:p>
            <w:pPr>
              <w:spacing w:after="200" w:before="80" w:line="300"/>
            </w:pPr>
            <w:r>
              <w:rPr>
                <w:rFonts w:ascii="Arial" w:cs="Arial" w:eastAsia="Arial" w:hAnsi="Arial"/>
                <w:b/>
                <w:bCs/>
                <w:color w:val="1A1A2E"/>
                <w:sz w:val="26"/>
                <w:szCs w:val="26"/>
              </w:rPr>
              <w:t xml:space="preserve">A.  A continuous integrated monitoring framework — not a periodic report</w:t>
            </w:r>
          </w:p>
          <w:p>
            <w:pPr>
              <w:spacing w:after="200" w:before="80" w:line="300"/>
            </w:pPr>
            <w:r>
              <w:rPr>
                <w:rFonts w:ascii="Arial" w:cs="Arial" w:eastAsia="Arial" w:hAnsi="Arial"/>
                <w:color w:val="1A1A2E"/>
                <w:sz w:val="26"/>
                <w:szCs w:val="26"/>
              </w:rPr>
              <w:t xml:space="preserve">VITAL monitors 22 organisational functions across four tiers simultaneously, every day, reading from connected systems in real time. It does not wait for a monthly report cycle.</w:t>
            </w:r>
          </w:p>
        </w:tc>
      </w:tr>
    </w:tbl>
    <w:p>
      <w:pPr>
        <w:spacing w:before="80" w:after="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3864" w:sz="2"/>
              <w:left w:val="single" w:color="1F3864" w:sz="6"/>
              <w:bottom w:val="single" w:color="1F3864" w:sz="2"/>
              <w:right w:val="single" w:color="1F3864" w:sz="2"/>
            </w:tcBorders>
            <w:shd w:fill="E8EFF7" w:val="clear"/>
            <w:tcMar>
              <w:top w:type="dxa" w:w="120"/>
              <w:left w:type="dxa" w:w="180"/>
              <w:bottom w:type="dxa" w:w="120"/>
              <w:right w:type="dxa" w:w="180"/>
            </w:tcMar>
          </w:tcPr>
          <w:p>
            <w:pPr>
              <w:spacing w:after="200" w:before="80" w:line="300"/>
            </w:pPr>
            <w:r>
              <w:rPr>
                <w:rFonts w:ascii="Arial" w:cs="Arial" w:eastAsia="Arial" w:hAnsi="Arial"/>
                <w:b/>
                <w:bCs/>
                <w:color w:val="1A1A2E"/>
                <w:sz w:val="26"/>
                <w:szCs w:val="26"/>
              </w:rPr>
              <w:t xml:space="preserve">B.  An intelligence layer above existing systems — not a replacement</w:t>
            </w:r>
          </w:p>
          <w:p>
            <w:pPr>
              <w:spacing w:after="200" w:before="80" w:line="300"/>
            </w:pPr>
            <w:r>
              <w:rPr>
                <w:rFonts w:ascii="Arial" w:cs="Arial" w:eastAsia="Arial" w:hAnsi="Arial"/>
                <w:color w:val="1A1A2E"/>
                <w:sz w:val="26"/>
                <w:szCs w:val="26"/>
              </w:rPr>
              <w:t xml:space="preserve">VITAL reads from ERP, HRMS, CRM, project management, procurement, and IT monitoring platforms the organisation already uses. No replacement of existing systems. No new operational infrastructure. API connections poll each connected system on a defined schedule, extract the required data fields, and feed them into the VITAL computation engine.</w:t>
            </w:r>
          </w:p>
        </w:tc>
      </w:tr>
    </w:tbl>
    <w:p>
      <w:pPr>
        <w:spacing w:before="80" w:after="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3864" w:sz="2"/>
              <w:left w:val="single" w:color="1F3864" w:sz="6"/>
              <w:bottom w:val="single" w:color="1F3864" w:sz="2"/>
              <w:right w:val="single" w:color="1F3864" w:sz="2"/>
            </w:tcBorders>
            <w:shd w:fill="E8EFF7" w:val="clear"/>
            <w:tcMar>
              <w:top w:type="dxa" w:w="120"/>
              <w:left w:type="dxa" w:w="180"/>
              <w:bottom w:type="dxa" w:w="120"/>
              <w:right w:type="dxa" w:w="180"/>
            </w:tcMar>
          </w:tcPr>
          <w:p>
            <w:pPr>
              <w:spacing w:after="200" w:before="80" w:line="300"/>
            </w:pPr>
            <w:r>
              <w:rPr>
                <w:rFonts w:ascii="Arial" w:cs="Arial" w:eastAsia="Arial" w:hAnsi="Arial"/>
                <w:b/>
                <w:bCs/>
                <w:color w:val="1A1A2E"/>
                <w:sz w:val="26"/>
                <w:szCs w:val="26"/>
              </w:rPr>
              <w:t xml:space="preserve">C.  A universal framework calibrated to sector — not a sector-specific tool</w:t>
            </w:r>
          </w:p>
          <w:p>
            <w:pPr>
              <w:spacing w:after="200" w:before="80" w:line="300"/>
            </w:pPr>
            <w:r>
              <w:rPr>
                <w:rFonts w:ascii="Arial" w:cs="Arial" w:eastAsia="Arial" w:hAnsi="Arial"/>
                <w:color w:val="1A1A2E"/>
                <w:sz w:val="26"/>
                <w:szCs w:val="26"/>
              </w:rPr>
              <w:t xml:space="preserve">Every organisation has the same organisational physiology: a financial heart, a leadership brain, people-and-capability lungs, a delivery circulatory system, a compliance immune system, a technology nervous system, and a revenue market lung. The architecture is universal. Thresholds and domain parameters are calibrated to sector and context.</w:t>
            </w:r>
          </w:p>
        </w:tc>
      </w:tr>
    </w:tbl>
    <w:p>
      <w:pPr>
        <w:spacing w:before="80" w:after="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3864" w:sz="2"/>
              <w:left w:val="single" w:color="1F3864" w:sz="6"/>
              <w:bottom w:val="single" w:color="1F3864" w:sz="2"/>
              <w:right w:val="single" w:color="1F3864" w:sz="2"/>
            </w:tcBorders>
            <w:shd w:fill="E8EFF7" w:val="clear"/>
            <w:tcMar>
              <w:top w:type="dxa" w:w="120"/>
              <w:left w:type="dxa" w:w="180"/>
              <w:bottom w:type="dxa" w:w="120"/>
              <w:right w:type="dxa" w:w="180"/>
            </w:tcMar>
          </w:tcPr>
          <w:p>
            <w:pPr>
              <w:spacing w:after="200" w:before="80" w:line="300"/>
            </w:pPr>
            <w:r>
              <w:rPr>
                <w:rFonts w:ascii="Arial" w:cs="Arial" w:eastAsia="Arial" w:hAnsi="Arial"/>
                <w:b/>
                <w:bCs/>
                <w:color w:val="1A1A2E"/>
                <w:sz w:val="26"/>
                <w:szCs w:val="26"/>
              </w:rPr>
              <w:t xml:space="preserve">D.  A new class of organisational infrastructure — continuous systemic awareness</w:t>
            </w:r>
          </w:p>
          <w:p>
            <w:pPr>
              <w:spacing w:after="200" w:before="80" w:line="300"/>
            </w:pPr>
            <w:r>
              <w:rPr>
                <w:rFonts w:ascii="Arial" w:cs="Arial" w:eastAsia="Arial" w:hAnsi="Arial"/>
                <w:color w:val="1A1A2E"/>
                <w:sz w:val="26"/>
                <w:szCs w:val="26"/>
              </w:rPr>
              <w:t xml:space="preserve">VITAL monitors not merely whether each function’s metrics are acceptable, but whether the interactions between functions are producing the conditions that precede distress. The objective is not reporting. It is early diagnosis and preventive correction.</w:t>
            </w:r>
          </w:p>
        </w:tc>
      </w:tr>
    </w:tbl>
    <w:p>
      <w:pPr>
        <w:spacing w:before="80" w:after="0"/>
      </w:pPr>
    </w:p>
    <w:p>
      <w:pPr>
        <w:spacing w:after="200" w:before="80" w:line="300"/>
      </w:pPr>
      <w:r>
        <w:rPr>
          <w:rFonts w:ascii="Arial" w:cs="Arial" w:eastAsia="Arial" w:hAnsi="Arial"/>
          <w:i/>
          <w:iCs/>
          <w:color w:val="1A1A2E"/>
          <w:sz w:val="26"/>
          <w:szCs w:val="26"/>
        </w:rPr>
        <w:t xml:space="preserve">An organisation must be monitored like a living system — not through retrospective reports, not through static KPIs reviewed annually, but through continuous, correlated sensing of the conditions that determine whether the organism is thriving, stable, or moving toward distress.</w:t>
      </w:r>
    </w:p>
    <w:p>
      <w:r>
        <w:br w:type="page"/>
      </w:r>
    </w:p>
    <w:p>
      <w:pPr>
        <w:pStyle w:val="Heading1"/>
      </w:pPr>
      <w:r>
        <w:rPr>
          <w:rFonts w:ascii="Arial" w:cs="Arial" w:eastAsia="Arial" w:hAnsi="Arial"/>
        </w:rPr>
        <w:t xml:space="preserve">Five Levels of AI Intelligence</w:t>
      </w:r>
    </w:p>
    <w:p>
      <w:pPr>
        <w:spacing w:after="200" w:before="80" w:line="300"/>
      </w:pPr>
      <w:r>
        <w:rPr>
          <w:rFonts w:ascii="Arial" w:cs="Arial" w:eastAsia="Arial" w:hAnsi="Arial"/>
          <w:color w:val="1A1A2E"/>
          <w:sz w:val="26"/>
          <w:szCs w:val="26"/>
        </w:rPr>
        <w:t xml:space="preserve">Before reading the four-tier architecture, it is useful to understand the five levels at which VITAL’s AI engine operates:</w:t>
      </w:r>
    </w:p>
    <w:p>
      <w:pPr>
        <w:spacing w:before="80" w:after="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3569"/>
        <w:gridCol w:w="3569"/>
      </w:tblGrid>
      <w:tr>
        <w:tc>
          <w:tcPr>
            <w:tcW w:type="dxa" w:w="7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spacing w:after="0" w:line="300"/>
            </w:pPr>
            <w:r>
              <w:rPr>
                <w:rFonts w:ascii="Arial" w:cs="Arial" w:eastAsia="Arial" w:hAnsi="Arial"/>
                <w:b/>
                <w:bCs/>
                <w:color w:val="FFFFFF"/>
                <w:sz w:val="24"/>
                <w:szCs w:val="24"/>
              </w:rPr>
              <w:t xml:space="preserve">Level</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spacing w:after="0" w:line="300"/>
            </w:pPr>
            <w:r>
              <w:rPr>
                <w:rFonts w:ascii="Arial" w:cs="Arial" w:eastAsia="Arial" w:hAnsi="Arial"/>
                <w:b/>
                <w:bCs/>
                <w:color w:val="FFFFFF"/>
                <w:sz w:val="24"/>
                <w:szCs w:val="24"/>
              </w:rPr>
              <w:t xml:space="preserve">Name</w:t>
            </w:r>
          </w:p>
        </w:tc>
        <w:tc>
          <w:tcPr>
            <w:tcW w:type="dxa" w:w="3569"/>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spacing w:after="0" w:line="300"/>
            </w:pPr>
            <w:r>
              <w:rPr>
                <w:rFonts w:ascii="Arial" w:cs="Arial" w:eastAsia="Arial" w:hAnsi="Arial"/>
                <w:b/>
                <w:bCs/>
                <w:color w:val="FFFFFF"/>
                <w:sz w:val="24"/>
                <w:szCs w:val="24"/>
              </w:rPr>
              <w:t xml:space="preserve">What It Detects</w:t>
            </w:r>
          </w:p>
        </w:tc>
        <w:tc>
          <w:tcPr>
            <w:tcW w:type="dxa" w:w="3569"/>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spacing w:after="0" w:line="300"/>
            </w:pPr>
            <w:r>
              <w:rPr>
                <w:rFonts w:ascii="Arial" w:cs="Arial" w:eastAsia="Arial" w:hAnsi="Arial"/>
                <w:b/>
                <w:bCs/>
                <w:color w:val="FFFFFF"/>
                <w:sz w:val="24"/>
                <w:szCs w:val="24"/>
              </w:rPr>
              <w:t xml:space="preserve">What Makes It Distinct</w:t>
            </w:r>
          </w:p>
        </w:tc>
      </w:tr>
      <w:tr>
        <w:tc>
          <w:tcPr>
            <w:tcW w:type="dxa" w:w="7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pPr>
              <w:spacing w:after="60" w:line="276"/>
            </w:pPr>
            <w:r>
              <w:rPr>
                <w:rFonts w:ascii="Arial" w:cs="Arial" w:eastAsia="Arial" w:hAnsi="Arial"/>
                <w:b/>
                <w:bCs/>
                <w:color w:val="1A1A2E"/>
                <w:sz w:val="24"/>
                <w:szCs w:val="24"/>
              </w:rPr>
              <w:t xml:space="preserve">L1</w:t>
            </w:r>
          </w:p>
        </w:tc>
        <w:tc>
          <w:tcPr>
            <w:tcW w:type="dxa" w:w="18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pPr>
              <w:spacing w:after="60" w:line="276"/>
            </w:pPr>
            <w:r>
              <w:rPr>
                <w:rFonts w:ascii="Arial" w:cs="Arial" w:eastAsia="Arial" w:hAnsi="Arial"/>
                <w:b/>
                <w:bCs/>
                <w:color w:val="1A1A2E"/>
                <w:sz w:val="24"/>
                <w:szCs w:val="24"/>
              </w:rPr>
              <w:t xml:space="preserve">Threshold Detection</w:t>
            </w:r>
          </w:p>
        </w:tc>
        <w:tc>
          <w:tcPr>
            <w:tcW w:type="dxa" w:w="3569"/>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pPr>
              <w:spacing w:after="60" w:line="276"/>
            </w:pPr>
            <w:r>
              <w:rPr>
                <w:rFonts w:ascii="Arial" w:cs="Arial" w:eastAsia="Arial" w:hAnsi="Arial"/>
                <w:color w:val="1A1A2E"/>
                <w:sz w:val="24"/>
                <w:szCs w:val="24"/>
              </w:rPr>
              <w:t xml:space="preserve">A parameter crosses a defined absolute limit — cash below 30 days, system downtime, compliance deadline breach.</w:t>
            </w:r>
          </w:p>
        </w:tc>
        <w:tc>
          <w:tcPr>
            <w:tcW w:type="dxa" w:w="3569"/>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pPr>
              <w:spacing w:after="60" w:line="276"/>
            </w:pPr>
            <w:r>
              <w:rPr>
                <w:rFonts w:ascii="Arial" w:cs="Arial" w:eastAsia="Arial" w:hAnsi="Arial"/>
                <w:color w:val="1A1A2E"/>
                <w:sz w:val="24"/>
                <w:szCs w:val="24"/>
              </w:rPr>
              <w:t xml:space="preserve">Every monitoring tool does this. It is the safety net, not VITAL’s differentiator.</w:t>
            </w:r>
          </w:p>
        </w:tc>
      </w:tr>
      <w:tr>
        <w:tc>
          <w:tcPr>
            <w:tcW w:type="dxa" w:w="7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60" w:line="276"/>
            </w:pPr>
            <w:r>
              <w:rPr>
                <w:rFonts w:ascii="Arial" w:cs="Arial" w:eastAsia="Arial" w:hAnsi="Arial"/>
                <w:b/>
                <w:bCs/>
                <w:color w:val="1A1A2E"/>
                <w:sz w:val="24"/>
                <w:szCs w:val="24"/>
              </w:rPr>
              <w:t xml:space="preserve">L2</w:t>
            </w:r>
          </w:p>
        </w:tc>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60" w:line="276"/>
            </w:pPr>
            <w:r>
              <w:rPr>
                <w:rFonts w:ascii="Arial" w:cs="Arial" w:eastAsia="Arial" w:hAnsi="Arial"/>
                <w:b/>
                <w:bCs/>
                <w:color w:val="1A1A2E"/>
                <w:sz w:val="24"/>
                <w:szCs w:val="24"/>
              </w:rPr>
              <w:t xml:space="preserve">Drift Detection</w:t>
            </w:r>
          </w:p>
        </w:tc>
        <w:tc>
          <w:tcPr>
            <w:tcW w:type="dxa" w:w="3569"/>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60" w:line="276"/>
            </w:pPr>
            <w:r>
              <w:rPr>
                <w:rFonts w:ascii="Arial" w:cs="Arial" w:eastAsia="Arial" w:hAnsi="Arial"/>
                <w:color w:val="1A1A2E"/>
                <w:sz w:val="24"/>
                <w:szCs w:val="24"/>
              </w:rPr>
              <w:t xml:space="preserve">Maintains a rolling 6-week baseline per parameter. Fires when current reading deviates materially — gradual decline detected weeks before any limit is crossed.</w:t>
            </w:r>
          </w:p>
        </w:tc>
        <w:tc>
          <w:tcPr>
            <w:tcW w:type="dxa" w:w="3569"/>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60" w:line="276"/>
            </w:pPr>
            <w:r>
              <w:rPr>
                <w:rFonts w:ascii="Arial" w:cs="Arial" w:eastAsia="Arial" w:hAnsi="Arial"/>
                <w:color w:val="1A1A2E"/>
                <w:sz w:val="24"/>
                <w:szCs w:val="24"/>
              </w:rPr>
              <w:t xml:space="preserve">Catches delivery rate falling steadily from 95% to 82% over 8 weeks — visible at week 3, not week 8.</w:t>
            </w:r>
          </w:p>
        </w:tc>
      </w:tr>
      <w:tr>
        <w:tc>
          <w:tcPr>
            <w:tcW w:type="dxa" w:w="7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pPr>
              <w:spacing w:after="60" w:line="276"/>
            </w:pPr>
            <w:r>
              <w:rPr>
                <w:rFonts w:ascii="Arial" w:cs="Arial" w:eastAsia="Arial" w:hAnsi="Arial"/>
                <w:b/>
                <w:bCs/>
                <w:color w:val="1A1A2E"/>
                <w:sz w:val="24"/>
                <w:szCs w:val="24"/>
              </w:rPr>
              <w:t xml:space="preserve">L3</w:t>
            </w:r>
          </w:p>
        </w:tc>
        <w:tc>
          <w:tcPr>
            <w:tcW w:type="dxa" w:w="18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pPr>
              <w:spacing w:after="60" w:line="276"/>
            </w:pPr>
            <w:r>
              <w:rPr>
                <w:rFonts w:ascii="Arial" w:cs="Arial" w:eastAsia="Arial" w:hAnsi="Arial"/>
                <w:b/>
                <w:bCs/>
                <w:color w:val="1A1A2E"/>
                <w:sz w:val="24"/>
                <w:szCs w:val="24"/>
              </w:rPr>
              <w:t xml:space="preserve">Pattern Recognition</w:t>
            </w:r>
          </w:p>
        </w:tc>
        <w:tc>
          <w:tcPr>
            <w:tcW w:type="dxa" w:w="3569"/>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pPr>
              <w:spacing w:after="60" w:line="276"/>
            </w:pPr>
            <w:r>
              <w:rPr>
                <w:rFonts w:ascii="Arial" w:cs="Arial" w:eastAsia="Arial" w:hAnsi="Arial"/>
                <w:color w:val="1A1A2E"/>
                <w:sz w:val="24"/>
                <w:szCs w:val="24"/>
              </w:rPr>
              <w:t xml:space="preserve">When two or more functions show simultaneous adverse signals matching a named pattern, the rule fires. </w:t>
            </w:r>
            <w:r>
              <w:rPr>
                <w:rFonts w:ascii="Arial" w:cs="Arial" w:eastAsia="Arial" w:hAnsi="Arial"/>
                <w:b/>
                <w:bCs/>
                <w:color w:val="1A1A2E"/>
                <w:sz w:val="24"/>
                <w:szCs w:val="24"/>
              </w:rPr>
              <w:t xml:space="preserve">20 named patterns defined.</w:t>
            </w:r>
          </w:p>
        </w:tc>
        <w:tc>
          <w:tcPr>
            <w:tcW w:type="dxa" w:w="3569"/>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pPr>
              <w:spacing w:after="60" w:line="276"/>
            </w:pPr>
            <w:r>
              <w:rPr>
                <w:rFonts w:ascii="Arial" w:cs="Arial" w:eastAsia="Arial" w:hAnsi="Arial"/>
                <w:b/>
                <w:bCs/>
                <w:i/>
                <w:iCs/>
                <w:color w:val="1A1A2E"/>
                <w:sz w:val="24"/>
                <w:szCs w:val="24"/>
              </w:rPr>
              <w:t xml:space="preserve">VITAL’s unique capability.</w:t>
            </w:r>
            <w:r>
              <w:rPr>
                <w:rFonts w:ascii="Arial" w:cs="Arial" w:eastAsia="Arial" w:hAnsi="Arial"/>
                <w:color w:val="1A1A2E"/>
                <w:sz w:val="24"/>
                <w:szCs w:val="24"/>
              </w:rPr>
              <w:t xml:space="preserve"> No single-function tool can see these patterns. Crises detected before they form.</w:t>
            </w:r>
          </w:p>
        </w:tc>
      </w:tr>
      <w:tr>
        <w:tc>
          <w:tcPr>
            <w:tcW w:type="dxa" w:w="7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60" w:line="276"/>
            </w:pPr>
            <w:r>
              <w:rPr>
                <w:rFonts w:ascii="Arial" w:cs="Arial" w:eastAsia="Arial" w:hAnsi="Arial"/>
                <w:b/>
                <w:bCs/>
                <w:color w:val="1A1A2E"/>
                <w:sz w:val="24"/>
                <w:szCs w:val="24"/>
              </w:rPr>
              <w:t xml:space="preserve">L4</w:t>
            </w:r>
          </w:p>
        </w:tc>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60" w:line="276"/>
            </w:pPr>
            <w:r>
              <w:rPr>
                <w:rFonts w:ascii="Arial" w:cs="Arial" w:eastAsia="Arial" w:hAnsi="Arial"/>
                <w:b/>
                <w:bCs/>
                <w:color w:val="1A1A2E"/>
                <w:sz w:val="24"/>
                <w:szCs w:val="24"/>
              </w:rPr>
              <w:t xml:space="preserve">Forward Projection</w:t>
            </w:r>
          </w:p>
        </w:tc>
        <w:tc>
          <w:tcPr>
            <w:tcW w:type="dxa" w:w="3569"/>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60" w:line="276"/>
            </w:pPr>
            <w:r>
              <w:rPr>
                <w:rFonts w:ascii="Arial" w:cs="Arial" w:eastAsia="Arial" w:hAnsi="Arial"/>
                <w:color w:val="1A1A2E"/>
                <w:sz w:val="24"/>
                <w:szCs w:val="24"/>
              </w:rPr>
              <w:t xml:space="preserve">Projects current trajectories forward and quantifies the cost of delay while the decision is still pending.</w:t>
            </w:r>
          </w:p>
        </w:tc>
        <w:tc>
          <w:tcPr>
            <w:tcW w:type="dxa" w:w="3569"/>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60" w:line="276"/>
            </w:pPr>
            <w:r>
              <w:rPr>
                <w:rFonts w:ascii="Arial" w:cs="Arial" w:eastAsia="Arial" w:hAnsi="Arial"/>
                <w:color w:val="1A1A2E"/>
                <w:sz w:val="24"/>
                <w:szCs w:val="24"/>
              </w:rPr>
              <w:t xml:space="preserve">Not what is wrong now — what will be wrong in 47 days if nothing changes, and what that will cost.</w:t>
            </w:r>
          </w:p>
        </w:tc>
      </w:tr>
      <w:tr>
        <w:tc>
          <w:tcPr>
            <w:tcW w:type="dxa" w:w="7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pPr>
              <w:spacing w:after="60" w:line="276"/>
            </w:pPr>
            <w:r>
              <w:rPr>
                <w:rFonts w:ascii="Arial" w:cs="Arial" w:eastAsia="Arial" w:hAnsi="Arial"/>
                <w:b/>
                <w:bCs/>
                <w:color w:val="1A1A2E"/>
                <w:sz w:val="24"/>
                <w:szCs w:val="24"/>
              </w:rPr>
              <w:t xml:space="preserve">L5</w:t>
            </w:r>
          </w:p>
        </w:tc>
        <w:tc>
          <w:tcPr>
            <w:tcW w:type="dxa" w:w="18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pPr>
              <w:spacing w:after="60" w:line="276"/>
            </w:pPr>
            <w:r>
              <w:rPr>
                <w:rFonts w:ascii="Arial" w:cs="Arial" w:eastAsia="Arial" w:hAnsi="Arial"/>
                <w:b/>
                <w:bCs/>
                <w:color w:val="1A1A2E"/>
                <w:sz w:val="24"/>
                <w:szCs w:val="24"/>
              </w:rPr>
              <w:t xml:space="preserve">Process Adherence</w:t>
            </w:r>
          </w:p>
        </w:tc>
        <w:tc>
          <w:tcPr>
            <w:tcW w:type="dxa" w:w="3569"/>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pPr>
              <w:spacing w:after="60" w:line="276"/>
            </w:pPr>
            <w:r>
              <w:rPr>
                <w:rFonts w:ascii="Arial" w:cs="Arial" w:eastAsia="Arial" w:hAnsi="Arial"/>
                <w:color w:val="1A1A2E"/>
                <w:sz w:val="24"/>
                <w:szCs w:val="24"/>
              </w:rPr>
              <w:t xml:space="preserve">Detects process step incompletions, QA independence failures, and quality shortcuts before result parameters show any consequence.</w:t>
            </w:r>
          </w:p>
        </w:tc>
        <w:tc>
          <w:tcPr>
            <w:tcW w:type="dxa" w:w="3569"/>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pPr>
              <w:spacing w:after="60" w:line="276"/>
            </w:pPr>
            <w:r>
              <w:rPr>
                <w:rFonts w:ascii="Arial" w:cs="Arial" w:eastAsia="Arial" w:hAnsi="Arial"/>
                <w:color w:val="1A1A2E"/>
                <w:sz w:val="24"/>
                <w:szCs w:val="24"/>
              </w:rPr>
              <w:t xml:space="preserve">Result failures always begin as process failures, typically 2–8 weeks earlier. L5 catches the process failure first.</w:t>
            </w:r>
          </w:p>
        </w:tc>
      </w:tr>
    </w:tbl>
    <w:p>
      <w:r>
        <w:br w:type="page"/>
      </w:r>
    </w:p>
    <w:p>
      <w:pPr>
        <w:pStyle w:val="Heading1"/>
      </w:pPr>
      <w:r>
        <w:rPr>
          <w:rFonts w:ascii="Arial" w:cs="Arial" w:eastAsia="Arial" w:hAnsi="Arial"/>
        </w:rPr>
        <w:t xml:space="preserve">The Four-Tier Architecture — 22 Functions</w:t>
      </w:r>
    </w:p>
    <w:p>
      <w:pPr>
        <w:spacing w:after="200" w:before="80" w:line="300"/>
      </w:pPr>
      <w:r>
        <w:rPr>
          <w:rFonts w:ascii="Arial" w:cs="Arial" w:eastAsia="Arial" w:hAnsi="Arial"/>
          <w:color w:val="1A1A2E"/>
          <w:sz w:val="26"/>
          <w:szCs w:val="26"/>
        </w:rPr>
        <w:t xml:space="preserve">The four tiers reflect four distinct mechanisms by which organisational health is produced, sustained, degraded, and restored. The AI levels operate continuously across all four tiers simultaneously.</w:t>
      </w:r>
    </w:p>
    <w:p>
      <w:pPr>
        <w:spacing w:before="100" w:after="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CCCCC" w:sz="1"/>
              <w:left w:val="single" w:color="CCCCCC" w:sz="1"/>
              <w:bottom w:val="single" w:color="CCCCCC" w:sz="1"/>
              <w:right w:val="single" w:color="CCCCCC" w:sz="1"/>
            </w:tcBorders>
            <w:shd w:fill="FDE8E8" w:val="clear"/>
            <w:tcMar>
              <w:top w:type="dxa" w:w="120"/>
              <w:left w:type="dxa" w:w="180"/>
              <w:bottom w:type="dxa" w:w="120"/>
              <w:right w:type="dxa" w:w="180"/>
            </w:tcMar>
          </w:tcPr>
          <w:p>
            <w:pPr>
              <w:spacing w:after="120" w:line="300"/>
            </w:pPr>
            <w:r>
              <w:rPr>
                <w:rFonts w:ascii="Arial" w:cs="Arial" w:eastAsia="Arial" w:hAnsi="Arial"/>
                <w:b/>
                <w:bCs/>
                <w:color w:val="B71C1C"/>
                <w:sz w:val="24"/>
                <w:szCs w:val="24"/>
              </w:rPr>
              <w:t xml:space="preserve">TIER 1 — CRITICAL FUNCTIONS   |   The Vital Organs   |   7 Functions   |   4-Hour Response</w:t>
            </w:r>
          </w:p>
          <w:p>
            <w:pPr>
              <w:spacing w:after="60" w:line="300"/>
            </w:pPr>
            <w:r>
              <w:rPr>
                <w:rFonts w:ascii="Arial" w:cs="Arial" w:eastAsia="Arial" w:hAnsi="Arial"/>
                <w:color w:val="1A1A2E"/>
                <w:sz w:val="24"/>
                <w:szCs w:val="24"/>
              </w:rPr>
              <w:t xml:space="preserve">CF1  Financial Health — The Heart</w:t>
            </w:r>
          </w:p>
          <w:p>
            <w:pPr>
              <w:spacing w:after="60" w:line="300"/>
            </w:pPr>
            <w:r>
              <w:rPr>
                <w:rFonts w:ascii="Arial" w:cs="Arial" w:eastAsia="Arial" w:hAnsi="Arial"/>
                <w:color w:val="1A1A2E"/>
                <w:sz w:val="24"/>
                <w:szCs w:val="24"/>
              </w:rPr>
              <w:t xml:space="preserve">CF2  Leadership Effectiveness — The Brain</w:t>
            </w:r>
          </w:p>
          <w:p>
            <w:pPr>
              <w:spacing w:after="60" w:line="300"/>
            </w:pPr>
            <w:r>
              <w:rPr>
                <w:rFonts w:ascii="Arial" w:cs="Arial" w:eastAsia="Arial" w:hAnsi="Arial"/>
                <w:color w:val="1A1A2E"/>
                <w:sz w:val="24"/>
                <w:szCs w:val="24"/>
              </w:rPr>
              <w:t xml:space="preserve">CF3  People &amp; Capability — The Lungs</w:t>
            </w:r>
          </w:p>
          <w:p>
            <w:pPr>
              <w:spacing w:after="60" w:line="300"/>
            </w:pPr>
            <w:r>
              <w:rPr>
                <w:rFonts w:ascii="Arial" w:cs="Arial" w:eastAsia="Arial" w:hAnsi="Arial"/>
                <w:color w:val="1A1A2E"/>
                <w:sz w:val="24"/>
                <w:szCs w:val="24"/>
              </w:rPr>
              <w:t xml:space="preserve">CF4  Delivery &amp; Operations — Circulatory System</w:t>
            </w:r>
          </w:p>
          <w:p>
            <w:pPr>
              <w:spacing w:after="60" w:line="300"/>
            </w:pPr>
            <w:r>
              <w:rPr>
                <w:rFonts w:ascii="Arial" w:cs="Arial" w:eastAsia="Arial" w:hAnsi="Arial"/>
                <w:color w:val="1A1A2E"/>
                <w:sz w:val="24"/>
                <w:szCs w:val="24"/>
              </w:rPr>
              <w:t xml:space="preserve">CF5  Compliance &amp; Risk — Immune System</w:t>
            </w:r>
          </w:p>
          <w:p>
            <w:pPr>
              <w:spacing w:after="60" w:line="300"/>
            </w:pPr>
            <w:r>
              <w:rPr>
                <w:rFonts w:ascii="Arial" w:cs="Arial" w:eastAsia="Arial" w:hAnsi="Arial"/>
                <w:color w:val="1A1A2E"/>
                <w:sz w:val="24"/>
                <w:szCs w:val="24"/>
              </w:rPr>
              <w:t xml:space="preserve">CF6  Technology Infrastructure — Nervous System</w:t>
            </w:r>
          </w:p>
          <w:p>
            <w:pPr>
              <w:spacing w:after="60" w:line="300"/>
            </w:pPr>
            <w:r>
              <w:rPr>
                <w:rFonts w:ascii="Arial" w:cs="Arial" w:eastAsia="Arial" w:hAnsi="Arial"/>
                <w:color w:val="1A1A2E"/>
                <w:sz w:val="24"/>
                <w:szCs w:val="24"/>
              </w:rPr>
              <w:t xml:space="preserve">CF7  Revenue &amp; Market Vitality — Market Lung</w:t>
            </w:r>
          </w:p>
        </w:tc>
      </w:tr>
    </w:tbl>
    <w:p>
      <w:pPr>
        <w:spacing w:before="100" w:after="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CCCCC" w:sz="1"/>
              <w:left w:val="single" w:color="CCCCCC" w:sz="1"/>
              <w:bottom w:val="single" w:color="CCCCCC" w:sz="1"/>
              <w:right w:val="single" w:color="CCCCCC" w:sz="1"/>
            </w:tcBorders>
            <w:shd w:fill="FFF3E0" w:val="clear"/>
            <w:tcMar>
              <w:top w:type="dxa" w:w="120"/>
              <w:left w:type="dxa" w:w="180"/>
              <w:bottom w:type="dxa" w:w="120"/>
              <w:right w:type="dxa" w:w="180"/>
            </w:tcMar>
          </w:tcPr>
          <w:p>
            <w:pPr>
              <w:spacing w:after="120" w:line="300"/>
            </w:pPr>
            <w:r>
              <w:rPr>
                <w:rFonts w:ascii="Arial" w:cs="Arial" w:eastAsia="Arial" w:hAnsi="Arial"/>
                <w:b/>
                <w:bCs/>
                <w:color w:val="E65100"/>
                <w:sz w:val="24"/>
                <w:szCs w:val="24"/>
              </w:rPr>
              <w:t xml:space="preserve">TIER 2 — ESSENTIAL FUNCTIONS   |   Life Systems   |   7 Functions   |   72-Hour Response</w:t>
            </w:r>
          </w:p>
          <w:p>
            <w:pPr>
              <w:spacing w:after="60" w:line="300"/>
            </w:pPr>
            <w:r>
              <w:rPr>
                <w:rFonts w:ascii="Arial" w:cs="Arial" w:eastAsia="Arial" w:hAnsi="Arial"/>
                <w:color w:val="1A1A2E"/>
                <w:sz w:val="24"/>
                <w:szCs w:val="24"/>
              </w:rPr>
              <w:t xml:space="preserve">E1  Culture &amp; Psychological Safety *</w:t>
            </w:r>
          </w:p>
          <w:p>
            <w:pPr>
              <w:spacing w:after="60" w:line="300"/>
            </w:pPr>
            <w:r>
              <w:rPr>
                <w:rFonts w:ascii="Arial" w:cs="Arial" w:eastAsia="Arial" w:hAnsi="Arial"/>
                <w:color w:val="1A1A2E"/>
                <w:sz w:val="24"/>
                <w:szCs w:val="24"/>
              </w:rPr>
              <w:t xml:space="preserve">E2  Employee Engagement &amp; Wellbeing</w:t>
            </w:r>
          </w:p>
          <w:p>
            <w:pPr>
              <w:spacing w:after="60" w:line="300"/>
            </w:pPr>
            <w:r>
              <w:rPr>
                <w:rFonts w:ascii="Arial" w:cs="Arial" w:eastAsia="Arial" w:hAnsi="Arial"/>
                <w:color w:val="1A1A2E"/>
                <w:sz w:val="24"/>
                <w:szCs w:val="24"/>
              </w:rPr>
              <w:t xml:space="preserve">E3  Learning &amp; Innovation</w:t>
            </w:r>
          </w:p>
          <w:p>
            <w:pPr>
              <w:spacing w:after="60" w:line="300"/>
            </w:pPr>
            <w:r>
              <w:rPr>
                <w:rFonts w:ascii="Arial" w:cs="Arial" w:eastAsia="Arial" w:hAnsi="Arial"/>
                <w:color w:val="1A1A2E"/>
                <w:sz w:val="24"/>
                <w:szCs w:val="24"/>
              </w:rPr>
              <w:t xml:space="preserve">E4  Stakeholder Relationships</w:t>
            </w:r>
          </w:p>
          <w:p>
            <w:pPr>
              <w:spacing w:after="60" w:line="300"/>
            </w:pPr>
            <w:r>
              <w:rPr>
                <w:rFonts w:ascii="Arial" w:cs="Arial" w:eastAsia="Arial" w:hAnsi="Arial"/>
                <w:color w:val="1A1A2E"/>
                <w:sz w:val="24"/>
                <w:szCs w:val="24"/>
              </w:rPr>
              <w:t xml:space="preserve">E5  Strategic Alignment &amp; Agility</w:t>
            </w:r>
          </w:p>
          <w:p>
            <w:pPr>
              <w:spacing w:after="60" w:line="300"/>
            </w:pPr>
            <w:r>
              <w:rPr>
                <w:rFonts w:ascii="Arial" w:cs="Arial" w:eastAsia="Arial" w:hAnsi="Arial"/>
                <w:color w:val="1A1A2E"/>
                <w:sz w:val="24"/>
                <w:szCs w:val="24"/>
              </w:rPr>
              <w:t xml:space="preserve">E6  Information Flow &amp; Communication *</w:t>
            </w:r>
          </w:p>
          <w:p>
            <w:pPr>
              <w:spacing w:after="60" w:line="300"/>
            </w:pPr>
            <w:r>
              <w:rPr>
                <w:rFonts w:ascii="Arial" w:cs="Arial" w:eastAsia="Arial" w:hAnsi="Arial"/>
                <w:color w:val="1A1A2E"/>
                <w:sz w:val="24"/>
                <w:szCs w:val="24"/>
              </w:rPr>
              <w:t xml:space="preserve">E7  Financial Sustainability</w:t>
            </w:r>
          </w:p>
          <w:p>
            <w:pPr>
              <w:spacing w:after="60" w:line="300"/>
            </w:pPr>
            <w:r>
              <w:rPr>
                <w:rFonts w:ascii="Arial" w:cs="Arial" w:eastAsia="Arial" w:hAnsi="Arial"/>
                <w:color w:val="1A1A2E"/>
                <w:sz w:val="24"/>
                <w:szCs w:val="24"/>
              </w:rPr>
              <w:t xml:space="preserve">* E1 and E6 are VITAL sensing guardians — their decline makes all human sensing unreliable across all tiers</w:t>
            </w:r>
          </w:p>
        </w:tc>
      </w:tr>
    </w:tbl>
    <w:p>
      <w:pPr>
        <w:spacing w:before="100" w:after="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CCCCC" w:sz="1"/>
              <w:left w:val="single" w:color="CCCCCC" w:sz="1"/>
              <w:bottom w:val="single" w:color="CCCCCC" w:sz="1"/>
              <w:right w:val="single" w:color="CCCCCC" w:sz="1"/>
            </w:tcBorders>
            <w:shd w:fill="E3F2FD" w:val="clear"/>
            <w:tcMar>
              <w:top w:type="dxa" w:w="120"/>
              <w:left w:type="dxa" w:w="180"/>
              <w:bottom w:type="dxa" w:w="120"/>
              <w:right w:type="dxa" w:w="180"/>
            </w:tcMar>
          </w:tcPr>
          <w:p>
            <w:pPr>
              <w:spacing w:after="120" w:line="300"/>
            </w:pPr>
            <w:r>
              <w:rPr>
                <w:rFonts w:ascii="Arial" w:cs="Arial" w:eastAsia="Arial" w:hAnsi="Arial"/>
                <w:b/>
                <w:bCs/>
                <w:color w:val="1565C0"/>
                <w:sz w:val="24"/>
                <w:szCs w:val="24"/>
              </w:rPr>
              <w:t xml:space="preserve">TIER 3 — FOUNDATION FUNCTIONS   |   Substrate Conditions   |   4 Functions   |   Monthly Sensing</w:t>
            </w:r>
          </w:p>
          <w:p>
            <w:pPr>
              <w:spacing w:after="60" w:line="300"/>
            </w:pPr>
            <w:r>
              <w:rPr>
                <w:rFonts w:ascii="Arial" w:cs="Arial" w:eastAsia="Arial" w:hAnsi="Arial"/>
                <w:color w:val="1A1A2E"/>
                <w:sz w:val="24"/>
                <w:szCs w:val="24"/>
              </w:rPr>
              <w:t xml:space="preserve">FF1  Brand &amp; Reputation — character + trust, not just NPS</w:t>
            </w:r>
          </w:p>
          <w:p>
            <w:pPr>
              <w:spacing w:after="60" w:line="300"/>
            </w:pPr>
            <w:r>
              <w:rPr>
                <w:rFonts w:ascii="Arial" w:cs="Arial" w:eastAsia="Arial" w:hAnsi="Arial"/>
                <w:color w:val="1A1A2E"/>
                <w:sz w:val="24"/>
                <w:szCs w:val="24"/>
              </w:rPr>
              <w:t xml:space="preserve">FF2  Knowledge Management — create, capture, validate, reuse, measure</w:t>
            </w:r>
          </w:p>
          <w:p>
            <w:pPr>
              <w:spacing w:after="60" w:line="300"/>
            </w:pPr>
            <w:r>
              <w:rPr>
                <w:rFonts w:ascii="Arial" w:cs="Arial" w:eastAsia="Arial" w:hAnsi="Arial"/>
                <w:color w:val="1A1A2E"/>
                <w:sz w:val="24"/>
                <w:szCs w:val="24"/>
              </w:rPr>
              <w:t xml:space="preserve">FF3  Physical Infrastructure — kickoff-to-retrospective loop</w:t>
            </w:r>
          </w:p>
          <w:p>
            <w:pPr>
              <w:spacing w:after="60" w:line="300"/>
            </w:pPr>
            <w:r>
              <w:rPr>
                <w:rFonts w:ascii="Arial" w:cs="Arial" w:eastAsia="Arial" w:hAnsi="Arial"/>
                <w:color w:val="1A1A2E"/>
                <w:sz w:val="24"/>
                <w:szCs w:val="24"/>
              </w:rPr>
              <w:t xml:space="preserve">FF4  Supply Chain Integrity — due diligence + system signals + human sensing</w:t>
            </w:r>
          </w:p>
        </w:tc>
      </w:tr>
    </w:tbl>
    <w:p>
      <w:pPr>
        <w:spacing w:before="100" w:after="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CCCCC" w:sz="1"/>
              <w:left w:val="single" w:color="CCCCCC" w:sz="1"/>
              <w:bottom w:val="single" w:color="CCCCCC" w:sz="1"/>
              <w:right w:val="single" w:color="CCCCCC" w:sz="1"/>
            </w:tcBorders>
            <w:shd w:fill="F3E5F5" w:val="clear"/>
            <w:tcMar>
              <w:top w:type="dxa" w:w="120"/>
              <w:left w:type="dxa" w:w="180"/>
              <w:bottom w:type="dxa" w:w="120"/>
              <w:right w:type="dxa" w:w="180"/>
            </w:tcMar>
          </w:tcPr>
          <w:p>
            <w:pPr>
              <w:spacing w:after="120" w:line="300"/>
            </w:pPr>
            <w:r>
              <w:rPr>
                <w:rFonts w:ascii="Arial" w:cs="Arial" w:eastAsia="Arial" w:hAnsi="Arial"/>
                <w:b/>
                <w:bCs/>
                <w:color w:val="7B1FA2"/>
                <w:sz w:val="24"/>
                <w:szCs w:val="24"/>
              </w:rPr>
              <w:t xml:space="preserve">TIER 4 — RESILIENCE FUNCTIONS   |   Recovery Capacity   |   4 Functions   |   Quarterly Sensing</w:t>
            </w:r>
          </w:p>
          <w:p>
            <w:pPr>
              <w:spacing w:after="60" w:line="300"/>
            </w:pPr>
            <w:r>
              <w:rPr>
                <w:rFonts w:ascii="Arial" w:cs="Arial" w:eastAsia="Arial" w:hAnsi="Arial"/>
                <w:color w:val="1A1A2E"/>
                <w:sz w:val="24"/>
                <w:szCs w:val="24"/>
              </w:rPr>
              <w:t xml:space="preserve">RF1  Innovation Pipeline — board-governed new capability development</w:t>
            </w:r>
          </w:p>
          <w:p>
            <w:pPr>
              <w:spacing w:after="60" w:line="300"/>
            </w:pPr>
            <w:r>
              <w:rPr>
                <w:rFonts w:ascii="Arial" w:cs="Arial" w:eastAsia="Arial" w:hAnsi="Arial"/>
                <w:color w:val="1A1A2E"/>
                <w:sz w:val="24"/>
                <w:szCs w:val="24"/>
              </w:rPr>
              <w:t xml:space="preserve">RF2  Ecosystem &amp; Partnership Health — can we call on partners within 30 days?</w:t>
            </w:r>
          </w:p>
          <w:p>
            <w:pPr>
              <w:spacing w:after="60" w:line="300"/>
            </w:pPr>
            <w:r>
              <w:rPr>
                <w:rFonts w:ascii="Arial" w:cs="Arial" w:eastAsia="Arial" w:hAnsi="Arial"/>
                <w:color w:val="1A1A2E"/>
                <w:sz w:val="24"/>
                <w:szCs w:val="24"/>
              </w:rPr>
              <w:t xml:space="preserve">RF3  CSR &amp; Social Licence — project-managed social investment</w:t>
            </w:r>
          </w:p>
          <w:p>
            <w:pPr>
              <w:spacing w:after="60" w:line="300"/>
            </w:pPr>
            <w:r>
              <w:rPr>
                <w:rFonts w:ascii="Arial" w:cs="Arial" w:eastAsia="Arial" w:hAnsi="Arial"/>
                <w:color w:val="1A1A2E"/>
                <w:sz w:val="24"/>
                <w:szCs w:val="24"/>
              </w:rPr>
              <w:t xml:space="preserve">RF4  Financial Scenario Resilience — prepared responses, not improvised reactions</w:t>
            </w:r>
          </w:p>
        </w:tc>
      </w:tr>
    </w:tbl>
    <w:p>
      <w:r>
        <w:br w:type="page"/>
      </w:r>
    </w:p>
    <w:p>
      <w:pPr>
        <w:pStyle w:val="Heading1"/>
      </w:pPr>
      <w:r>
        <w:rPr>
          <w:rFonts w:ascii="Arial" w:cs="Arial" w:eastAsia="Arial" w:hAnsi="Arial"/>
        </w:rPr>
        <w:t xml:space="preserve">Signal Aggregation — From Parameter to Board OHI</w:t>
      </w:r>
    </w:p>
    <w:p>
      <w:pPr>
        <w:spacing w:after="200" w:before="80" w:line="300"/>
      </w:pPr>
      <w:r>
        <w:rPr>
          <w:rFonts w:ascii="Arial" w:cs="Arial" w:eastAsia="Arial" w:hAnsi="Arial"/>
          <w:color w:val="1A1A2E"/>
          <w:sz w:val="26"/>
          <w:szCs w:val="26"/>
        </w:rPr>
        <w:t xml:space="preserve">VITAL’s aggregation architecture converts individual parameter readings into a Combined OHI through four levels:</w:t>
      </w:r>
    </w:p>
    <w:p>
      <w:pPr>
        <w:spacing w:before="80" w:after="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219"/>
        <w:gridCol w:w="3219"/>
      </w:tblGrid>
      <w:tr>
        <w:tc>
          <w:tcPr>
            <w:tcW w:type="dxa" w:w="22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spacing w:after="0" w:line="300"/>
            </w:pPr>
            <w:r>
              <w:rPr>
                <w:rFonts w:ascii="Arial" w:cs="Arial" w:eastAsia="Arial" w:hAnsi="Arial"/>
                <w:b/>
                <w:bCs/>
                <w:color w:val="FFFFFF"/>
                <w:sz w:val="24"/>
                <w:szCs w:val="24"/>
              </w:rPr>
              <w:t xml:space="preserve">Aggregation Level</w:t>
            </w:r>
          </w:p>
        </w:tc>
        <w:tc>
          <w:tcPr>
            <w:tcW w:type="dxa" w:w="4219"/>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spacing w:after="0" w:line="300"/>
            </w:pPr>
            <w:r>
              <w:rPr>
                <w:rFonts w:ascii="Arial" w:cs="Arial" w:eastAsia="Arial" w:hAnsi="Arial"/>
                <w:b/>
                <w:bCs/>
                <w:color w:val="FFFFFF"/>
                <w:sz w:val="24"/>
                <w:szCs w:val="24"/>
              </w:rPr>
              <w:t xml:space="preserve">What It Does</w:t>
            </w:r>
          </w:p>
        </w:tc>
        <w:tc>
          <w:tcPr>
            <w:tcW w:type="dxa" w:w="3219"/>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spacing w:after="0" w:line="300"/>
            </w:pPr>
            <w:r>
              <w:rPr>
                <w:rFonts w:ascii="Arial" w:cs="Arial" w:eastAsia="Arial" w:hAnsi="Arial"/>
                <w:b/>
                <w:bCs/>
                <w:color w:val="FFFFFF"/>
                <w:sz w:val="24"/>
                <w:szCs w:val="24"/>
              </w:rPr>
              <w:t xml:space="preserve">Key Rule</w:t>
            </w:r>
          </w:p>
        </w:tc>
      </w:tr>
      <w:tr>
        <w:tc>
          <w:tcPr>
            <w:tcW w:type="dxa" w:w="22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pPr>
              <w:spacing w:after="60" w:line="276"/>
            </w:pPr>
            <w:r>
              <w:rPr>
                <w:rFonts w:ascii="Arial" w:cs="Arial" w:eastAsia="Arial" w:hAnsi="Arial"/>
                <w:b/>
                <w:bCs/>
                <w:color w:val="1A1A2E"/>
                <w:sz w:val="24"/>
                <w:szCs w:val="24"/>
              </w:rPr>
              <w:t xml:space="preserve">Level 1
Parameter to Function</w:t>
            </w:r>
          </w:p>
        </w:tc>
        <w:tc>
          <w:tcPr>
            <w:tcW w:type="dxa" w:w="4219"/>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pPr>
              <w:spacing w:after="60" w:line="276"/>
            </w:pPr>
            <w:r>
              <w:rPr>
                <w:rFonts w:ascii="Arial" w:cs="Arial" w:eastAsia="Arial" w:hAnsi="Arial"/>
                <w:color w:val="1A1A2E"/>
                <w:sz w:val="24"/>
                <w:szCs w:val="24"/>
              </w:rPr>
              <w:t xml:space="preserve">Any single Red makes the function Red. Two or more Amber makes it Amber. Governance Modifier: if the named owner has not responded within the required window, function status is elevated one level.</w:t>
            </w:r>
          </w:p>
        </w:tc>
        <w:tc>
          <w:tcPr>
            <w:tcW w:type="dxa" w:w="3219"/>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pPr>
              <w:spacing w:after="60" w:line="276"/>
            </w:pPr>
            <w:r>
              <w:rPr>
                <w:rFonts w:ascii="Arial" w:cs="Arial" w:eastAsia="Arial" w:hAnsi="Arial"/>
                <w:b/>
                <w:bCs/>
                <w:color w:val="1A1A2E"/>
                <w:sz w:val="26"/>
                <w:szCs w:val="26"/>
              </w:rPr>
              <w:t xml:space="preserve">One Red anywhere = Function Red</w:t>
            </w:r>
            <w:r>
              <w:rPr>
                <w:rFonts w:ascii="Arial" w:cs="Arial" w:eastAsia="Arial" w:hAnsi="Arial"/>
                <w:color w:val="1A1A2E"/>
                <w:sz w:val="26"/>
                <w:szCs w:val="26"/>
              </w:rPr>
              <w:t xml:space="preserve"> regardless of other parameters.</w:t>
            </w:r>
          </w:p>
        </w:tc>
      </w:tr>
      <w:tr>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60" w:line="276"/>
            </w:pPr>
            <w:r>
              <w:rPr>
                <w:rFonts w:ascii="Arial" w:cs="Arial" w:eastAsia="Arial" w:hAnsi="Arial"/>
                <w:b/>
                <w:bCs/>
                <w:color w:val="1A1A2E"/>
                <w:sz w:val="24"/>
                <w:szCs w:val="24"/>
              </w:rPr>
              <w:t xml:space="preserve">Level 2
Function to Tier</w:t>
            </w:r>
          </w:p>
        </w:tc>
        <w:tc>
          <w:tcPr>
            <w:tcW w:type="dxa" w:w="4219"/>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60" w:line="276"/>
            </w:pPr>
            <w:r>
              <w:rPr>
                <w:rFonts w:ascii="Arial" w:cs="Arial" w:eastAsia="Arial" w:hAnsi="Arial"/>
                <w:color w:val="1A1A2E"/>
                <w:sz w:val="24"/>
                <w:szCs w:val="24"/>
              </w:rPr>
              <w:t xml:space="preserve">Tier 1: CF1 and CF4 carry highest weight (25% each). CF2 and CF3 carry 20% each. E1 and E6 carry a sensing-integrity modifier.</w:t>
            </w:r>
          </w:p>
        </w:tc>
        <w:tc>
          <w:tcPr>
            <w:tcW w:type="dxa" w:w="3219"/>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60" w:line="276"/>
            </w:pPr>
            <w:r>
              <w:rPr>
                <w:rFonts w:ascii="Arial" w:cs="Arial" w:eastAsia="Arial" w:hAnsi="Arial"/>
                <w:b/>
                <w:bCs/>
                <w:color w:val="1A1A2E"/>
                <w:sz w:val="26"/>
                <w:szCs w:val="26"/>
              </w:rPr>
              <w:t xml:space="preserve">Any single CF at Red = Tier 1 Red</w:t>
            </w:r>
            <w:r>
              <w:rPr>
                <w:rFonts w:ascii="Arial" w:cs="Arial" w:eastAsia="Arial" w:hAnsi="Arial"/>
                <w:color w:val="1A1A2E"/>
                <w:sz w:val="26"/>
                <w:szCs w:val="26"/>
              </w:rPr>
              <w:t xml:space="preserve"> regardless of weighted score.</w:t>
            </w:r>
          </w:p>
        </w:tc>
      </w:tr>
      <w:tr>
        <w:tc>
          <w:tcPr>
            <w:tcW w:type="dxa" w:w="22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pPr>
              <w:spacing w:after="60" w:line="276"/>
            </w:pPr>
            <w:r>
              <w:rPr>
                <w:rFonts w:ascii="Arial" w:cs="Arial" w:eastAsia="Arial" w:hAnsi="Arial"/>
                <w:b/>
                <w:bCs/>
                <w:color w:val="1A1A2E"/>
                <w:sz w:val="24"/>
                <w:szCs w:val="24"/>
              </w:rPr>
              <w:t xml:space="preserve">Level 3
Tier to Combined OHI</w:t>
            </w:r>
          </w:p>
        </w:tc>
        <w:tc>
          <w:tcPr>
            <w:tcW w:type="dxa" w:w="4219"/>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pPr>
              <w:spacing w:after="60" w:line="276"/>
            </w:pPr>
            <w:r>
              <w:rPr>
                <w:rFonts w:ascii="Arial" w:cs="Arial" w:eastAsia="Arial" w:hAnsi="Arial"/>
                <w:color w:val="1A1A2E"/>
                <w:sz w:val="24"/>
                <w:szCs w:val="24"/>
              </w:rPr>
              <w:t xml:space="preserve">OHI-R + OHI-P combined. Foundation Modifier from Tier 3. Resilience Modifier from Tier 4. Governance Multiplier (0.8x–1.2x) applied.</w:t>
            </w:r>
          </w:p>
        </w:tc>
        <w:tc>
          <w:tcPr>
            <w:tcW w:type="dxa" w:w="3219"/>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pPr>
              <w:spacing w:after="60" w:line="276"/>
            </w:pPr>
            <w:r>
              <w:rPr>
                <w:rFonts w:ascii="Arial" w:cs="Arial" w:eastAsia="Arial" w:hAnsi="Arial"/>
                <w:color w:val="1A1A2E"/>
                <w:sz w:val="24"/>
                <w:szCs w:val="24"/>
              </w:rPr>
              <w:t xml:space="preserve">Combined OHI = (OHI-R x 0.60 + OHI-P x 0.40) x Foundation Modifier x Governance Multiplier</w:t>
            </w:r>
          </w:p>
        </w:tc>
      </w:tr>
      <w:tr>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60" w:line="276"/>
            </w:pPr>
            <w:r>
              <w:rPr>
                <w:rFonts w:ascii="Arial" w:cs="Arial" w:eastAsia="Arial" w:hAnsi="Arial"/>
                <w:b/>
                <w:bCs/>
                <w:color w:val="1A1A2E"/>
                <w:sz w:val="24"/>
                <w:szCs w:val="24"/>
              </w:rPr>
              <w:t xml:space="preserve">Level 4
Multi-Level Reporting</w:t>
            </w:r>
          </w:p>
        </w:tc>
        <w:tc>
          <w:tcPr>
            <w:tcW w:type="dxa" w:w="4219"/>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60" w:line="276"/>
            </w:pPr>
            <w:r>
              <w:rPr>
                <w:rFonts w:ascii="Arial" w:cs="Arial" w:eastAsia="Arial" w:hAnsi="Arial"/>
                <w:color w:val="1A1A2E"/>
                <w:sz w:val="24"/>
                <w:szCs w:val="24"/>
              </w:rPr>
              <w:t xml:space="preserve">Board: Organisational OHI. Function Heads: Function OHI. Managers: Team OHI. Each level sees the resolution they need.</w:t>
            </w:r>
          </w:p>
        </w:tc>
        <w:tc>
          <w:tcPr>
            <w:tcW w:type="dxa" w:w="3219"/>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60" w:line="276"/>
            </w:pPr>
            <w:r>
              <w:rPr>
                <w:rFonts w:ascii="Arial" w:cs="Arial" w:eastAsia="Arial" w:hAnsi="Arial"/>
                <w:b/>
                <w:bCs/>
                <w:color w:val="1A1A2E"/>
                <w:sz w:val="26"/>
                <w:szCs w:val="26"/>
              </w:rPr>
              <w:t xml:space="preserve">Every OHI number is fully traceable</w:t>
            </w:r>
            <w:r>
              <w:rPr>
                <w:rFonts w:ascii="Arial" w:cs="Arial" w:eastAsia="Arial" w:hAnsi="Arial"/>
                <w:color w:val="1A1A2E"/>
                <w:sz w:val="26"/>
                <w:szCs w:val="26"/>
              </w:rPr>
              <w:t xml:space="preserve"> back to the originating parameter.</w:t>
            </w:r>
          </w:p>
        </w:tc>
      </w:tr>
    </w:tbl>
    <w:p>
      <w:r>
        <w:br w:type="page"/>
      </w:r>
    </w:p>
    <w:p>
      <w:pPr>
        <w:pStyle w:val="Heading1"/>
      </w:pPr>
      <w:r>
        <w:rPr>
          <w:rFonts w:ascii="Arial" w:cs="Arial" w:eastAsia="Arial" w:hAnsi="Arial"/>
        </w:rPr>
        <w:t xml:space="preserve">The Human Sensing Architecture — 75% AI, 25% Human</w:t>
      </w:r>
    </w:p>
    <w:p>
      <w:pPr>
        <w:spacing w:after="200" w:before="80" w:line="300"/>
      </w:pPr>
      <w:r>
        <w:rPr>
          <w:rFonts w:ascii="Arial" w:cs="Arial" w:eastAsia="Arial" w:hAnsi="Arial"/>
          <w:color w:val="1A1A2E"/>
          <w:sz w:val="26"/>
          <w:szCs w:val="26"/>
        </w:rPr>
        <w:t xml:space="preserve">25% of VITAL’s intelligence comes from structured human sensing — questions put to people who carry knowledge no system can capture. Five delivery contexts ensure each question arrives at the right moment. No new meetings are required. VITAL’s sensing methodology is grounded in the Experience Sampling Method (ESM) and Ecological Momentary Assessment (EMA) — an established research framework that captures responses at contextually relevant moments, eliminating the recall bias of periodic surveys and producing higher-fidelity signal data.</w:t>
      </w:r>
    </w:p>
    <w:p>
      <w:pPr>
        <w:spacing w:before="80" w:after="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219"/>
        <w:gridCol w:w="4019"/>
      </w:tblGrid>
      <w:tr>
        <w:tc>
          <w:tcPr>
            <w:tcW w:type="dxa" w:w="24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spacing w:after="0" w:line="300"/>
            </w:pPr>
            <w:r>
              <w:rPr>
                <w:rFonts w:ascii="Arial" w:cs="Arial" w:eastAsia="Arial" w:hAnsi="Arial"/>
                <w:b/>
                <w:bCs/>
                <w:color w:val="FFFFFF"/>
                <w:sz w:val="24"/>
                <w:szCs w:val="24"/>
              </w:rPr>
              <w:t xml:space="preserve">Context</w:t>
            </w:r>
          </w:p>
        </w:tc>
        <w:tc>
          <w:tcPr>
            <w:tcW w:type="dxa" w:w="3219"/>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spacing w:after="0" w:line="300"/>
            </w:pPr>
            <w:r>
              <w:rPr>
                <w:rFonts w:ascii="Arial" w:cs="Arial" w:eastAsia="Arial" w:hAnsi="Arial"/>
                <w:b/>
                <w:bCs/>
                <w:color w:val="FFFFFF"/>
                <w:sz w:val="24"/>
                <w:szCs w:val="24"/>
              </w:rPr>
              <w:t xml:space="preserve">When</w:t>
            </w:r>
          </w:p>
        </w:tc>
        <w:tc>
          <w:tcPr>
            <w:tcW w:type="dxa" w:w="4019"/>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spacing w:after="0" w:line="300"/>
            </w:pPr>
            <w:r>
              <w:rPr>
                <w:rFonts w:ascii="Arial" w:cs="Arial" w:eastAsia="Arial" w:hAnsi="Arial"/>
                <w:b/>
                <w:bCs/>
                <w:color w:val="FFFFFF"/>
                <w:sz w:val="24"/>
                <w:szCs w:val="24"/>
              </w:rPr>
              <w:t xml:space="preserve">Signal Type</w:t>
            </w:r>
          </w:p>
        </w:tc>
      </w:tr>
      <w:tr>
        <w:tc>
          <w:tcPr>
            <w:tcW w:type="dxa" w:w="24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pPr>
              <w:spacing w:after="60" w:line="276"/>
            </w:pPr>
            <w:r>
              <w:rPr>
                <w:rFonts w:ascii="Arial" w:cs="Arial" w:eastAsia="Arial" w:hAnsi="Arial"/>
                <w:b/>
                <w:bCs/>
                <w:color w:val="1A1A2E"/>
                <w:sz w:val="24"/>
                <w:szCs w:val="24"/>
              </w:rPr>
              <w:t xml:space="preserve">Retrospective Sensing</w:t>
            </w:r>
          </w:p>
        </w:tc>
        <w:tc>
          <w:tcPr>
            <w:tcW w:type="dxa" w:w="3219"/>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pPr>
              <w:spacing w:after="60" w:line="276"/>
            </w:pPr>
            <w:r>
              <w:rPr>
                <w:rFonts w:ascii="Arial" w:cs="Arial" w:eastAsia="Arial" w:hAnsi="Arial"/>
                <w:color w:val="1A1A2E"/>
                <w:sz w:val="24"/>
                <w:szCs w:val="24"/>
              </w:rPr>
              <w:t xml:space="preserve">End of sprint or delivery phase</w:t>
            </w:r>
          </w:p>
        </w:tc>
        <w:tc>
          <w:tcPr>
            <w:tcW w:type="dxa" w:w="4019"/>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pPr>
              <w:spacing w:after="60" w:line="276"/>
            </w:pPr>
            <w:r>
              <w:rPr>
                <w:rFonts w:ascii="Arial" w:cs="Arial" w:eastAsia="Arial" w:hAnsi="Arial"/>
                <w:color w:val="1A1A2E"/>
                <w:sz w:val="24"/>
                <w:szCs w:val="24"/>
              </w:rPr>
              <w:t xml:space="preserve">Task and delivery experience — friction, learning, process quality</w:t>
            </w:r>
          </w:p>
        </w:tc>
      </w:tr>
      <w:tr>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60" w:line="276"/>
            </w:pPr>
            <w:r>
              <w:rPr>
                <w:rFonts w:ascii="Arial" w:cs="Arial" w:eastAsia="Arial" w:hAnsi="Arial"/>
                <w:b/>
                <w:bCs/>
                <w:color w:val="1A1A2E"/>
                <w:sz w:val="24"/>
                <w:szCs w:val="24"/>
              </w:rPr>
              <w:t xml:space="preserve">Town-Hall Pulse</w:t>
            </w:r>
          </w:p>
        </w:tc>
        <w:tc>
          <w:tcPr>
            <w:tcW w:type="dxa" w:w="3219"/>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60" w:line="276"/>
            </w:pPr>
            <w:r>
              <w:rPr>
                <w:rFonts w:ascii="Arial" w:cs="Arial" w:eastAsia="Arial" w:hAnsi="Arial"/>
                <w:color w:val="1A1A2E"/>
                <w:sz w:val="24"/>
                <w:szCs w:val="24"/>
              </w:rPr>
              <w:t xml:space="preserve">End of monthly or quarterly all-hands</w:t>
            </w:r>
          </w:p>
        </w:tc>
        <w:tc>
          <w:tcPr>
            <w:tcW w:type="dxa" w:w="4019"/>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60" w:line="276"/>
            </w:pPr>
            <w:r>
              <w:rPr>
                <w:rFonts w:ascii="Arial" w:cs="Arial" w:eastAsia="Arial" w:hAnsi="Arial"/>
                <w:color w:val="1A1A2E"/>
                <w:sz w:val="24"/>
                <w:szCs w:val="24"/>
              </w:rPr>
              <w:t xml:space="preserve">Organisational environment and collective morale</w:t>
            </w:r>
          </w:p>
        </w:tc>
      </w:tr>
      <w:tr>
        <w:tc>
          <w:tcPr>
            <w:tcW w:type="dxa" w:w="24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pPr>
              <w:spacing w:after="60" w:line="276"/>
            </w:pPr>
            <w:r>
              <w:rPr>
                <w:rFonts w:ascii="Arial" w:cs="Arial" w:eastAsia="Arial" w:hAnsi="Arial"/>
                <w:b/>
                <w:bCs/>
                <w:color w:val="1A1A2E"/>
                <w:sz w:val="24"/>
                <w:szCs w:val="24"/>
              </w:rPr>
              <w:t xml:space="preserve">Private Digital Pulse</w:t>
            </w:r>
          </w:p>
        </w:tc>
        <w:tc>
          <w:tcPr>
            <w:tcW w:type="dxa" w:w="3219"/>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pPr>
              <w:spacing w:after="60" w:line="276"/>
            </w:pPr>
            <w:r>
              <w:rPr>
                <w:rFonts w:ascii="Arial" w:cs="Arial" w:eastAsia="Arial" w:hAnsi="Arial"/>
                <w:color w:val="1A1A2E"/>
                <w:sz w:val="24"/>
                <w:szCs w:val="24"/>
              </w:rPr>
              <w:t xml:space="preserve">Automated push to device — weekly, 3 questions, 2 minutes</w:t>
            </w:r>
          </w:p>
        </w:tc>
        <w:tc>
          <w:tcPr>
            <w:tcW w:type="dxa" w:w="4019"/>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pPr>
              <w:spacing w:after="60" w:line="276"/>
            </w:pPr>
            <w:r>
              <w:rPr>
                <w:rFonts w:ascii="Arial" w:cs="Arial" w:eastAsia="Arial" w:hAnsi="Arial"/>
                <w:color w:val="1A1A2E"/>
                <w:sz w:val="24"/>
                <w:szCs w:val="24"/>
              </w:rPr>
              <w:t xml:space="preserve">Psychological safety and values integrity — never in group settings</w:t>
            </w:r>
          </w:p>
        </w:tc>
      </w:tr>
      <w:tr>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60" w:line="276"/>
            </w:pPr>
            <w:r>
              <w:rPr>
                <w:rFonts w:ascii="Arial" w:cs="Arial" w:eastAsia="Arial" w:hAnsi="Arial"/>
                <w:b/>
                <w:bCs/>
                <w:color w:val="1A1A2E"/>
                <w:sz w:val="24"/>
                <w:szCs w:val="24"/>
              </w:rPr>
              <w:t xml:space="preserve">Relational Health Survey</w:t>
            </w:r>
          </w:p>
        </w:tc>
        <w:tc>
          <w:tcPr>
            <w:tcW w:type="dxa" w:w="3219"/>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60" w:line="276"/>
            </w:pPr>
            <w:r>
              <w:rPr>
                <w:rFonts w:ascii="Arial" w:cs="Arial" w:eastAsia="Arial" w:hAnsi="Arial"/>
                <w:color w:val="1A1A2E"/>
                <w:sz w:val="24"/>
                <w:szCs w:val="24"/>
              </w:rPr>
              <w:t xml:space="preserve">Quarterly — anonymous cross-level, 5–7 questions</w:t>
            </w:r>
          </w:p>
        </w:tc>
        <w:tc>
          <w:tcPr>
            <w:tcW w:type="dxa" w:w="4019"/>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60" w:line="276"/>
            </w:pPr>
            <w:r>
              <w:rPr>
                <w:rFonts w:ascii="Arial" w:cs="Arial" w:eastAsia="Arial" w:hAnsi="Arial"/>
                <w:color w:val="1A1A2E"/>
                <w:sz w:val="24"/>
                <w:szCs w:val="24"/>
              </w:rPr>
              <w:t xml:space="preserve">Observable relational behaviours across role levels</w:t>
            </w:r>
          </w:p>
        </w:tc>
      </w:tr>
      <w:tr>
        <w:tc>
          <w:tcPr>
            <w:tcW w:type="dxa" w:w="24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pPr>
              <w:spacing w:after="60" w:line="276"/>
            </w:pPr>
            <w:r>
              <w:rPr>
                <w:rFonts w:ascii="Arial" w:cs="Arial" w:eastAsia="Arial" w:hAnsi="Arial"/>
                <w:b/>
                <w:bCs/>
                <w:color w:val="1A1A2E"/>
                <w:sz w:val="24"/>
                <w:szCs w:val="24"/>
              </w:rPr>
              <w:t xml:space="preserve">Appraisal Integration</w:t>
            </w:r>
          </w:p>
        </w:tc>
        <w:tc>
          <w:tcPr>
            <w:tcW w:type="dxa" w:w="3219"/>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pPr>
              <w:spacing w:after="60" w:line="276"/>
            </w:pPr>
            <w:r>
              <w:rPr>
                <w:rFonts w:ascii="Arial" w:cs="Arial" w:eastAsia="Arial" w:hAnsi="Arial"/>
                <w:color w:val="1A1A2E"/>
                <w:sz w:val="24"/>
                <w:szCs w:val="24"/>
              </w:rPr>
              <w:t xml:space="preserve">Quarterly — self-appraisal first, before manager review</w:t>
            </w:r>
          </w:p>
        </w:tc>
        <w:tc>
          <w:tcPr>
            <w:tcW w:type="dxa" w:w="4019"/>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pPr>
              <w:spacing w:after="60" w:line="276"/>
            </w:pPr>
            <w:r>
              <w:rPr>
                <w:rFonts w:ascii="Arial" w:cs="Arial" w:eastAsia="Arial" w:hAnsi="Arial"/>
                <w:color w:val="1A1A2E"/>
                <w:sz w:val="24"/>
                <w:szCs w:val="24"/>
              </w:rPr>
              <w:t xml:space="preserve">Individual experience and manager quality</w:t>
            </w:r>
          </w:p>
        </w:tc>
      </w:tr>
    </w:tbl>
    <w:p>
      <w:pPr>
        <w:spacing w:before="100" w:after="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3864" w:sz="2"/>
              <w:left w:val="single" w:color="1F3864" w:sz="6"/>
              <w:bottom w:val="single" w:color="1F3864" w:sz="2"/>
              <w:right w:val="single" w:color="1F3864" w:sz="2"/>
            </w:tcBorders>
            <w:shd w:fill="E8EFF7" w:val="clear"/>
            <w:tcMar>
              <w:top w:type="dxa" w:w="120"/>
              <w:left w:type="dxa" w:w="180"/>
              <w:bottom w:type="dxa" w:w="120"/>
              <w:right w:type="dxa" w:w="180"/>
            </w:tcMar>
          </w:tcPr>
          <w:p>
            <w:pPr>
              <w:spacing w:after="200" w:before="80" w:line="300"/>
            </w:pPr>
            <w:r>
              <w:rPr>
                <w:rFonts w:ascii="Arial" w:cs="Arial" w:eastAsia="Arial" w:hAnsi="Arial"/>
                <w:b/>
                <w:bCs/>
                <w:color w:val="1A1A2E"/>
                <w:sz w:val="26"/>
                <w:szCs w:val="26"/>
              </w:rPr>
              <w:t xml:space="preserve">Effect on Normal Work During Pilot</w:t>
            </w:r>
          </w:p>
          <w:p>
            <w:pPr>
              <w:spacing w:after="200" w:before="80" w:line="300"/>
            </w:pPr>
            <w:r>
              <w:rPr>
                <w:rFonts w:ascii="Arial" w:cs="Arial" w:eastAsia="Arial" w:hAnsi="Arial"/>
                <w:color w:val="1A1A2E"/>
                <w:sz w:val="26"/>
                <w:szCs w:val="26"/>
              </w:rPr>
              <w:t xml:space="preserve">VITAL reads from existing systems without modifying them — no change to any operational system. Human sensing questions add approximately 2–3 minutes per person per week. No new meetings. No new processes. No new technology for respondents. The only addition visible to staff is the questions themselves — anonymous, focussed, and contextually relevant.</w:t>
            </w:r>
          </w:p>
        </w:tc>
      </w:tr>
    </w:tbl>
    <w:p>
      <w:r>
        <w:br w:type="page"/>
      </w:r>
    </w:p>
    <w:p>
      <w:pPr>
        <w:pStyle w:val="Heading1"/>
      </w:pPr>
      <w:r>
        <w:rPr>
          <w:rFonts w:ascii="Arial" w:cs="Arial" w:eastAsia="Arial" w:hAnsi="Arial"/>
        </w:rPr>
        <w:t xml:space="preserve">Cross-Tier Correlation — Four Named Types</w:t>
      </w:r>
    </w:p>
    <w:p>
      <w:pPr>
        <w:spacing w:before="80" w:after="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919"/>
        <w:gridCol w:w="3519"/>
      </w:tblGrid>
      <w:tr>
        <w:tc>
          <w:tcPr>
            <w:tcW w:type="dxa" w:w="22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spacing w:after="0" w:line="300"/>
            </w:pPr>
            <w:r>
              <w:rPr>
                <w:rFonts w:ascii="Arial" w:cs="Arial" w:eastAsia="Arial" w:hAnsi="Arial"/>
                <w:b/>
                <w:bCs/>
                <w:color w:val="FFFFFF"/>
                <w:sz w:val="24"/>
                <w:szCs w:val="24"/>
              </w:rPr>
              <w:t xml:space="preserve">Correlation Type</w:t>
            </w:r>
          </w:p>
        </w:tc>
        <w:tc>
          <w:tcPr>
            <w:tcW w:type="dxa" w:w="3919"/>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spacing w:after="0" w:line="300"/>
            </w:pPr>
            <w:r>
              <w:rPr>
                <w:rFonts w:ascii="Arial" w:cs="Arial" w:eastAsia="Arial" w:hAnsi="Arial"/>
                <w:b/>
                <w:bCs/>
                <w:color w:val="FFFFFF"/>
                <w:sz w:val="24"/>
                <w:szCs w:val="24"/>
              </w:rPr>
              <w:t xml:space="preserve">Mechanism</w:t>
            </w:r>
          </w:p>
        </w:tc>
        <w:tc>
          <w:tcPr>
            <w:tcW w:type="dxa" w:w="3519"/>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spacing w:after="0" w:line="300"/>
            </w:pPr>
            <w:r>
              <w:rPr>
                <w:rFonts w:ascii="Arial" w:cs="Arial" w:eastAsia="Arial" w:hAnsi="Arial"/>
                <w:b/>
                <w:bCs/>
                <w:color w:val="FFFFFF"/>
                <w:sz w:val="24"/>
                <w:szCs w:val="24"/>
              </w:rPr>
              <w:t xml:space="preserve">Intervention Logic</w:t>
            </w:r>
          </w:p>
        </w:tc>
      </w:tr>
      <w:tr>
        <w:tc>
          <w:tcPr>
            <w:tcW w:type="dxa" w:w="22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pPr>
              <w:spacing w:after="60" w:line="276"/>
            </w:pPr>
            <w:r>
              <w:rPr>
                <w:rFonts w:ascii="Arial" w:cs="Arial" w:eastAsia="Arial" w:hAnsi="Arial"/>
                <w:b/>
                <w:bCs/>
                <w:color w:val="1A1A2E"/>
                <w:sz w:val="24"/>
                <w:szCs w:val="24"/>
              </w:rPr>
              <w:t xml:space="preserve">Acute
(Tier 1 ↔ Tier 1)</w:t>
            </w:r>
          </w:p>
        </w:tc>
        <w:tc>
          <w:tcPr>
            <w:tcW w:type="dxa" w:w="3919"/>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pPr>
              <w:spacing w:after="60" w:line="276"/>
            </w:pPr>
            <w:r>
              <w:rPr>
                <w:rFonts w:ascii="Arial" w:cs="Arial" w:eastAsia="Arial" w:hAnsi="Arial"/>
                <w:color w:val="1A1A2E"/>
                <w:sz w:val="24"/>
                <w:szCs w:val="24"/>
              </w:rPr>
              <w:t xml:space="preserve">CF signals converging within hours to days. 20 named Level 3 rules including three new patterns — PERFORMANCE-CULTURE DECOUPLING, COMPLIANCE-PARALYSIS INVERSION, and TECHNOLOGY-ADOPTION DEFICIT. Full specification in Signal Map v2 and Aggregation &amp; Alert Criteria.</w:t>
            </w:r>
          </w:p>
        </w:tc>
        <w:tc>
          <w:tcPr>
            <w:tcW w:type="dxa" w:w="3519"/>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pPr>
              <w:spacing w:after="60" w:line="276"/>
            </w:pPr>
            <w:r>
              <w:rPr>
                <w:rFonts w:ascii="Arial" w:cs="Arial" w:eastAsia="Arial" w:hAnsi="Arial"/>
                <w:color w:val="1A1A2E"/>
                <w:sz w:val="24"/>
                <w:szCs w:val="24"/>
              </w:rPr>
              <w:t xml:space="preserve">Treat as a single diagnostic. Named response protocol per rule. 4-hour response window.</w:t>
            </w:r>
          </w:p>
        </w:tc>
      </w:tr>
      <w:tr>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60" w:line="276"/>
            </w:pPr>
            <w:r>
              <w:rPr>
                <w:rFonts w:ascii="Arial" w:cs="Arial" w:eastAsia="Arial" w:hAnsi="Arial"/>
                <w:b/>
                <w:bCs/>
                <w:color w:val="1A1A2E"/>
                <w:sz w:val="24"/>
                <w:szCs w:val="24"/>
              </w:rPr>
              <w:t xml:space="preserve">Structural
(Tier 2 → Tier 1)</w:t>
            </w:r>
          </w:p>
        </w:tc>
        <w:tc>
          <w:tcPr>
            <w:tcW w:type="dxa" w:w="3919"/>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60" w:line="276"/>
            </w:pPr>
            <w:r>
              <w:rPr>
                <w:rFonts w:ascii="Arial" w:cs="Arial" w:eastAsia="Arial" w:hAnsi="Arial"/>
                <w:color w:val="1A1A2E"/>
                <w:sz w:val="24"/>
                <w:szCs w:val="24"/>
              </w:rPr>
              <w:t xml:space="preserve">Essential Function signals producing CF consequences within 4–12 weeks. VITAL’s primary early warning layer.</w:t>
            </w:r>
          </w:p>
        </w:tc>
        <w:tc>
          <w:tcPr>
            <w:tcW w:type="dxa" w:w="3519"/>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60" w:line="276"/>
            </w:pPr>
            <w:r>
              <w:rPr>
                <w:rFonts w:ascii="Arial" w:cs="Arial" w:eastAsia="Arial" w:hAnsi="Arial"/>
                <w:color w:val="1A1A2E"/>
                <w:sz w:val="24"/>
                <w:szCs w:val="24"/>
              </w:rPr>
              <w:t xml:space="preserve">Intervene in the Essential Function first — CF symptom interventions without the EF root cause produce temporary recovery only.</w:t>
            </w:r>
          </w:p>
        </w:tc>
      </w:tr>
      <w:tr>
        <w:tc>
          <w:tcPr>
            <w:tcW w:type="dxa" w:w="22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pPr>
              <w:spacing w:after="60" w:line="276"/>
            </w:pPr>
            <w:r>
              <w:rPr>
                <w:rFonts w:ascii="Arial" w:cs="Arial" w:eastAsia="Arial" w:hAnsi="Arial"/>
                <w:b/>
                <w:bCs/>
                <w:color w:val="1A1A2E"/>
                <w:sz w:val="24"/>
                <w:szCs w:val="24"/>
              </w:rPr>
              <w:t xml:space="preserve">Substitutional
(Tier 3 → Tier 1/2)</w:t>
            </w:r>
          </w:p>
        </w:tc>
        <w:tc>
          <w:tcPr>
            <w:tcW w:type="dxa" w:w="3919"/>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pPr>
              <w:spacing w:after="60" w:line="276"/>
            </w:pPr>
            <w:r>
              <w:rPr>
                <w:rFonts w:ascii="Arial" w:cs="Arial" w:eastAsia="Arial" w:hAnsi="Arial"/>
                <w:color w:val="1A1A2E"/>
                <w:sz w:val="24"/>
                <w:szCs w:val="24"/>
              </w:rPr>
              <w:t xml:space="preserve">Foundation Function conditions manifesting as CF/EF symptoms. Most commonly misdiagnosed type in conventional management.</w:t>
            </w:r>
          </w:p>
        </w:tc>
        <w:tc>
          <w:tcPr>
            <w:tcW w:type="dxa" w:w="3519"/>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pPr>
              <w:spacing w:after="60" w:line="276"/>
            </w:pPr>
            <w:r>
              <w:rPr>
                <w:rFonts w:ascii="Arial" w:cs="Arial" w:eastAsia="Arial" w:hAnsi="Arial"/>
                <w:color w:val="1A1A2E"/>
                <w:sz w:val="24"/>
                <w:szCs w:val="24"/>
              </w:rPr>
              <w:t xml:space="preserve">Substitutional Correlation Check mandatory before designing any CF intervention on a recurring problem.</w:t>
            </w:r>
          </w:p>
        </w:tc>
      </w:tr>
      <w:tr>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60" w:line="276"/>
            </w:pPr>
            <w:r>
              <w:rPr>
                <w:rFonts w:ascii="Arial" w:cs="Arial" w:eastAsia="Arial" w:hAnsi="Arial"/>
                <w:b/>
                <w:bCs/>
                <w:color w:val="1A1A2E"/>
                <w:sz w:val="24"/>
                <w:szCs w:val="24"/>
              </w:rPr>
              <w:t xml:space="preserve">Amplificational
(Tier 4 → Recovery)</w:t>
            </w:r>
          </w:p>
        </w:tc>
        <w:tc>
          <w:tcPr>
            <w:tcW w:type="dxa" w:w="3919"/>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60" w:line="276"/>
            </w:pPr>
            <w:r>
              <w:rPr>
                <w:rFonts w:ascii="Arial" w:cs="Arial" w:eastAsia="Arial" w:hAnsi="Arial"/>
                <w:color w:val="1A1A2E"/>
                <w:sz w:val="24"/>
                <w:szCs w:val="24"/>
              </w:rPr>
              <w:t xml:space="preserve">Resilience Function depletion amplifying the consequences of concurrent CF stress events.</w:t>
            </w:r>
          </w:p>
        </w:tc>
        <w:tc>
          <w:tcPr>
            <w:tcW w:type="dxa" w:w="3519"/>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60" w:line="276"/>
            </w:pPr>
            <w:r>
              <w:rPr>
                <w:rFonts w:ascii="Arial" w:cs="Arial" w:eastAsia="Arial" w:hAnsi="Arial"/>
                <w:color w:val="1A1A2E"/>
                <w:sz w:val="24"/>
                <w:szCs w:val="24"/>
              </w:rPr>
              <w:t xml:space="preserve">Proactive investment during good periods. The intervention is building resilience before the stress event.</w:t>
            </w:r>
          </w:p>
        </w:tc>
      </w:tr>
    </w:tbl>
    <w:p>
      <w:pPr>
        <w:spacing w:before="200" w:after="0"/>
      </w:pPr>
    </w:p>
    <w:p>
      <w:pPr>
        <w:pStyle w:val="Heading1"/>
      </w:pPr>
      <w:r>
        <w:rPr>
          <w:rFonts w:ascii="Arial" w:cs="Arial" w:eastAsia="Arial" w:hAnsi="Arial"/>
        </w:rPr>
        <w:t xml:space="preserve">The Learning Register — Double-Loop Learning</w:t>
      </w:r>
    </w:p>
    <w:p>
      <w:pPr>
        <w:spacing w:after="200" w:before="80" w:line="300"/>
      </w:pPr>
      <w:r>
        <w:rPr>
          <w:rFonts w:ascii="Arial" w:cs="Arial" w:eastAsia="Arial" w:hAnsi="Arial"/>
          <w:color w:val="1A1A2E"/>
          <w:sz w:val="26"/>
          <w:szCs w:val="26"/>
        </w:rPr>
        <w:t xml:space="preserve">Every alert, once resolved, produces a Learning Register entry that converts the resolution into permanent institutional improvement. Single-loop: fix the problem. Double-loop: fix the problem AND the assumption that produced it.</w:t>
      </w:r>
    </w:p>
    <w:p>
      <w:pPr>
        <w:spacing w:before="80" w:after="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3"/>
        <w:gridCol w:w="3213"/>
      </w:tblGrid>
      <w:tr>
        <w:tc>
          <w:tcPr>
            <w:tcW w:type="dxa" w:w="3212"/>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spacing w:after="0" w:line="300"/>
            </w:pPr>
            <w:r>
              <w:rPr>
                <w:rFonts w:ascii="Arial" w:cs="Arial" w:eastAsia="Arial" w:hAnsi="Arial"/>
                <w:b/>
                <w:bCs/>
                <w:color w:val="FFFFFF"/>
                <w:sz w:val="24"/>
                <w:szCs w:val="24"/>
              </w:rPr>
              <w:t xml:space="preserve">Step 1 — MONITOR</w:t>
            </w:r>
          </w:p>
        </w:tc>
        <w:tc>
          <w:tcPr>
            <w:tcW w:type="dxa" w:w="3213"/>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spacing w:after="0" w:line="300"/>
            </w:pPr>
            <w:r>
              <w:rPr>
                <w:rFonts w:ascii="Arial" w:cs="Arial" w:eastAsia="Arial" w:hAnsi="Arial"/>
                <w:b/>
                <w:bCs/>
                <w:color w:val="FFFFFF"/>
                <w:sz w:val="24"/>
                <w:szCs w:val="24"/>
              </w:rPr>
              <w:t xml:space="preserve">Step 2 — SPRINT</w:t>
            </w:r>
          </w:p>
        </w:tc>
        <w:tc>
          <w:tcPr>
            <w:tcW w:type="dxa" w:w="3213"/>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spacing w:after="0" w:line="300"/>
            </w:pPr>
            <w:r>
              <w:rPr>
                <w:rFonts w:ascii="Arial" w:cs="Arial" w:eastAsia="Arial" w:hAnsi="Arial"/>
                <w:b/>
                <w:bCs/>
                <w:color w:val="FFFFFF"/>
                <w:sz w:val="24"/>
                <w:szCs w:val="24"/>
              </w:rPr>
              <w:t xml:space="preserve">Step 3 — VERIFY</w:t>
            </w:r>
          </w:p>
        </w:tc>
      </w:tr>
      <w:tr>
        <w:tc>
          <w:tcPr>
            <w:tcW w:type="dxa" w:w="3212"/>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pPr>
              <w:spacing w:after="60" w:line="276"/>
            </w:pPr>
            <w:r>
              <w:rPr>
                <w:rFonts w:ascii="Arial" w:cs="Arial" w:eastAsia="Arial" w:hAnsi="Arial"/>
                <w:color w:val="1A1A2E"/>
                <w:sz w:val="24"/>
                <w:szCs w:val="24"/>
              </w:rPr>
              <w:t xml:space="preserve">Alert fires. Named owner assigned. Response deadline set. Root cause investigation begins.</w:t>
            </w:r>
          </w:p>
        </w:tc>
        <w:tc>
          <w:tcPr>
            <w:tcW w:type="dxa" w:w="3213"/>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pPr>
              <w:spacing w:after="60" w:line="276"/>
            </w:pPr>
            <w:r>
              <w:rPr>
                <w:rFonts w:ascii="Arial" w:cs="Arial" w:eastAsia="Arial" w:hAnsi="Arial"/>
                <w:color w:val="1A1A2E"/>
                <w:sz w:val="24"/>
                <w:szCs w:val="24"/>
              </w:rPr>
              <w:t xml:space="preserve">2–4 week focused improvement cycle. Root cause addressed. Process amendment implemented.</w:t>
            </w:r>
          </w:p>
        </w:tc>
        <w:tc>
          <w:tcPr>
            <w:tcW w:type="dxa" w:w="3213"/>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pPr>
              <w:spacing w:after="60" w:line="276"/>
            </w:pPr>
            <w:r>
              <w:rPr>
                <w:rFonts w:ascii="Arial" w:cs="Arial" w:eastAsia="Arial" w:hAnsi="Arial"/>
                <w:color w:val="1A1A2E"/>
                <w:sz w:val="24"/>
                <w:szCs w:val="24"/>
              </w:rPr>
              <w:t xml:space="preserve">Parameter data — not self-reporting — confirms the improvement. No data confirmation = entry not accepted.</w:t>
            </w:r>
          </w:p>
        </w:tc>
      </w:tr>
    </w:tbl>
    <w:p>
      <w:pPr>
        <w:spacing w:before="100" w:after="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3864" w:sz="2"/>
              <w:left w:val="single" w:color="1F3864" w:sz="6"/>
              <w:bottom w:val="single" w:color="1F3864" w:sz="2"/>
              <w:right w:val="single" w:color="1F3864" w:sz="2"/>
            </w:tcBorders>
            <w:shd w:fill="E8EFF7" w:val="clear"/>
            <w:tcMar>
              <w:top w:type="dxa" w:w="120"/>
              <w:left w:type="dxa" w:w="180"/>
              <w:bottom w:type="dxa" w:w="120"/>
              <w:right w:type="dxa" w:w="180"/>
            </w:tcMar>
          </w:tcPr>
          <w:p>
            <w:pPr>
              <w:spacing w:after="200" w:before="80" w:line="300"/>
            </w:pPr>
            <w:r>
              <w:rPr>
                <w:rFonts w:ascii="Arial" w:cs="Arial" w:eastAsia="Arial" w:hAnsi="Arial"/>
                <w:b/>
                <w:bCs/>
                <w:color w:val="1A1A2E"/>
                <w:sz w:val="26"/>
                <w:szCs w:val="26"/>
              </w:rPr>
              <w:t xml:space="preserve">The Oscillation Flag</w:t>
            </w:r>
          </w:p>
          <w:p>
            <w:pPr>
              <w:spacing w:after="200" w:before="80" w:line="300"/>
            </w:pPr>
            <w:r>
              <w:rPr>
                <w:rFonts w:ascii="Arial" w:cs="Arial" w:eastAsia="Arial" w:hAnsi="Arial"/>
                <w:color w:val="1A1A2E"/>
                <w:sz w:val="26"/>
                <w:szCs w:val="26"/>
              </w:rPr>
              <w:t xml:space="preserve">A parameter oscillating between Amber and Green three or more times in 90 days without a verified amendment is flagged immediately — the same root cause is producing the same problem repeatedly. Escalated to board attention if no verified amendment within 10 working days.</w:t>
            </w:r>
          </w:p>
        </w:tc>
      </w:tr>
    </w:tbl>
    <w:p>
      <w:r>
        <w:br w:type="page"/>
      </w:r>
    </w:p>
    <w:p>
      <w:pPr>
        <w:pStyle w:val="Heading1"/>
      </w:pPr>
      <w:r>
        <w:rPr>
          <w:rFonts w:ascii="Arial" w:cs="Arial" w:eastAsia="Arial" w:hAnsi="Arial"/>
        </w:rPr>
        <w:t xml:space="preserve">Signal Propagation — The Research Frontier</w:t>
      </w:r>
    </w:p>
    <w:p>
      <w:pPr>
        <w:spacing w:after="200" w:before="80" w:line="300"/>
      </w:pPr>
      <w:r>
        <w:rPr>
          <w:rFonts w:ascii="Arial" w:cs="Arial" w:eastAsia="Arial" w:hAnsi="Arial"/>
          <w:color w:val="1A1A2E"/>
          <w:sz w:val="26"/>
          <w:szCs w:val="26"/>
        </w:rPr>
        <w:t xml:space="preserve">Signal propagation modelling tracks the sequence, timing, and causal pathway through which a signal in one function produces consequences in another. Four primary sequences are hypothesised:</w:t>
      </w:r>
    </w:p>
    <w:p>
      <w:pPr>
        <w:spacing w:before="80" w:after="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3864" w:sz="2"/>
              <w:left w:val="single" w:color="1F3864" w:sz="6"/>
              <w:bottom w:val="single" w:color="1F3864" w:sz="2"/>
              <w:right w:val="single" w:color="1F3864" w:sz="2"/>
            </w:tcBorders>
            <w:shd w:fill="E8EFF7" w:val="clear"/>
            <w:tcMar>
              <w:top w:type="dxa" w:w="120"/>
              <w:left w:type="dxa" w:w="180"/>
              <w:bottom w:type="dxa" w:w="120"/>
              <w:right w:type="dxa" w:w="180"/>
            </w:tcMar>
          </w:tcPr>
          <w:p>
            <w:pPr>
              <w:spacing w:after="200" w:before="80" w:line="300"/>
            </w:pPr>
            <w:r>
              <w:rPr>
                <w:rFonts w:ascii="Arial" w:cs="Arial" w:eastAsia="Arial" w:hAnsi="Arial"/>
                <w:b/>
                <w:bCs/>
                <w:color w:val="1A1A2E"/>
                <w:sz w:val="26"/>
                <w:szCs w:val="26"/>
              </w:rPr>
              <w:t xml:space="preserve">1.  CF2 Leadership signals lead all CF consequences</w:t>
            </w:r>
          </w:p>
          <w:p>
            <w:pPr>
              <w:spacing w:after="200" w:before="80" w:line="300"/>
            </w:pPr>
            <w:r>
              <w:rPr>
                <w:rFonts w:ascii="Arial" w:cs="Arial" w:eastAsia="Arial" w:hAnsi="Arial"/>
                <w:color w:val="1A1A2E"/>
                <w:sz w:val="26"/>
                <w:szCs w:val="26"/>
              </w:rPr>
              <w:t xml:space="preserve">Leadership signals typically precede CF3 people consequences by 3–6 weeks, CF4 delivery quality decline by 4–8 weeks, and CF1 financial deterioration by 6–12 weeks. A CF2 signal is the earliest possible predictor of multi-function cascade.</w:t>
            </w:r>
          </w:p>
        </w:tc>
      </w:tr>
    </w:tbl>
    <w:p>
      <w:pPr>
        <w:spacing w:before="80" w:after="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3864" w:sz="2"/>
              <w:left w:val="single" w:color="1F3864" w:sz="6"/>
              <w:bottom w:val="single" w:color="1F3864" w:sz="2"/>
              <w:right w:val="single" w:color="1F3864" w:sz="2"/>
            </w:tcBorders>
            <w:shd w:fill="E8EFF7" w:val="clear"/>
            <w:tcMar>
              <w:top w:type="dxa" w:w="120"/>
              <w:left w:type="dxa" w:w="180"/>
              <w:bottom w:type="dxa" w:w="120"/>
              <w:right w:type="dxa" w:w="180"/>
            </w:tcMar>
          </w:tcPr>
          <w:p>
            <w:pPr>
              <w:spacing w:after="200" w:before="80" w:line="300"/>
            </w:pPr>
            <w:r>
              <w:rPr>
                <w:rFonts w:ascii="Arial" w:cs="Arial" w:eastAsia="Arial" w:hAnsi="Arial"/>
                <w:b/>
                <w:bCs/>
                <w:color w:val="1A1A2E"/>
                <w:sz w:val="26"/>
                <w:szCs w:val="26"/>
              </w:rPr>
              <w:t xml:space="preserve">2.  E1 Culture signals propagate to multiple functions simultaneously</w:t>
            </w:r>
          </w:p>
          <w:p>
            <w:pPr>
              <w:spacing w:after="200" w:before="80" w:line="300"/>
            </w:pPr>
            <w:r>
              <w:rPr>
                <w:rFonts w:ascii="Arial" w:cs="Arial" w:eastAsia="Arial" w:hAnsi="Arial"/>
                <w:color w:val="1A1A2E"/>
                <w:sz w:val="26"/>
                <w:szCs w:val="26"/>
              </w:rPr>
              <w:t xml:space="preserve">E1 psychological safety deterioration produces consequences in CF3 attrition (4–8 weeks), CF5 compliance disclosure suppression (2–4 weeks), and CF4 process corner-cutting (6–10 weeks) — all at the same time. The propagation is parallel, not sequential.</w:t>
            </w:r>
          </w:p>
        </w:tc>
      </w:tr>
    </w:tbl>
    <w:p>
      <w:pPr>
        <w:spacing w:before="80" w:after="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3864" w:sz="2"/>
              <w:left w:val="single" w:color="1F3864" w:sz="6"/>
              <w:bottom w:val="single" w:color="1F3864" w:sz="2"/>
              <w:right w:val="single" w:color="1F3864" w:sz="2"/>
            </w:tcBorders>
            <w:shd w:fill="E8EFF7" w:val="clear"/>
            <w:tcMar>
              <w:top w:type="dxa" w:w="120"/>
              <w:left w:type="dxa" w:w="180"/>
              <w:bottom w:type="dxa" w:w="120"/>
              <w:right w:type="dxa" w:w="180"/>
            </w:tcMar>
          </w:tcPr>
          <w:p>
            <w:pPr>
              <w:spacing w:after="200" w:before="80" w:line="300"/>
            </w:pPr>
            <w:r>
              <w:rPr>
                <w:rFonts w:ascii="Arial" w:cs="Arial" w:eastAsia="Arial" w:hAnsi="Arial"/>
                <w:b/>
                <w:bCs/>
                <w:color w:val="1A1A2E"/>
                <w:sz w:val="26"/>
                <w:szCs w:val="26"/>
              </w:rPr>
              <w:t xml:space="preserve">3.  CF7 Revenue signals propagate backward and reveal leadership response style</w:t>
            </w:r>
          </w:p>
          <w:p>
            <w:pPr>
              <w:spacing w:after="200" w:before="80" w:line="300"/>
            </w:pPr>
            <w:r>
              <w:rPr>
                <w:rFonts w:ascii="Arial" w:cs="Arial" w:eastAsia="Arial" w:hAnsi="Arial"/>
                <w:color w:val="1A1A2E"/>
                <w:sz w:val="26"/>
                <w:szCs w:val="26"/>
              </w:rPr>
              <w:t xml:space="preserve">CF7 revenue decline propagates to CF2 strategic pressure, then CF3 headcount decisions, then CF4 quality pressure. The pathway reveals how leadership interprets the problem.</w:t>
            </w:r>
          </w:p>
        </w:tc>
      </w:tr>
    </w:tbl>
    <w:p>
      <w:pPr>
        <w:spacing w:before="80" w:after="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3864" w:sz="2"/>
              <w:left w:val="single" w:color="1F3864" w:sz="6"/>
              <w:bottom w:val="single" w:color="1F3864" w:sz="2"/>
              <w:right w:val="single" w:color="1F3864" w:sz="2"/>
            </w:tcBorders>
            <w:shd w:fill="E8EFF7" w:val="clear"/>
            <w:tcMar>
              <w:top w:type="dxa" w:w="120"/>
              <w:left w:type="dxa" w:w="180"/>
              <w:bottom w:type="dxa" w:w="120"/>
              <w:right w:type="dxa" w:w="180"/>
            </w:tcMar>
          </w:tcPr>
          <w:p>
            <w:pPr>
              <w:spacing w:after="200" w:before="80" w:line="300"/>
            </w:pPr>
            <w:r>
              <w:rPr>
                <w:rFonts w:ascii="Arial" w:cs="Arial" w:eastAsia="Arial" w:hAnsi="Arial"/>
                <w:b/>
                <w:bCs/>
                <w:color w:val="1A1A2E"/>
                <w:sz w:val="26"/>
                <w:szCs w:val="26"/>
              </w:rPr>
              <w:t xml:space="preserve">4.  Foundation Function signals propagate to Tier 1 with months of advance warning</w:t>
            </w:r>
          </w:p>
          <w:p>
            <w:pPr>
              <w:spacing w:after="200" w:before="80" w:line="300"/>
            </w:pPr>
            <w:r>
              <w:rPr>
                <w:rFonts w:ascii="Arial" w:cs="Arial" w:eastAsia="Arial" w:hAnsi="Arial"/>
                <w:color w:val="1A1A2E"/>
                <w:sz w:val="26"/>
                <w:szCs w:val="26"/>
              </w:rPr>
              <w:t xml:space="preserve">FF1 brand erosion leads CF7 pipeline contraction by 3–6 months. FF2 knowledge erosion leads CF3 capability gaps at the next departure event. Monthly Foundation sensing provides the longest advance warning of any signal type in VITAL.</w:t>
            </w:r>
          </w:p>
        </w:tc>
      </w:tr>
    </w:tbl>
    <w:p>
      <w:pPr>
        <w:spacing w:before="80" w:after="0"/>
      </w:pPr>
    </w:p>
    <w:p>
      <w:pPr>
        <w:spacing w:after="200" w:before="80" w:line="300"/>
      </w:pPr>
      <w:r>
        <w:rPr>
          <w:rFonts w:ascii="Arial" w:cs="Arial" w:eastAsia="Arial" w:hAnsi="Arial"/>
          <w:i/>
          <w:iCs/>
          <w:color w:val="1A1A2E"/>
          <w:sz w:val="26"/>
          <w:szCs w:val="26"/>
        </w:rPr>
        <w:t xml:space="preserve">These are falsifiable hypotheses. Pilot data will establish empirical lead times specific to each organisation and sector.</w:t>
      </w:r>
    </w:p>
    <w:p>
      <w:r>
        <w:br w:type="page"/>
      </w:r>
    </w:p>
    <w:p>
      <w:pPr>
        <w:pStyle w:val="Heading1"/>
      </w:pPr>
      <w:r>
        <w:rPr>
          <w:rFonts w:ascii="Arial" w:cs="Arial" w:eastAsia="Arial" w:hAnsi="Arial"/>
        </w:rPr>
        <w:t xml:space="preserve">Future AI Coding Roadmap</w:t>
      </w:r>
    </w:p>
    <w:p>
      <w:pPr>
        <w:spacing w:before="80" w:after="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219"/>
        <w:gridCol w:w="4019"/>
      </w:tblGrid>
      <w:tr>
        <w:tc>
          <w:tcPr>
            <w:tcW w:type="dxa" w:w="24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spacing w:after="0" w:line="300"/>
            </w:pPr>
            <w:r>
              <w:rPr>
                <w:rFonts w:ascii="Arial" w:cs="Arial" w:eastAsia="Arial" w:hAnsi="Arial"/>
                <w:b/>
                <w:bCs/>
                <w:color w:val="FFFFFF"/>
                <w:sz w:val="24"/>
                <w:szCs w:val="24"/>
              </w:rPr>
              <w:t xml:space="preserve">Stage</w:t>
            </w:r>
          </w:p>
        </w:tc>
        <w:tc>
          <w:tcPr>
            <w:tcW w:type="dxa" w:w="3219"/>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spacing w:after="0" w:line="300"/>
            </w:pPr>
            <w:r>
              <w:rPr>
                <w:rFonts w:ascii="Arial" w:cs="Arial" w:eastAsia="Arial" w:hAnsi="Arial"/>
                <w:b/>
                <w:bCs/>
                <w:color w:val="FFFFFF"/>
                <w:sz w:val="24"/>
                <w:szCs w:val="24"/>
              </w:rPr>
              <w:t xml:space="preserve">Requires</w:t>
            </w:r>
          </w:p>
        </w:tc>
        <w:tc>
          <w:tcPr>
            <w:tcW w:type="dxa" w:w="4019"/>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spacing w:after="0" w:line="300"/>
            </w:pPr>
            <w:r>
              <w:rPr>
                <w:rFonts w:ascii="Arial" w:cs="Arial" w:eastAsia="Arial" w:hAnsi="Arial"/>
                <w:b/>
                <w:bCs/>
                <w:color w:val="FFFFFF"/>
                <w:sz w:val="24"/>
                <w:szCs w:val="24"/>
              </w:rPr>
              <w:t xml:space="preserve">Delivers</w:t>
            </w:r>
          </w:p>
        </w:tc>
      </w:tr>
      <w:tr>
        <w:tc>
          <w:tcPr>
            <w:tcW w:type="dxa" w:w="24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pPr>
              <w:spacing w:after="60" w:line="276"/>
            </w:pPr>
            <w:r>
              <w:rPr>
                <w:rFonts w:ascii="Arial" w:cs="Arial" w:eastAsia="Arial" w:hAnsi="Arial"/>
                <w:b/>
                <w:bCs/>
                <w:color w:val="1A1A2E"/>
                <w:sz w:val="24"/>
                <w:szCs w:val="24"/>
              </w:rPr>
              <w:t xml:space="preserve">Stage 1
Baseline Calibration</w:t>
            </w:r>
          </w:p>
        </w:tc>
        <w:tc>
          <w:tcPr>
            <w:tcW w:type="dxa" w:w="3219"/>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pPr>
              <w:spacing w:after="60" w:line="276"/>
            </w:pPr>
            <w:r>
              <w:rPr>
                <w:rFonts w:ascii="Arial" w:cs="Arial" w:eastAsia="Arial" w:hAnsi="Arial"/>
                <w:color w:val="1A1A2E"/>
                <w:sz w:val="24"/>
                <w:szCs w:val="24"/>
              </w:rPr>
              <w:t xml:space="preserve">8–12 weeks pilot data. Duration assumes at least some connected systems are API-accessible.</w:t>
            </w:r>
          </w:p>
        </w:tc>
        <w:tc>
          <w:tcPr>
            <w:tcW w:type="dxa" w:w="4019"/>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pPr>
              <w:spacing w:after="60" w:line="276"/>
            </w:pPr>
            <w:r>
              <w:rPr>
                <w:rFonts w:ascii="Arial" w:cs="Arial" w:eastAsia="Arial" w:hAnsi="Arial"/>
                <w:color w:val="1A1A2E"/>
                <w:sz w:val="24"/>
                <w:szCs w:val="24"/>
              </w:rPr>
              <w:t xml:space="preserve">Threshold calibration. Anomaly baselines. L1 and L2 AI active. Human sensing launched.</w:t>
            </w:r>
          </w:p>
        </w:tc>
      </w:tr>
      <w:tr>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60" w:line="276"/>
            </w:pPr>
            <w:r>
              <w:rPr>
                <w:rFonts w:ascii="Arial" w:cs="Arial" w:eastAsia="Arial" w:hAnsi="Arial"/>
                <w:b/>
                <w:bCs/>
                <w:color w:val="1A1A2E"/>
                <w:sz w:val="24"/>
                <w:szCs w:val="24"/>
              </w:rPr>
              <w:t xml:space="preserve">Stage 2
Correlation Engine</w:t>
            </w:r>
          </w:p>
        </w:tc>
        <w:tc>
          <w:tcPr>
            <w:tcW w:type="dxa" w:w="3219"/>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60" w:line="276"/>
            </w:pPr>
            <w:r>
              <w:rPr>
                <w:rFonts w:ascii="Arial" w:cs="Arial" w:eastAsia="Arial" w:hAnsi="Arial"/>
                <w:color w:val="1A1A2E"/>
                <w:sz w:val="24"/>
                <w:szCs w:val="24"/>
              </w:rPr>
              <w:t xml:space="preserve">6+ months alert history with consistent data flow.</w:t>
            </w:r>
          </w:p>
        </w:tc>
        <w:tc>
          <w:tcPr>
            <w:tcW w:type="dxa" w:w="4019"/>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60" w:line="276"/>
            </w:pPr>
            <w:r>
              <w:rPr>
                <w:rFonts w:ascii="Arial" w:cs="Arial" w:eastAsia="Arial" w:hAnsi="Arial"/>
                <w:color w:val="1A1A2E"/>
                <w:sz w:val="24"/>
                <w:szCs w:val="24"/>
              </w:rPr>
              <w:t xml:space="preserve">L3 correlation engine. 20 named rules encoded. Signal propagation timing models validated.</w:t>
            </w:r>
          </w:p>
        </w:tc>
      </w:tr>
      <w:tr>
        <w:tc>
          <w:tcPr>
            <w:tcW w:type="dxa" w:w="24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pPr>
              <w:spacing w:after="60" w:line="276"/>
            </w:pPr>
            <w:r>
              <w:rPr>
                <w:rFonts w:ascii="Arial" w:cs="Arial" w:eastAsia="Arial" w:hAnsi="Arial"/>
                <w:b/>
                <w:bCs/>
                <w:color w:val="1A1A2E"/>
                <w:sz w:val="24"/>
                <w:szCs w:val="24"/>
              </w:rPr>
              <w:t xml:space="preserve">Stage 3
Full OHI Automation</w:t>
            </w:r>
          </w:p>
        </w:tc>
        <w:tc>
          <w:tcPr>
            <w:tcW w:type="dxa" w:w="3219"/>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pPr>
              <w:spacing w:after="60" w:line="276"/>
            </w:pPr>
            <w:r>
              <w:rPr>
                <w:rFonts w:ascii="Arial" w:cs="Arial" w:eastAsia="Arial" w:hAnsi="Arial"/>
                <w:color w:val="1A1A2E"/>
                <w:sz w:val="24"/>
                <w:szCs w:val="24"/>
              </w:rPr>
              <w:t xml:space="preserve">12+ months monitoring data. Timelines extend proportionally if data quality is inconsistent.</w:t>
            </w:r>
          </w:p>
        </w:tc>
        <w:tc>
          <w:tcPr>
            <w:tcW w:type="dxa" w:w="4019"/>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pPr>
              <w:spacing w:after="60" w:line="276"/>
            </w:pPr>
            <w:r>
              <w:rPr>
                <w:rFonts w:ascii="Arial" w:cs="Arial" w:eastAsia="Arial" w:hAnsi="Arial"/>
                <w:color w:val="1A1A2E"/>
                <w:sz w:val="24"/>
                <w:szCs w:val="24"/>
              </w:rPr>
              <w:t xml:space="preserve">L4 forward simulation. Full four-tier OHI automation. Three-level stakeholder reporting automated.</w:t>
            </w:r>
          </w:p>
        </w:tc>
      </w:tr>
    </w:tbl>
    <w:p>
      <w:pPr>
        <w:spacing w:before="100" w:after="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3864" w:sz="2"/>
              <w:left w:val="single" w:color="1F3864" w:sz="6"/>
              <w:bottom w:val="single" w:color="1F3864" w:sz="2"/>
              <w:right w:val="single" w:color="1F3864" w:sz="2"/>
            </w:tcBorders>
            <w:shd w:fill="E8EFF7" w:val="clear"/>
            <w:tcMar>
              <w:top w:type="dxa" w:w="120"/>
              <w:left w:type="dxa" w:w="180"/>
              <w:bottom w:type="dxa" w:w="120"/>
              <w:right w:type="dxa" w:w="180"/>
            </w:tcMar>
          </w:tcPr>
          <w:p>
            <w:pPr>
              <w:spacing w:after="200" w:before="80" w:line="300"/>
            </w:pPr>
            <w:r>
              <w:rPr>
                <w:rFonts w:ascii="Arial" w:cs="Arial" w:eastAsia="Arial" w:hAnsi="Arial"/>
                <w:b/>
                <w:bCs/>
                <w:color w:val="1A1A2E"/>
                <w:sz w:val="26"/>
                <w:szCs w:val="26"/>
              </w:rPr>
              <w:t xml:space="preserve">Technology Investment Principle</w:t>
            </w:r>
          </w:p>
          <w:p>
            <w:pPr>
              <w:spacing w:after="200" w:before="80" w:line="300"/>
            </w:pPr>
            <w:r>
              <w:rPr>
                <w:rFonts w:ascii="Arial" w:cs="Arial" w:eastAsia="Arial" w:hAnsi="Arial"/>
                <w:color w:val="1A1A2E"/>
                <w:sz w:val="26"/>
                <w:szCs w:val="26"/>
              </w:rPr>
              <w:t xml:space="preserve">VITAL requires no new operational platforms — it reads from systems the organisation already uses. Stage 1 technology requirement is modest: API connections and a monitoring engine. Stages 2 and 3 scale with data maturity. Technology investment grows in proportion to demonstrated value.</w:t>
            </w:r>
          </w:p>
        </w:tc>
      </w:tr>
    </w:tbl>
    <w:p>
      <w:r>
        <w:br w:type="page"/>
      </w:r>
    </w:p>
    <w:p>
      <w:pPr>
        <w:pStyle w:val="Heading1"/>
      </w:pPr>
      <w:r>
        <w:rPr>
          <w:rFonts w:ascii="Arial" w:cs="Arial" w:eastAsia="Arial" w:hAnsi="Arial"/>
        </w:rPr>
        <w:t xml:space="preserve">The 90-Day Diagnostic Pilot</w:t>
      </w:r>
    </w:p>
    <w:p>
      <w:pPr>
        <w:spacing w:before="80" w:after="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6238"/>
      </w:tblGrid>
      <w:tr>
        <w:tc>
          <w:tcPr>
            <w:tcW w:type="dxa" w:w="22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spacing w:after="0" w:line="300"/>
            </w:pPr>
            <w:r>
              <w:rPr>
                <w:rFonts w:ascii="Arial" w:cs="Arial" w:eastAsia="Arial" w:hAnsi="Arial"/>
                <w:b/>
                <w:bCs/>
                <w:color w:val="FFFFFF"/>
                <w:sz w:val="24"/>
                <w:szCs w:val="24"/>
              </w:rPr>
              <w:t xml:space="preserve">Phase</w:t>
            </w:r>
          </w:p>
        </w:tc>
        <w:tc>
          <w:tcPr>
            <w:tcW w:type="dxa" w:w="12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spacing w:after="0" w:line="300"/>
            </w:pPr>
            <w:r>
              <w:rPr>
                <w:rFonts w:ascii="Arial" w:cs="Arial" w:eastAsia="Arial" w:hAnsi="Arial"/>
                <w:b/>
                <w:bCs/>
                <w:color w:val="FFFFFF"/>
                <w:sz w:val="24"/>
                <w:szCs w:val="24"/>
              </w:rPr>
              <w:t xml:space="preserve">Weeks</w:t>
            </w:r>
          </w:p>
        </w:tc>
        <w:tc>
          <w:tcPr>
            <w:tcW w:type="dxa" w:w="6238"/>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spacing w:after="0" w:line="300"/>
            </w:pPr>
            <w:r>
              <w:rPr>
                <w:rFonts w:ascii="Arial" w:cs="Arial" w:eastAsia="Arial" w:hAnsi="Arial"/>
                <w:b/>
                <w:bCs/>
                <w:color w:val="FFFFFF"/>
                <w:sz w:val="24"/>
                <w:szCs w:val="24"/>
              </w:rPr>
              <w:t xml:space="preserve">Key Deliverable</w:t>
            </w:r>
          </w:p>
        </w:tc>
      </w:tr>
      <w:tr>
        <w:tc>
          <w:tcPr>
            <w:tcW w:type="dxa" w:w="22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pPr>
              <w:spacing w:after="60" w:line="276"/>
            </w:pPr>
            <w:r>
              <w:rPr>
                <w:rFonts w:ascii="Arial" w:cs="Arial" w:eastAsia="Arial" w:hAnsi="Arial"/>
                <w:b/>
                <w:bCs/>
                <w:color w:val="1A1A2E"/>
                <w:sz w:val="24"/>
                <w:szCs w:val="24"/>
              </w:rPr>
              <w:t xml:space="preserve">Foundation</w:t>
            </w:r>
          </w:p>
        </w:tc>
        <w:tc>
          <w:tcPr>
            <w:tcW w:type="dxa" w:w="12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pPr>
              <w:spacing w:after="60" w:line="276"/>
            </w:pPr>
            <w:r>
              <w:rPr>
                <w:rFonts w:ascii="Arial" w:cs="Arial" w:eastAsia="Arial" w:hAnsi="Arial"/>
                <w:color w:val="1A1A2E"/>
                <w:sz w:val="24"/>
                <w:szCs w:val="24"/>
              </w:rPr>
              <w:t xml:space="preserve">1–3</w:t>
            </w:r>
          </w:p>
        </w:tc>
        <w:tc>
          <w:tcPr>
            <w:tcW w:type="dxa" w:w="6238"/>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pPr>
              <w:spacing w:after="60" w:line="276"/>
            </w:pPr>
            <w:r>
              <w:rPr>
                <w:rFonts w:ascii="Arial" w:cs="Arial" w:eastAsia="Arial" w:hAnsi="Arial"/>
                <w:color w:val="1A1A2E"/>
                <w:sz w:val="24"/>
                <w:szCs w:val="24"/>
              </w:rPr>
              <w:t xml:space="preserve">System connection map. Baseline dataset initiated. Human sensing launched. Threshold calibration. Duration depends on current automation maturity.</w:t>
            </w:r>
          </w:p>
        </w:tc>
      </w:tr>
      <w:tr>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60" w:line="276"/>
            </w:pPr>
            <w:r>
              <w:rPr>
                <w:rFonts w:ascii="Arial" w:cs="Arial" w:eastAsia="Arial" w:hAnsi="Arial"/>
                <w:b/>
                <w:bCs/>
                <w:color w:val="1A1A2E"/>
                <w:sz w:val="24"/>
                <w:szCs w:val="24"/>
              </w:rPr>
              <w:t xml:space="preserve">Activation</w:t>
            </w:r>
          </w:p>
        </w:tc>
        <w:tc>
          <w:tcPr>
            <w:tcW w:type="dxa" w:w="12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60" w:line="276"/>
            </w:pPr>
            <w:r>
              <w:rPr>
                <w:rFonts w:ascii="Arial" w:cs="Arial" w:eastAsia="Arial" w:hAnsi="Arial"/>
                <w:color w:val="1A1A2E"/>
                <w:sz w:val="24"/>
                <w:szCs w:val="24"/>
              </w:rPr>
              <w:t xml:space="preserve">4–8</w:t>
            </w:r>
          </w:p>
        </w:tc>
        <w:tc>
          <w:tcPr>
            <w:tcW w:type="dxa" w:w="6238"/>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60" w:line="276"/>
            </w:pPr>
            <w:r>
              <w:rPr>
                <w:rFonts w:ascii="Arial" w:cs="Arial" w:eastAsia="Arial" w:hAnsi="Arial"/>
                <w:color w:val="1A1A2E"/>
                <w:sz w:val="24"/>
                <w:szCs w:val="24"/>
              </w:rPr>
              <w:t xml:space="preserve">L1 and L2 alerts active. Learning Register launched. First OHI-R reading. CEO Reflection channel established.</w:t>
            </w:r>
          </w:p>
        </w:tc>
      </w:tr>
      <w:tr>
        <w:tc>
          <w:tcPr>
            <w:tcW w:type="dxa" w:w="22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pPr>
              <w:spacing w:after="60" w:line="276"/>
            </w:pPr>
            <w:r>
              <w:rPr>
                <w:rFonts w:ascii="Arial" w:cs="Arial" w:eastAsia="Arial" w:hAnsi="Arial"/>
                <w:b/>
                <w:bCs/>
                <w:color w:val="1A1A2E"/>
                <w:sz w:val="24"/>
                <w:szCs w:val="24"/>
              </w:rPr>
              <w:t xml:space="preserve">Intelligence</w:t>
            </w:r>
          </w:p>
        </w:tc>
        <w:tc>
          <w:tcPr>
            <w:tcW w:type="dxa" w:w="12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pPr>
              <w:spacing w:after="60" w:line="276"/>
            </w:pPr>
            <w:r>
              <w:rPr>
                <w:rFonts w:ascii="Arial" w:cs="Arial" w:eastAsia="Arial" w:hAnsi="Arial"/>
                <w:color w:val="1A1A2E"/>
                <w:sz w:val="24"/>
                <w:szCs w:val="24"/>
              </w:rPr>
              <w:t xml:space="preserve">9–12</w:t>
            </w:r>
          </w:p>
        </w:tc>
        <w:tc>
          <w:tcPr>
            <w:tcW w:type="dxa" w:w="6238"/>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pPr>
              <w:spacing w:after="60" w:line="276"/>
            </w:pPr>
            <w:r>
              <w:rPr>
                <w:rFonts w:ascii="Arial" w:cs="Arial" w:eastAsia="Arial" w:hAnsi="Arial"/>
                <w:color w:val="1A1A2E"/>
                <w:sz w:val="24"/>
                <w:szCs w:val="24"/>
              </w:rPr>
              <w:t xml:space="preserve">L3 correlation engine validated. Tier 2 monitoring activated. First cross-function correlations reviewed. Pilot findings report produced.</w:t>
            </w:r>
          </w:p>
        </w:tc>
      </w:tr>
    </w:tbl>
    <w:p>
      <w:pPr>
        <w:spacing w:before="100" w:after="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3864" w:sz="2"/>
              <w:left w:val="single" w:color="1F3864" w:sz="6"/>
              <w:bottom w:val="single" w:color="1F3864" w:sz="2"/>
              <w:right w:val="single" w:color="1F3864" w:sz="2"/>
            </w:tcBorders>
            <w:shd w:fill="E8EFF7" w:val="clear"/>
            <w:tcMar>
              <w:top w:type="dxa" w:w="120"/>
              <w:left w:type="dxa" w:w="180"/>
              <w:bottom w:type="dxa" w:w="120"/>
              <w:right w:type="dxa" w:w="180"/>
            </w:tcMar>
          </w:tcPr>
          <w:p>
            <w:pPr>
              <w:spacing w:after="200" w:before="80" w:line="300"/>
            </w:pPr>
            <w:r>
              <w:rPr>
                <w:rFonts w:ascii="Arial" w:cs="Arial" w:eastAsia="Arial" w:hAnsi="Arial"/>
                <w:b/>
                <w:bCs/>
                <w:color w:val="1A1A2E"/>
                <w:sz w:val="26"/>
                <w:szCs w:val="26"/>
              </w:rPr>
              <w:t xml:space="preserve">Before the Pilot Begins — Pre-Pilot Assessment</w:t>
            </w:r>
          </w:p>
          <w:p>
            <w:pPr>
              <w:spacing w:after="200" w:before="80" w:line="300"/>
            </w:pPr>
            <w:r>
              <w:rPr>
                <w:rFonts w:ascii="Arial" w:cs="Arial" w:eastAsia="Arial" w:hAnsi="Arial"/>
                <w:color w:val="1A1A2E"/>
                <w:sz w:val="26"/>
                <w:szCs w:val="26"/>
              </w:rPr>
              <w:t xml:space="preserve">A structured Pre-Pilot Assessment must precede deployment. The VITAL Implementation Lead (nominated by the CEO) conducts this using four Readiness Assessment steps:</w:t>
            </w:r>
          </w:p>
          <w:p>
            <w:pPr>
              <w:spacing w:after="200" w:before="80" w:line="300"/>
            </w:pPr>
            <w:r>
              <w:rPr>
                <w:rFonts w:ascii="Arial" w:cs="Arial" w:eastAsia="Arial" w:hAnsi="Arial"/>
                <w:b/>
                <w:bCs/>
                <w:color w:val="1A1A2E"/>
                <w:sz w:val="26"/>
                <w:szCs w:val="26"/>
              </w:rPr>
              <w:t xml:space="preserve">Step 1 — Data Availability Mapping: </w:t>
            </w:r>
            <w:r>
              <w:rPr>
                <w:rFonts w:ascii="Arial" w:cs="Arial" w:eastAsia="Arial" w:hAnsi="Arial"/>
                <w:color w:val="1A1A2E"/>
                <w:sz w:val="26"/>
                <w:szCs w:val="26"/>
              </w:rPr>
              <w:t xml:space="preserve">confirm which signals are available from existing systems and which require human sensing.</w:t>
            </w:r>
          </w:p>
          <w:p>
            <w:pPr>
              <w:spacing w:after="200" w:before="80" w:line="300"/>
            </w:pPr>
            <w:r>
              <w:rPr>
                <w:rFonts w:ascii="Arial" w:cs="Arial" w:eastAsia="Arial" w:hAnsi="Arial"/>
                <w:b/>
                <w:bCs/>
                <w:color w:val="1A1A2E"/>
                <w:sz w:val="26"/>
                <w:szCs w:val="26"/>
              </w:rPr>
              <w:t xml:space="preserve">Step 2 — Forum and Retro Confirmation: </w:t>
            </w:r>
            <w:r>
              <w:rPr>
                <w:rFonts w:ascii="Arial" w:cs="Arial" w:eastAsia="Arial" w:hAnsi="Arial"/>
                <w:color w:val="1A1A2E"/>
                <w:sz w:val="26"/>
                <w:szCs w:val="26"/>
              </w:rPr>
              <w:t xml:space="preserve">confirm that the delivery contexts for human sensing questions exist in the organisation’s current rhythm.</w:t>
            </w:r>
          </w:p>
          <w:p>
            <w:pPr>
              <w:spacing w:after="200" w:before="80" w:line="300"/>
            </w:pPr>
            <w:r>
              <w:rPr>
                <w:rFonts w:ascii="Arial" w:cs="Arial" w:eastAsia="Arial" w:hAnsi="Arial"/>
                <w:b/>
                <w:bCs/>
                <w:color w:val="1A1A2E"/>
                <w:sz w:val="26"/>
                <w:szCs w:val="26"/>
              </w:rPr>
              <w:t xml:space="preserve">Step 3 — VITAL Implementation Lead Nomination: </w:t>
            </w:r>
            <w:r>
              <w:rPr>
                <w:rFonts w:ascii="Arial" w:cs="Arial" w:eastAsia="Arial" w:hAnsi="Arial"/>
                <w:color w:val="1A1A2E"/>
                <w:sz w:val="26"/>
                <w:szCs w:val="26"/>
              </w:rPr>
              <w:t xml:space="preserve">CEO nominates and briefs the SPOC.</w:t>
            </w:r>
          </w:p>
          <w:p>
            <w:pPr>
              <w:spacing w:after="200" w:before="80" w:line="300"/>
            </w:pPr>
            <w:r>
              <w:rPr>
                <w:rFonts w:ascii="Arial" w:cs="Arial" w:eastAsia="Arial" w:hAnsi="Arial"/>
                <w:b/>
                <w:bCs/>
                <w:color w:val="1A1A2E"/>
                <w:sz w:val="26"/>
                <w:szCs w:val="26"/>
              </w:rPr>
              <w:t xml:space="preserve">Step 4 — Recipients and Routing Map: </w:t>
            </w:r>
            <w:r>
              <w:rPr>
                <w:rFonts w:ascii="Arial" w:cs="Arial" w:eastAsia="Arial" w:hAnsi="Arial"/>
                <w:color w:val="1A1A2E"/>
                <w:sz w:val="26"/>
                <w:szCs w:val="26"/>
              </w:rPr>
              <w:t xml:space="preserve">every named recipient confirmed before deployment begins.</w:t>
            </w:r>
          </w:p>
        </w:tc>
      </w:tr>
    </w:tbl>
    <w:p>
      <w:pPr>
        <w:spacing w:before="100" w:after="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3864" w:sz="2"/>
              <w:left w:val="single" w:color="1F3864" w:sz="6"/>
              <w:bottom w:val="single" w:color="1F3864" w:sz="2"/>
              <w:right w:val="single" w:color="1F3864" w:sz="2"/>
            </w:tcBorders>
            <w:shd w:fill="E8F5E9" w:val="clear"/>
            <w:tcMar>
              <w:top w:type="dxa" w:w="120"/>
              <w:left w:type="dxa" w:w="180"/>
              <w:bottom w:type="dxa" w:w="120"/>
              <w:right w:type="dxa" w:w="180"/>
            </w:tcMar>
          </w:tcPr>
          <w:p>
            <w:pPr>
              <w:spacing w:after="200" w:before="80" w:line="300"/>
            </w:pPr>
            <w:r>
              <w:rPr>
                <w:rFonts w:ascii="Arial" w:cs="Arial" w:eastAsia="Arial" w:hAnsi="Arial"/>
                <w:b/>
                <w:bCs/>
                <w:color w:val="1A1A2E"/>
                <w:sz w:val="26"/>
                <w:szCs w:val="26"/>
              </w:rPr>
              <w:t xml:space="preserve">Three Outcomes That Confirm a Successful Pilot</w:t>
            </w:r>
          </w:p>
          <w:p>
            <w:pPr>
              <w:spacing w:after="200" w:before="80" w:line="300"/>
            </w:pPr>
            <w:r>
              <w:rPr>
                <w:rFonts w:ascii="Arial" w:cs="Arial" w:eastAsia="Arial" w:hAnsi="Arial"/>
                <w:color w:val="1A1A2E"/>
                <w:sz w:val="26"/>
                <w:szCs w:val="26"/>
              </w:rPr>
              <w:t xml:space="preserve">1.  At least one Level 2 anomaly detection not visible in conventional reporting.</w:t>
            </w:r>
          </w:p>
          <w:p>
            <w:pPr>
              <w:spacing w:after="200" w:before="80" w:line="300"/>
            </w:pPr>
            <w:r>
              <w:rPr>
                <w:rFonts w:ascii="Arial" w:cs="Arial" w:eastAsia="Arial" w:hAnsi="Arial"/>
                <w:color w:val="1A1A2E"/>
                <w:sz w:val="26"/>
                <w:szCs w:val="26"/>
              </w:rPr>
              <w:t xml:space="preserve">2.  At least one Level 3 cross-function correlation treated as a single diagnostic.</w:t>
            </w:r>
          </w:p>
          <w:p>
            <w:pPr>
              <w:spacing w:after="200" w:before="80" w:line="300"/>
            </w:pPr>
            <w:r>
              <w:rPr>
                <w:rFonts w:ascii="Arial" w:cs="Arial" w:eastAsia="Arial" w:hAnsi="Arial"/>
                <w:color w:val="1A1A2E"/>
                <w:sz w:val="26"/>
                <w:szCs w:val="26"/>
              </w:rPr>
              <w:t xml:space="preserve">3.  At least one Learning Register entry producing a verified process amendment.</w:t>
            </w:r>
          </w:p>
        </w:tc>
      </w:tr>
    </w:tbl>
    <w:p>
      <w:r>
        <w:br w:type="page"/>
      </w:r>
    </w:p>
    <w:p>
      <w:pPr>
        <w:pStyle w:val="Heading1"/>
      </w:pPr>
      <w:r>
        <w:rPr>
          <w:rFonts w:ascii="Arial" w:cs="Arial" w:eastAsia="Arial" w:hAnsi="Arial"/>
        </w:rPr>
        <w:t xml:space="preserve">What VITAL Is — And What It Is Not</w:t>
      </w:r>
    </w:p>
    <w:p>
      <w:pPr>
        <w:spacing w:before="80" w:after="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CCCCCC" w:sz="1"/>
              <w:left w:val="single" w:color="CCCCCC" w:sz="1"/>
              <w:bottom w:val="single" w:color="CCCCCC" w:sz="1"/>
              <w:right w:val="single" w:color="CCCCCC" w:sz="1"/>
            </w:tcBorders>
            <w:shd w:fill="2E7D32" w:val="clear"/>
            <w:tcMar>
              <w:top w:type="dxa" w:w="100"/>
              <w:left w:type="dxa" w:w="150"/>
              <w:bottom w:type="dxa" w:w="100"/>
              <w:right w:type="dxa" w:w="150"/>
            </w:tcMar>
          </w:tcPr>
          <w:p>
            <w:pPr>
              <w:spacing w:after="0" w:line="300"/>
            </w:pPr>
            <w:r>
              <w:rPr>
                <w:rFonts w:ascii="Arial" w:cs="Arial" w:eastAsia="Arial" w:hAnsi="Arial"/>
                <w:b/>
                <w:bCs/>
                <w:color w:val="FFFFFF"/>
                <w:sz w:val="24"/>
                <w:szCs w:val="24"/>
              </w:rPr>
              <w:t xml:space="preserve">VITAL IS</w:t>
            </w:r>
          </w:p>
        </w:tc>
        <w:tc>
          <w:tcPr>
            <w:tcW w:type="dxa" w:w="4819"/>
            <w:tcBorders>
              <w:top w:val="single" w:color="CCCCCC" w:sz="1"/>
              <w:left w:val="single" w:color="CCCCCC" w:sz="1"/>
              <w:bottom w:val="single" w:color="CCCCCC" w:sz="1"/>
              <w:right w:val="single" w:color="CCCCCC" w:sz="1"/>
            </w:tcBorders>
            <w:shd w:fill="C62828" w:val="clear"/>
            <w:tcMar>
              <w:top w:type="dxa" w:w="100"/>
              <w:left w:type="dxa" w:w="150"/>
              <w:bottom w:type="dxa" w:w="100"/>
              <w:right w:type="dxa" w:w="150"/>
            </w:tcMar>
          </w:tcPr>
          <w:p>
            <w:pPr>
              <w:spacing w:after="0" w:line="300"/>
            </w:pPr>
            <w:r>
              <w:rPr>
                <w:rFonts w:ascii="Arial" w:cs="Arial" w:eastAsia="Arial" w:hAnsi="Arial"/>
                <w:b/>
                <w:bCs/>
                <w:color w:val="FFFFFF"/>
                <w:sz w:val="24"/>
                <w:szCs w:val="24"/>
              </w:rPr>
              <w:t xml:space="preserve">VITAL IS NOT</w:t>
            </w:r>
          </w:p>
        </w:tc>
      </w:tr>
      <w:tr>
        <w:tc>
          <w:tcPr>
            <w:tcW w:type="dxa" w:w="4819"/>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spacing w:after="60" w:line="276"/>
            </w:pPr>
            <w:r>
              <w:rPr>
                <w:rFonts w:ascii="Arial" w:cs="Arial" w:eastAsia="Arial" w:hAnsi="Arial"/>
                <w:b/>
                <w:bCs/>
                <w:color w:val="1A1A2E"/>
                <w:sz w:val="26"/>
                <w:szCs w:val="26"/>
              </w:rPr>
              <w:t xml:space="preserve">A continuous, real-time health monitoring system</w:t>
            </w:r>
            <w:r>
              <w:rPr>
                <w:rFonts w:ascii="Arial" w:cs="Arial" w:eastAsia="Arial" w:hAnsi="Arial"/>
                <w:color w:val="1A1A2E"/>
                <w:sz w:val="26"/>
                <w:szCs w:val="26"/>
              </w:rPr>
              <w:t xml:space="preserve"> across 22 functions in four tiers</w:t>
            </w:r>
          </w:p>
        </w:tc>
        <w:tc>
          <w:tcPr>
            <w:tcW w:type="dxa" w:w="4819"/>
            <w:tcBorders>
              <w:top w:val="single" w:color="CCCCCC" w:sz="1"/>
              <w:left w:val="single" w:color="CCCCCC" w:sz="1"/>
              <w:bottom w:val="single" w:color="CCCCCC" w:sz="1"/>
              <w:right w:val="single" w:color="CCCCCC" w:sz="1"/>
            </w:tcBorders>
            <w:shd w:fill="FDE8E8" w:val="clear"/>
            <w:tcMar>
              <w:top w:type="dxa" w:w="100"/>
              <w:left w:type="dxa" w:w="150"/>
              <w:bottom w:type="dxa" w:w="100"/>
              <w:right w:type="dxa" w:w="150"/>
            </w:tcMar>
          </w:tcPr>
          <w:p>
            <w:pPr>
              <w:spacing w:after="60" w:line="276"/>
            </w:pPr>
            <w:r>
              <w:rPr>
                <w:rFonts w:ascii="Arial" w:cs="Arial" w:eastAsia="Arial" w:hAnsi="Arial"/>
                <w:color w:val="1A1A2E"/>
                <w:sz w:val="24"/>
                <w:szCs w:val="24"/>
              </w:rPr>
              <w:t xml:space="preserve">A replacement for existing management information systems</w:t>
            </w:r>
          </w:p>
        </w:tc>
      </w:tr>
      <w:tr>
        <w:tc>
          <w:tcPr>
            <w:tcW w:type="dxa" w:w="4819"/>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60" w:line="276"/>
            </w:pPr>
            <w:r>
              <w:rPr>
                <w:rFonts w:ascii="Arial" w:cs="Arial" w:eastAsia="Arial" w:hAnsi="Arial"/>
                <w:b/>
                <w:bCs/>
                <w:color w:val="1A1A2E"/>
                <w:sz w:val="26"/>
                <w:szCs w:val="26"/>
              </w:rPr>
              <w:t xml:space="preserve">An early warning system</w:t>
            </w:r>
            <w:r>
              <w:rPr>
                <w:rFonts w:ascii="Arial" w:cs="Arial" w:eastAsia="Arial" w:hAnsi="Arial"/>
                <w:color w:val="1A1A2E"/>
                <w:sz w:val="26"/>
                <w:szCs w:val="26"/>
              </w:rPr>
              <w:t xml:space="preserve"> — detecting distress 30–60 days before conventional dashboards</w:t>
            </w:r>
          </w:p>
        </w:tc>
        <w:tc>
          <w:tcPr>
            <w:tcW w:type="dxa" w:w="4819"/>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60" w:line="276"/>
            </w:pPr>
            <w:r>
              <w:rPr>
                <w:rFonts w:ascii="Arial" w:cs="Arial" w:eastAsia="Arial" w:hAnsi="Arial"/>
                <w:color w:val="1A1A2E"/>
                <w:sz w:val="24"/>
                <w:szCs w:val="24"/>
              </w:rPr>
              <w:t xml:space="preserve">A reporting or compliance system</w:t>
            </w:r>
          </w:p>
        </w:tc>
      </w:tr>
      <w:tr>
        <w:tc>
          <w:tcPr>
            <w:tcW w:type="dxa" w:w="4819"/>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spacing w:after="60" w:line="276"/>
            </w:pPr>
            <w:r>
              <w:rPr>
                <w:rFonts w:ascii="Arial" w:cs="Arial" w:eastAsia="Arial" w:hAnsi="Arial"/>
                <w:b/>
                <w:bCs/>
                <w:color w:val="1A1A2E"/>
                <w:sz w:val="26"/>
                <w:szCs w:val="26"/>
              </w:rPr>
              <w:t xml:space="preserve">An integrated correlation intelligence layer</w:t>
            </w:r>
            <w:r>
              <w:rPr>
                <w:rFonts w:ascii="Arial" w:cs="Arial" w:eastAsia="Arial" w:hAnsi="Arial"/>
                <w:color w:val="1A1A2E"/>
                <w:sz w:val="26"/>
                <w:szCs w:val="26"/>
              </w:rPr>
              <w:t xml:space="preserve"> above existing tools</w:t>
            </w:r>
          </w:p>
        </w:tc>
        <w:tc>
          <w:tcPr>
            <w:tcW w:type="dxa" w:w="4819"/>
            <w:tcBorders>
              <w:top w:val="single" w:color="CCCCCC" w:sz="1"/>
              <w:left w:val="single" w:color="CCCCCC" w:sz="1"/>
              <w:bottom w:val="single" w:color="CCCCCC" w:sz="1"/>
              <w:right w:val="single" w:color="CCCCCC" w:sz="1"/>
            </w:tcBorders>
            <w:shd w:fill="FDE8E8" w:val="clear"/>
            <w:tcMar>
              <w:top w:type="dxa" w:w="100"/>
              <w:left w:type="dxa" w:w="150"/>
              <w:bottom w:type="dxa" w:w="100"/>
              <w:right w:type="dxa" w:w="150"/>
            </w:tcMar>
          </w:tcPr>
          <w:p>
            <w:pPr>
              <w:spacing w:after="60" w:line="276"/>
            </w:pPr>
            <w:r>
              <w:rPr>
                <w:rFonts w:ascii="Arial" w:cs="Arial" w:eastAsia="Arial" w:hAnsi="Arial"/>
                <w:color w:val="1A1A2E"/>
                <w:sz w:val="24"/>
                <w:szCs w:val="24"/>
              </w:rPr>
              <w:t xml:space="preserve">A technology product requiring new operational infrastructure</w:t>
            </w:r>
          </w:p>
        </w:tc>
      </w:tr>
      <w:tr>
        <w:tc>
          <w:tcPr>
            <w:tcW w:type="dxa" w:w="4819"/>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60" w:line="276"/>
            </w:pPr>
            <w:r>
              <w:rPr>
                <w:rFonts w:ascii="Arial" w:cs="Arial" w:eastAsia="Arial" w:hAnsi="Arial"/>
                <w:b/>
                <w:bCs/>
                <w:color w:val="1A1A2E"/>
                <w:sz w:val="26"/>
                <w:szCs w:val="26"/>
              </w:rPr>
              <w:t xml:space="preserve">A learning system</w:t>
            </w:r>
            <w:r>
              <w:rPr>
                <w:rFonts w:ascii="Arial" w:cs="Arial" w:eastAsia="Arial" w:hAnsi="Arial"/>
                <w:color w:val="1A1A2E"/>
                <w:sz w:val="26"/>
                <w:szCs w:val="26"/>
              </w:rPr>
              <w:t xml:space="preserve"> converting every alert into permanent process improvement</w:t>
            </w:r>
          </w:p>
        </w:tc>
        <w:tc>
          <w:tcPr>
            <w:tcW w:type="dxa" w:w="4819"/>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60" w:line="276"/>
            </w:pPr>
            <w:r>
              <w:rPr>
                <w:rFonts w:ascii="Arial" w:cs="Arial" w:eastAsia="Arial" w:hAnsi="Arial"/>
                <w:color w:val="1A1A2E"/>
                <w:sz w:val="24"/>
                <w:szCs w:val="24"/>
              </w:rPr>
              <w:t xml:space="preserve">A performance management or appraisal tool</w:t>
            </w:r>
          </w:p>
        </w:tc>
      </w:tr>
      <w:tr>
        <w:tc>
          <w:tcPr>
            <w:tcW w:type="dxa" w:w="4819"/>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spacing w:after="60" w:line="276"/>
            </w:pPr>
            <w:r>
              <w:rPr>
                <w:rFonts w:ascii="Arial" w:cs="Arial" w:eastAsia="Arial" w:hAnsi="Arial"/>
                <w:b/>
                <w:bCs/>
                <w:color w:val="1A1A2E"/>
                <w:sz w:val="26"/>
                <w:szCs w:val="26"/>
              </w:rPr>
              <w:t xml:space="preserve">A universal framework</w:t>
            </w:r>
            <w:r>
              <w:rPr>
                <w:rFonts w:ascii="Arial" w:cs="Arial" w:eastAsia="Arial" w:hAnsi="Arial"/>
                <w:color w:val="1A1A2E"/>
                <w:sz w:val="26"/>
                <w:szCs w:val="26"/>
              </w:rPr>
              <w:t xml:space="preserve"> applicable across all sectors, calibrated by domain</w:t>
            </w:r>
          </w:p>
        </w:tc>
        <w:tc>
          <w:tcPr>
            <w:tcW w:type="dxa" w:w="4819"/>
            <w:tcBorders>
              <w:top w:val="single" w:color="CCCCCC" w:sz="1"/>
              <w:left w:val="single" w:color="CCCCCC" w:sz="1"/>
              <w:bottom w:val="single" w:color="CCCCCC" w:sz="1"/>
              <w:right w:val="single" w:color="CCCCCC" w:sz="1"/>
            </w:tcBorders>
            <w:shd w:fill="FDE8E8" w:val="clear"/>
            <w:tcMar>
              <w:top w:type="dxa" w:w="100"/>
              <w:left w:type="dxa" w:w="150"/>
              <w:bottom w:type="dxa" w:w="100"/>
              <w:right w:type="dxa" w:w="150"/>
            </w:tcMar>
          </w:tcPr>
          <w:p>
            <w:pPr>
              <w:spacing w:after="60" w:line="276"/>
            </w:pPr>
            <w:r>
              <w:rPr>
                <w:rFonts w:ascii="Arial" w:cs="Arial" w:eastAsia="Arial" w:hAnsi="Arial"/>
                <w:color w:val="1A1A2E"/>
                <w:sz w:val="24"/>
                <w:szCs w:val="24"/>
              </w:rPr>
              <w:t xml:space="preserve">A sector-specific solution</w:t>
            </w:r>
          </w:p>
        </w:tc>
      </w:tr>
      <w:tr>
        <w:tc>
          <w:tcPr>
            <w:tcW w:type="dxa" w:w="4819"/>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60" w:line="276"/>
            </w:pPr>
            <w:r>
              <w:rPr>
                <w:rFonts w:ascii="Arial" w:cs="Arial" w:eastAsia="Arial" w:hAnsi="Arial"/>
                <w:b/>
                <w:bCs/>
                <w:color w:val="1A1A2E"/>
                <w:sz w:val="26"/>
                <w:szCs w:val="26"/>
              </w:rPr>
              <w:t xml:space="preserve">A human sensing system</w:t>
            </w:r>
            <w:r>
              <w:rPr>
                <w:rFonts w:ascii="Arial" w:cs="Arial" w:eastAsia="Arial" w:hAnsi="Arial"/>
                <w:color w:val="1A1A2E"/>
                <w:sz w:val="26"/>
                <w:szCs w:val="26"/>
              </w:rPr>
              <w:t xml:space="preserve"> with five delivery contexts matched to the moment of experience</w:t>
            </w:r>
          </w:p>
        </w:tc>
        <w:tc>
          <w:tcPr>
            <w:tcW w:type="dxa" w:w="4819"/>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60" w:line="276"/>
            </w:pPr>
            <w:r>
              <w:rPr>
                <w:rFonts w:ascii="Arial" w:cs="Arial" w:eastAsia="Arial" w:hAnsi="Arial"/>
                <w:color w:val="1A1A2E"/>
                <w:sz w:val="24"/>
                <w:szCs w:val="24"/>
              </w:rPr>
              <w:t xml:space="preserve">A periodic survey disconnected from the work context being sensed</w:t>
            </w:r>
          </w:p>
        </w:tc>
      </w:tr>
      <w:tr>
        <w:tc>
          <w:tcPr>
            <w:tcW w:type="dxa" w:w="4819"/>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spacing w:after="60" w:line="276"/>
            </w:pPr>
            <w:r>
              <w:rPr>
                <w:rFonts w:ascii="Arial" w:cs="Arial" w:eastAsia="Arial" w:hAnsi="Arial"/>
                <w:b/>
                <w:bCs/>
                <w:color w:val="1A1A2E"/>
                <w:sz w:val="26"/>
                <w:szCs w:val="26"/>
              </w:rPr>
              <w:t xml:space="preserve">A research platform</w:t>
            </w:r>
            <w:r>
              <w:rPr>
                <w:rFonts w:ascii="Arial" w:cs="Arial" w:eastAsia="Arial" w:hAnsi="Arial"/>
                <w:color w:val="1A1A2E"/>
                <w:sz w:val="26"/>
                <w:szCs w:val="26"/>
              </w:rPr>
              <w:t xml:space="preserve"> generating empirical data on signal propagation and correlation timing</w:t>
            </w:r>
          </w:p>
        </w:tc>
        <w:tc>
          <w:tcPr>
            <w:tcW w:type="dxa" w:w="4819"/>
            <w:tcBorders>
              <w:top w:val="single" w:color="CCCCCC" w:sz="1"/>
              <w:left w:val="single" w:color="CCCCCC" w:sz="1"/>
              <w:bottom w:val="single" w:color="CCCCCC" w:sz="1"/>
              <w:right w:val="single" w:color="CCCCCC" w:sz="1"/>
            </w:tcBorders>
            <w:shd w:fill="FDE8E8" w:val="clear"/>
            <w:tcMar>
              <w:top w:type="dxa" w:w="100"/>
              <w:left w:type="dxa" w:w="150"/>
              <w:bottom w:type="dxa" w:w="100"/>
              <w:right w:type="dxa" w:w="150"/>
            </w:tcMar>
          </w:tcPr>
          <w:p>
            <w:pPr>
              <w:spacing w:after="60" w:line="276"/>
            </w:pPr>
            <w:r>
              <w:rPr>
                <w:rFonts w:ascii="Arial" w:cs="Arial" w:eastAsia="Arial" w:hAnsi="Arial"/>
                <w:color w:val="1A1A2E"/>
                <w:sz w:val="24"/>
                <w:szCs w:val="24"/>
              </w:rPr>
              <w:t xml:space="preserve">A finished product — VITAL evolves with each deployment</w:t>
            </w:r>
          </w:p>
        </w:tc>
      </w:tr>
    </w:tbl>
    <w:p>
      <w:pPr>
        <w:spacing w:before="200" w:after="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3864" w:sz="2"/>
              <w:left w:val="single" w:color="1F3864" w:sz="6"/>
              <w:bottom w:val="single" w:color="1F3864" w:sz="2"/>
              <w:right w:val="single" w:color="1F3864" w:sz="2"/>
            </w:tcBorders>
            <w:shd w:fill="E8F5E9" w:val="clear"/>
            <w:tcMar>
              <w:top w:type="dxa" w:w="120"/>
              <w:left w:type="dxa" w:w="180"/>
              <w:bottom w:type="dxa" w:w="120"/>
              <w:right w:type="dxa" w:w="180"/>
            </w:tcMar>
          </w:tcPr>
          <w:p>
            <w:pPr>
              <w:spacing w:after="200" w:before="80" w:line="300"/>
            </w:pPr>
            <w:r>
              <w:rPr>
                <w:rFonts w:ascii="Arial" w:cs="Arial" w:eastAsia="Arial" w:hAnsi="Arial"/>
                <w:b/>
                <w:bCs/>
                <w:color w:val="1F3864"/>
                <w:sz w:val="28"/>
                <w:szCs w:val="28"/>
              </w:rPr>
              <w:t xml:space="preserve">The Organisation That Implements VITAL Fully</w:t>
            </w:r>
          </w:p>
          <w:p>
            <w:pPr>
              <w:spacing w:after="200" w:before="80" w:line="300"/>
            </w:pPr>
            <w:r>
              <w:rPr>
                <w:rFonts w:ascii="Arial" w:cs="Arial" w:eastAsia="Arial" w:hAnsi="Arial"/>
                <w:color w:val="1A1A2E"/>
                <w:sz w:val="26"/>
                <w:szCs w:val="26"/>
              </w:rPr>
              <w:t xml:space="preserve">Will detect financial stress before it reaches the balance sheet.</w:t>
            </w:r>
          </w:p>
          <w:p>
            <w:pPr>
              <w:spacing w:after="200" w:before="80" w:line="300"/>
            </w:pPr>
            <w:r>
              <w:rPr>
                <w:rFonts w:ascii="Arial" w:cs="Arial" w:eastAsia="Arial" w:hAnsi="Arial"/>
                <w:color w:val="1A1A2E"/>
                <w:sz w:val="26"/>
                <w:szCs w:val="26"/>
              </w:rPr>
              <w:t xml:space="preserve">Will detect culture toxicity before it drives attrition.</w:t>
            </w:r>
          </w:p>
          <w:p>
            <w:pPr>
              <w:spacing w:after="200" w:before="80" w:line="300"/>
            </w:pPr>
            <w:r>
              <w:rPr>
                <w:rFonts w:ascii="Arial" w:cs="Arial" w:eastAsia="Arial" w:hAnsi="Arial"/>
                <w:color w:val="1A1A2E"/>
                <w:sz w:val="26"/>
                <w:szCs w:val="26"/>
              </w:rPr>
              <w:t xml:space="preserve">Will detect process failures before they produce result failures.</w:t>
            </w:r>
          </w:p>
          <w:p>
            <w:pPr>
              <w:spacing w:after="200" w:before="80" w:line="300"/>
            </w:pPr>
            <w:r>
              <w:rPr>
                <w:rFonts w:ascii="Arial" w:cs="Arial" w:eastAsia="Arial" w:hAnsi="Arial"/>
                <w:color w:val="1A1A2E"/>
                <w:sz w:val="26"/>
                <w:szCs w:val="26"/>
              </w:rPr>
              <w:t xml:space="preserve">Will detect strategic misalignment before it produces operational contradiction.</w:t>
            </w:r>
          </w:p>
          <w:p>
            <w:pPr>
              <w:spacing w:after="200" w:before="80" w:line="300"/>
            </w:pPr>
            <w:r>
              <w:rPr>
                <w:rFonts w:ascii="Arial" w:cs="Arial" w:eastAsia="Arial" w:hAnsi="Arial"/>
                <w:color w:val="1A1A2E"/>
                <w:sz w:val="26"/>
                <w:szCs w:val="26"/>
              </w:rPr>
              <w:t xml:space="preserve">Will detect relationship deterioration before it produces revenue loss.</w:t>
            </w:r>
          </w:p>
          <w:p>
            <w:pPr>
              <w:spacing w:after="200" w:before="80" w:line="300"/>
            </w:pPr>
            <w:r>
              <w:rPr>
                <w:rFonts w:ascii="Arial" w:cs="Arial" w:eastAsia="Arial" w:hAnsi="Arial"/>
                <w:color w:val="1A1A2E"/>
                <w:sz w:val="26"/>
                <w:szCs w:val="26"/>
              </w:rPr>
              <w:t xml:space="preserve">Will detect brand and knowledge erosion before Critical Function symptoms appear.</w:t>
            </w:r>
          </w:p>
          <w:p>
            <w:pPr>
              <w:spacing w:after="200" w:before="80" w:line="300"/>
            </w:pPr>
            <w:r>
              <w:rPr>
                <w:rFonts w:ascii="Arial" w:cs="Arial" w:eastAsia="Arial" w:hAnsi="Arial"/>
                <w:color w:val="1A1A2E"/>
                <w:sz w:val="26"/>
                <w:szCs w:val="26"/>
              </w:rPr>
              <w:t xml:space="preserve">Will detect resilience depletion before the next stress event arrives without adequate recovery capacity.</w:t>
            </w:r>
          </w:p>
          <w:p>
            <w:pPr>
              <w:spacing w:after="200" w:before="80" w:line="300"/>
            </w:pPr>
            <w:r>
              <w:rPr>
                <w:rFonts w:ascii="Arial" w:cs="Arial" w:eastAsia="Arial" w:hAnsi="Arial"/>
                <w:color w:val="1A1A2E"/>
                <w:sz w:val="26"/>
                <w:szCs w:val="26"/>
              </w:rPr>
              <w:t xml:space="preserve">Will learn from every alert — encoding that learning into permanent institutional memory.</w:t>
            </w:r>
          </w:p>
          <w:p>
            <w:pPr>
              <w:spacing w:after="200" w:before="80" w:line="300"/>
            </w:pPr>
            <w:r>
              <w:rPr>
                <w:rFonts w:ascii="Arial" w:cs="Arial" w:eastAsia="Arial" w:hAnsi="Arial"/>
                <w:color w:val="1A1A2E"/>
                <w:sz w:val="26"/>
                <w:szCs w:val="26"/>
              </w:rPr>
              <w:t xml:space="preserve">Will know when its own sensing layer is unreliable — and maintain integrity through the human channel while the AI layer is restored.</w:t>
            </w:r>
          </w:p>
          <w:p>
            <w:pPr>
              <w:spacing w:before="80" w:after="0"/>
            </w:pPr>
          </w:p>
          <w:p>
            <w:pPr>
              <w:spacing w:after="200" w:before="80" w:line="300"/>
            </w:pPr>
            <w:r>
              <w:rPr>
                <w:rFonts w:ascii="Arial" w:cs="Arial" w:eastAsia="Arial" w:hAnsi="Arial"/>
                <w:i/>
                <w:iCs/>
                <w:color w:val="1A1A2E"/>
                <w:sz w:val="26"/>
                <w:szCs w:val="26"/>
              </w:rPr>
              <w:t xml:space="preserve">An organisation does not collapse suddenly. It weakens through correlated drifts, hidden signals, suppressed disclosures, and unaddressed process failures — each invisible to the tool watching only its own function, collectively forming the pattern that VITAL is designed to see.</w:t>
            </w:r>
          </w:p>
        </w:tc>
      </w:tr>
    </w:tbl>
    <w:p>
      <w:pPr>
        <w:spacing w:before="300" w:after="0"/>
      </w:pPr>
    </w:p>
    <w:p>
      <w:pPr>
        <w:pBdr>
          <w:top w:val="single" w:color="1F3864" w:sz="4" w:space="1"/>
        </w:pBdr>
        <w:spacing w:after="0"/>
      </w:pPr>
    </w:p>
    <w:p>
      <w:pPr>
        <w:spacing w:before="80" w:after="0"/>
      </w:pPr>
    </w:p>
    <w:p>
      <w:pPr>
        <w:spacing w:after="60"/>
      </w:pPr>
      <w:r>
        <w:rPr>
          <w:rFonts w:ascii="Arial" w:cs="Arial" w:eastAsia="Arial" w:hAnsi="Arial"/>
          <w:color w:val="888888"/>
          <w:sz w:val="20"/>
          <w:szCs w:val="20"/>
        </w:rPr>
        <w:t xml:space="preserve">PROJECT VITAL  |  Technical and Strategic Overview  |  Pre-Final V3  |  March 2026</w:t>
      </w:r>
    </w:p>
    <w:p>
      <w:pPr>
        <w:spacing w:after="60"/>
      </w:pPr>
      <w:r>
        <w:rPr>
          <w:rFonts w:ascii="Arial" w:cs="Arial" w:eastAsia="Arial" w:hAnsi="Arial"/>
          <w:color w:val="888888"/>
          <w:sz w:val="20"/>
          <w:szCs w:val="20"/>
        </w:rPr>
        <w:t xml:space="preserve">Developed by Rakesh Chandra Goyal, in collaboration with Claude (Anthropic) as AI research and documentation partner</w:t>
      </w:r>
    </w:p>
    <w:p>
      <w:pPr>
        <w:spacing w:after="0"/>
      </w:pPr>
      <w:r>
        <w:rPr>
          <w:rFonts w:ascii="Arial" w:cs="Arial" w:eastAsia="Arial" w:hAnsi="Arial"/>
          <w:b/>
          <w:bCs/>
          <w:color w:val="888888"/>
          <w:sz w:val="20"/>
          <w:szCs w:val="20"/>
        </w:rPr>
        <w:t xml:space="preserve">Confidential — For Review and Research Use</w:t>
      </w:r>
    </w:p>
    <w:sectPr>
      <w:headerReference w:type="default" r:id="rId6"/>
      <w:footerReference w:type="default" r:id="rId7"/>
      <w:pgSz w:w="11906" w:h="16838" w:orient="portrait"/>
      <w:pgMar w:top="1200" w:right="1134" w:bottom="11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3" w:space="1"/>
      </w:pBdr>
      <w:spacing w:before="0"/>
    </w:pPr>
    <w:r>
      <w:rPr>
        <w:rFonts w:ascii="Arial" w:cs="Arial" w:eastAsia="Arial" w:hAnsi="Arial"/>
        <w:color w:val="999999"/>
        <w:sz w:val="16"/>
        <w:szCs w:val="16"/>
      </w:rPr>
      <w:t xml:space="preserve">Developed by Rakesh Chandra Goyal, in collaboration with Claude (Anthropic) as AI research and documentation partner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1"/>
      </w:pBdr>
      <w:tabs>
        <w:tab w:val="right" w:pos="9026"/>
      </w:tabs>
      <w:spacing w:after="0"/>
    </w:pPr>
    <w:r>
      <w:rPr>
        <w:rFonts w:ascii="Arial" w:cs="Arial" w:eastAsia="Arial" w:hAnsi="Arial"/>
        <w:b/>
        <w:bCs/>
        <w:color w:val="1F3864"/>
        <w:sz w:val="18"/>
        <w:szCs w:val="18"/>
      </w:rPr>
      <w:t xml:space="preserve">PROJECT VITAL</w:t>
    </w:r>
    <w:r>
      <w:rPr>
        <w:rFonts w:ascii="Arial" w:cs="Arial" w:eastAsia="Arial" w:hAnsi="Arial"/>
      </w:rPr>
      <w:t xml:space="preserve">	</w:t>
    </w:r>
    <w:r>
      <w:rPr>
        <w:rFonts w:ascii="Arial" w:cs="Arial" w:eastAsia="Arial" w:hAnsi="Arial"/>
        <w:color w:val="888888"/>
        <w:sz w:val="18"/>
        <w:szCs w:val="18"/>
      </w:rPr>
      <w:t xml:space="preserve">Technical and Strategic Overview  |  Pre-Final V3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40" w:line="300"/>
      <w:outlineLvl w:val="0"/>
    </w:pPr>
    <w:rPr>
      <w:rFonts w:ascii="Arial" w:cs="Arial" w:eastAsia="Arial" w:hAnsi="Arial"/>
      <w:b/>
      <w:bCs/>
      <w:color w:val="1F3864"/>
      <w:sz w:val="36"/>
      <w:szCs w:val="36"/>
    </w:rPr>
  </w:style>
  <w:style w:type="paragraph" w:styleId="Heading2">
    <w:name w:val="Heading 2"/>
    <w:basedOn w:val="Normal"/>
    <w:next w:val="Normal"/>
    <w:qFormat/>
    <w:pPr>
      <w:spacing w:before="300" w:after="180" w:line="300"/>
      <w:outlineLvl w:val="1"/>
    </w:pPr>
    <w:rPr>
      <w:rFonts w:ascii="Arial" w:cs="Arial" w:eastAsia="Arial" w:hAnsi="Arial"/>
      <w:b/>
      <w:bCs/>
      <w:color w:val="2E5090"/>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2026-03-31T13:13:01.243Z</dcterms:created>
  <dcterms:modified xsi:type="dcterms:W3CDTF">2026-03-31T13:13:01.244Z</dcterms:modified>
</cp:coreProperties>
</file>

<file path=docProps/custom.xml><?xml version="1.0" encoding="utf-8"?>
<Properties xmlns="http://schemas.openxmlformats.org/officeDocument/2006/custom-properties" xmlns:vt="http://schemas.openxmlformats.org/officeDocument/2006/docPropsVTypes"/>
</file>