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 w:line="340"/>
      </w:pPr>
      <w:r>
        <w:rPr>
          <w:rFonts w:ascii="Arial" w:cs="Arial" w:eastAsia="Arial" w:hAnsi="Arial"/>
          <w:b w:val="false"/>
          <w:bCs w:val="false"/>
          <w:i/>
          <w:iCs/>
          <w:color w:val="888888"/>
          <w:sz w:val="20"/>
          <w:szCs w:val="20"/>
        </w:rPr>
        <w:t xml:space="preserve">PROJECT VITAL  |  CEO's Brief  |  Version 5  |  April 2026</w:t>
      </w:r>
    </w:p>
    <w:p>
      <w:pPr>
        <w:spacing w:after="60" w:before="0"/>
        <w:jc w:val="center"/>
      </w:pPr>
      <w:r>
        <w:rPr>
          <w:rFonts w:ascii="Arial" w:cs="Arial" w:eastAsia="Arial" w:hAnsi="Arial"/>
          <w:b/>
          <w:bCs/>
          <w:color w:val="1F4E79"/>
          <w:sz w:val="36"/>
          <w:szCs w:val="36"/>
        </w:rPr>
        <w:t xml:space="preserve">PROJECT VITAL</w:t>
      </w:r>
    </w:p>
    <w:p>
      <w:pPr>
        <w:spacing w:after="60" w:before="0"/>
        <w:jc w:val="center"/>
      </w:pPr>
      <w:r>
        <w:rPr>
          <w:rFonts w:ascii="Arial" w:cs="Arial" w:eastAsia="Arial" w:hAnsi="Arial"/>
          <w:i/>
          <w:iCs/>
          <w:color w:val="555555"/>
          <w:sz w:val="24"/>
          <w:szCs w:val="24"/>
        </w:rPr>
        <w:t xml:space="preserve">Vital Insights for Thriving Agile Leadership</w:t>
      </w:r>
    </w:p>
    <w:p>
      <w:pPr>
        <w:spacing w:after="60" w:before="0"/>
        <w:jc w:val="center"/>
      </w:pPr>
      <w:r>
        <w:rPr>
          <w:rFonts w:ascii="Arial" w:cs="Arial" w:eastAsia="Arial" w:hAnsi="Arial"/>
          <w:b/>
          <w:bCs/>
          <w:color w:val="1F4E79"/>
          <w:sz w:val="32"/>
          <w:szCs w:val="32"/>
        </w:rPr>
        <w:t xml:space="preserve">CEO'S BRIEF</w:t>
      </w:r>
    </w:p>
    <w:p>
      <w:pPr>
        <w:spacing w:after="60" w:before="0"/>
        <w:jc w:val="center"/>
      </w:pPr>
      <w:r>
        <w:rPr>
          <w:rFonts w:ascii="Arial" w:cs="Arial" w:eastAsia="Arial" w:hAnsi="Arial"/>
          <w:color w:val="555555"/>
          <w:sz w:val="26"/>
          <w:szCs w:val="26"/>
        </w:rPr>
        <w:t xml:space="preserve">Continuous Organisational Health Monitoring</w:t>
      </w:r>
    </w:p>
    <w:p>
      <w:pPr>
        <w:spacing w:after="200" w:before="0"/>
        <w:jc w:val="center"/>
      </w:pPr>
      <w:r>
        <w:rPr>
          <w:rFonts w:ascii="Arial" w:cs="Arial" w:eastAsia="Arial" w:hAnsi="Arial"/>
          <w:i/>
          <w:iCs/>
          <w:color w:val="888888"/>
          <w:sz w:val="22"/>
          <w:szCs w:val="22"/>
        </w:rPr>
        <w:t xml:space="preserve">Version 5  |  April 2026  |  For CEO Review</w:t>
      </w:r>
    </w:p>
    <w:p>
      <w:pPr>
        <w:spacing w:after="160" w:before="320"/>
      </w:pPr>
      <w:r>
        <w:rPr>
          <w:rFonts w:ascii="Arial" w:cs="Arial" w:eastAsia="Arial" w:hAnsi="Arial"/>
          <w:b/>
          <w:bCs/>
          <w:color w:val="1F4E79"/>
          <w:sz w:val="30"/>
          <w:szCs w:val="30"/>
        </w:rPr>
        <w:t xml:space="preserve">I.  The Moment Every CEO Has Experienced</w:t>
      </w:r>
    </w:p>
    <w:p>
      <w:pPr>
        <w:spacing w:after="140" w:before="140" w:line="340"/>
      </w:pPr>
      <w:r>
        <w:rPr>
          <w:rFonts w:ascii="Arial" w:cs="Arial" w:eastAsia="Arial" w:hAnsi="Arial"/>
          <w:b w:val="false"/>
          <w:bCs w:val="false"/>
          <w:i w:val="false"/>
          <w:iCs w:val="false"/>
          <w:color w:val="1F2937"/>
          <w:sz w:val="26"/>
          <w:szCs w:val="26"/>
        </w:rPr>
        <w:t xml:space="preserve">The quarterly review produces a surprise. A project reported as Green is suddenly in crisis. A key person has resigned and it emerges that three others are thinking about it. A customer relationship that appeared stable has quietly deteriorated. The cash position is tighter than the monthly report showed.</w:t>
      </w:r>
    </w:p>
    <w:p>
      <w:pPr>
        <w:spacing w:after="140" w:before="140" w:line="340"/>
      </w:pPr>
      <w:r>
        <w:rPr>
          <w:rFonts w:ascii="Arial" w:cs="Arial" w:eastAsia="Arial" w:hAnsi="Arial"/>
          <w:b w:val="false"/>
          <w:bCs w:val="false"/>
          <w:i w:val="false"/>
          <w:iCs w:val="false"/>
          <w:color w:val="1F2937"/>
          <w:sz w:val="26"/>
          <w:szCs w:val="26"/>
        </w:rPr>
        <w:t xml:space="preserve">None of these were sudden. Each had been forming for weeks or months. The signals were present in the data the organisation already collects. But no one was looking at all the signals together. Each function was watching its own.</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2937"/>
                <w:sz w:val="28"/>
                <w:szCs w:val="28"/>
              </w:rPr>
              <w:t xml:space="preserve">The Fundamental Gap</w:t>
            </w:r>
          </w:p>
          <w:p>
            <w:pPr>
              <w:spacing w:after="140" w:before="140" w:line="340"/>
            </w:pPr>
            <w:r>
              <w:rPr>
                <w:rFonts w:ascii="Arial" w:cs="Arial" w:eastAsia="Arial" w:hAnsi="Arial"/>
                <w:b w:val="false"/>
                <w:bCs w:val="false"/>
                <w:i w:val="false"/>
                <w:iCs w:val="false"/>
                <w:color w:val="1F2937"/>
                <w:sz w:val="26"/>
                <w:szCs w:val="26"/>
              </w:rPr>
              <w:t xml:space="preserve">Your organisation has monitoring. Finance reviews cash. HR tracks attrition. Operations measures delivery. Each sees its function clearly.</w:t>
            </w:r>
          </w:p>
          <w:p>
            <w:pPr>
              <w:spacing w:after="140" w:before="140" w:line="340"/>
            </w:pPr>
            <w:r>
              <w:rPr>
                <w:rFonts w:ascii="Arial" w:cs="Arial" w:eastAsia="Arial" w:hAnsi="Arial"/>
                <w:b w:val="false"/>
                <w:bCs w:val="false"/>
                <w:i w:val="false"/>
                <w:iCs w:val="false"/>
                <w:color w:val="1F2937"/>
                <w:sz w:val="26"/>
                <w:szCs w:val="26"/>
              </w:rPr>
              <w:t xml:space="preserve">What no existing tool does: watch all functions simultaneously and ask what it means when several are deteriorating in the same direction at the same time. That is the gap VITAL fills.</w:t>
            </w:r>
          </w:p>
          <w:p>
            <w:pPr>
              <w:spacing w:after="140" w:before="140" w:line="340"/>
            </w:pPr>
            <w:r>
              <w:rPr>
                <w:rFonts w:ascii="Arial" w:cs="Arial" w:eastAsia="Arial" w:hAnsi="Arial"/>
                <w:b/>
                <w:bCs/>
                <w:i/>
                <w:iCs/>
                <w:color w:val="1F2937"/>
                <w:sz w:val="26"/>
                <w:szCs w:val="26"/>
              </w:rPr>
              <w:t xml:space="preserve">Organisations monitor functions.  VITAL monitors the organisation as a system.</w:t>
            </w:r>
          </w:p>
        </w:tc>
      </w:tr>
    </w:tbl>
    <w:p>
      <w:pPr>
        <w:spacing w:after="160" w:before="320"/>
      </w:pPr>
      <w:r>
        <w:rPr>
          <w:rFonts w:ascii="Arial" w:cs="Arial" w:eastAsia="Arial" w:hAnsi="Arial"/>
          <w:b/>
          <w:bCs/>
          <w:color w:val="1F4E79"/>
          <w:sz w:val="30"/>
          <w:szCs w:val="30"/>
        </w:rPr>
        <w:t xml:space="preserve">II.  What VITAL Does</w:t>
      </w:r>
    </w:p>
    <w:p>
      <w:pPr>
        <w:spacing w:after="140" w:before="140" w:line="340"/>
      </w:pPr>
      <w:r>
        <w:rPr>
          <w:rFonts w:ascii="Arial" w:cs="Arial" w:eastAsia="Arial" w:hAnsi="Arial"/>
          <w:b w:val="false"/>
          <w:bCs w:val="false"/>
          <w:i w:val="false"/>
          <w:iCs w:val="false"/>
          <w:color w:val="1F2937"/>
          <w:sz w:val="26"/>
          <w:szCs w:val="26"/>
        </w:rPr>
        <w:t xml:space="preserve">VITAL monitors 22 organisational functions simultaneously across four tiers and aggregates their signals into a single Organisational Health Index (OHI) — reported to you weekly, with plain-language diagnosis and named required actions.</w:t>
      </w:r>
    </w:p>
    <w:p>
      <w:pPr>
        <w:spacing w:after="140" w:before="140" w:line="340"/>
      </w:pPr>
      <w:r>
        <w:rPr>
          <w:rFonts w:ascii="Arial" w:cs="Arial" w:eastAsia="Arial" w:hAnsi="Arial"/>
          <w:b w:val="false"/>
          <w:bCs w:val="false"/>
          <w:i w:val="false"/>
          <w:iCs w:val="false"/>
          <w:color w:val="1F2937"/>
          <w:sz w:val="26"/>
          <w:szCs w:val="26"/>
        </w:rPr>
        <w:t xml:space="preserve">It sits above the systems your organisation already uses — ERP, HRMS, CRM, project management, IT monitoring. It connects via standard API connections, reads their data continuously, and feeds those readings into a five-level AI engine. It does not replace or modify any existing system.</w:t>
      </w:r>
    </w:p>
    <w:p>
      <w:pPr>
        <w:spacing w:after="60" w:before="120"/>
      </w:pPr>
    </w:p>
    <w:p>
      <w:pPr>
        <w:spacing w:after="120" w:before="220"/>
      </w:pPr>
      <w:r>
        <w:rPr>
          <w:rFonts w:ascii="Arial" w:cs="Arial" w:eastAsia="Arial" w:hAnsi="Arial"/>
          <w:b/>
          <w:bCs/>
          <w:color w:val="2E75B6"/>
          <w:sz w:val="28"/>
          <w:szCs w:val="28"/>
        </w:rPr>
        <w:t xml:space="preserve">The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Tier</w:t>
            </w:r>
          </w:p>
        </w:tc>
        <w:tc>
          <w:tcPr>
            <w:tcW w:type="dxa" w:w="4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Functions Monitored</w:t>
            </w:r>
          </w:p>
        </w:tc>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Response Time</w:t>
            </w:r>
          </w:p>
        </w:tc>
      </w:tr>
      <w:tr>
        <w:tc>
          <w:tcPr>
            <w:tcW w:type="dxa" w:w="1500"/>
            <w:tcBorders>
              <w:top w:val="single" w:color="CCCCCC" w:sz="1"/>
              <w:left w:val="single" w:color="CCCCCC" w:sz="1"/>
              <w:bottom w:val="single" w:color="CCCCCC" w:sz="1"/>
              <w:right w:val="single" w:color="CCCCCC" w:sz="1"/>
            </w:tcBorders>
            <w:shd w:fill="D4E8F5" w:val="clear"/>
            <w:tcMar>
              <w:top w:type="dxa" w:w="80"/>
              <w:left w:type="dxa" w:w="120"/>
              <w:bottom w:type="dxa" w:w="80"/>
              <w:right w:type="dxa" w:w="120"/>
            </w:tcMar>
          </w:tcPr>
          <w:p>
            <w:pPr>
              <w:spacing w:after="40" w:before="60" w:line="340"/>
            </w:pPr>
            <w:r>
              <w:rPr>
                <w:rFonts w:ascii="Arial" w:cs="Arial" w:eastAsia="Arial" w:hAnsi="Arial"/>
                <w:b/>
                <w:bCs/>
                <w:i w:val="false"/>
                <w:iCs w:val="false"/>
                <w:color w:val="1F2937"/>
                <w:sz w:val="22"/>
                <w:szCs w:val="22"/>
              </w:rPr>
              <w:t xml:space="preserve">TIER 1 Critical</w:t>
            </w:r>
          </w:p>
          <w:p>
            <w:pPr>
              <w:spacing w:after="60" w:before="140" w:line="340"/>
            </w:pPr>
            <w:r>
              <w:rPr>
                <w:rFonts w:ascii="Arial" w:cs="Arial" w:eastAsia="Arial" w:hAnsi="Arial"/>
                <w:b w:val="false"/>
                <w:bCs w:val="false"/>
                <w:i/>
                <w:iCs/>
                <w:color w:val="555555"/>
                <w:sz w:val="20"/>
                <w:szCs w:val="20"/>
              </w:rPr>
              <w:t xml:space="preserve">Vital Organs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line="340"/>
            </w:pPr>
            <w:r>
              <w:rPr>
                <w:rFonts w:ascii="Arial" w:cs="Arial" w:eastAsia="Arial" w:hAnsi="Arial"/>
                <w:b w:val="false"/>
                <w:bCs w:val="false"/>
                <w:i w:val="false"/>
                <w:iCs w:val="false"/>
                <w:color w:val="1F2937"/>
                <w:sz w:val="22"/>
                <w:szCs w:val="22"/>
              </w:rPr>
              <w:t xml:space="preserve">CF1  Financial Health — The Heart</w:t>
            </w:r>
          </w:p>
          <w:p>
            <w:pPr>
              <w:spacing w:after="40" w:before="40" w:line="340"/>
            </w:pPr>
            <w:r>
              <w:rPr>
                <w:rFonts w:ascii="Arial" w:cs="Arial" w:eastAsia="Arial" w:hAnsi="Arial"/>
                <w:b w:val="false"/>
                <w:bCs w:val="false"/>
                <w:i w:val="false"/>
                <w:iCs w:val="false"/>
                <w:color w:val="1F2937"/>
                <w:sz w:val="22"/>
                <w:szCs w:val="22"/>
              </w:rPr>
              <w:t xml:space="preserve">CF2  Leadership Effectiveness — The Brain</w:t>
            </w:r>
          </w:p>
          <w:p>
            <w:pPr>
              <w:spacing w:after="40" w:before="40" w:line="340"/>
            </w:pPr>
            <w:r>
              <w:rPr>
                <w:rFonts w:ascii="Arial" w:cs="Arial" w:eastAsia="Arial" w:hAnsi="Arial"/>
                <w:b w:val="false"/>
                <w:bCs w:val="false"/>
                <w:i w:val="false"/>
                <w:iCs w:val="false"/>
                <w:color w:val="1F2937"/>
                <w:sz w:val="22"/>
                <w:szCs w:val="22"/>
              </w:rPr>
              <w:t xml:space="preserve">CF3  People &amp; Capability — The Lungs</w:t>
            </w:r>
          </w:p>
          <w:p>
            <w:pPr>
              <w:spacing w:after="40" w:before="40" w:line="340"/>
            </w:pPr>
            <w:r>
              <w:rPr>
                <w:rFonts w:ascii="Arial" w:cs="Arial" w:eastAsia="Arial" w:hAnsi="Arial"/>
                <w:b w:val="false"/>
                <w:bCs w:val="false"/>
                <w:i w:val="false"/>
                <w:iCs w:val="false"/>
                <w:color w:val="1F2937"/>
                <w:sz w:val="22"/>
                <w:szCs w:val="22"/>
              </w:rPr>
              <w:t xml:space="preserve">CF4  Delivery &amp; Operations — Circulatory System</w:t>
            </w:r>
          </w:p>
          <w:p>
            <w:pPr>
              <w:spacing w:after="40" w:before="40" w:line="340"/>
            </w:pPr>
            <w:r>
              <w:rPr>
                <w:rFonts w:ascii="Arial" w:cs="Arial" w:eastAsia="Arial" w:hAnsi="Arial"/>
                <w:b w:val="false"/>
                <w:bCs w:val="false"/>
                <w:i w:val="false"/>
                <w:iCs w:val="false"/>
                <w:color w:val="1F2937"/>
                <w:sz w:val="22"/>
                <w:szCs w:val="22"/>
              </w:rPr>
              <w:t xml:space="preserve">CF5  Compliance &amp; Risk — Immune System</w:t>
            </w:r>
          </w:p>
          <w:p>
            <w:pPr>
              <w:spacing w:after="40" w:before="40" w:line="340"/>
            </w:pPr>
            <w:r>
              <w:rPr>
                <w:rFonts w:ascii="Arial" w:cs="Arial" w:eastAsia="Arial" w:hAnsi="Arial"/>
                <w:b w:val="false"/>
                <w:bCs w:val="false"/>
                <w:i w:val="false"/>
                <w:iCs w:val="false"/>
                <w:color w:val="1F2937"/>
                <w:sz w:val="22"/>
                <w:szCs w:val="22"/>
              </w:rPr>
              <w:t xml:space="preserve">CF6  Technology Infrastructure — Nervous System</w:t>
            </w:r>
          </w:p>
          <w:p>
            <w:pPr>
              <w:spacing w:after="40" w:before="40" w:line="340"/>
            </w:pPr>
            <w:r>
              <w:rPr>
                <w:rFonts w:ascii="Arial" w:cs="Arial" w:eastAsia="Arial" w:hAnsi="Arial"/>
                <w:b w:val="false"/>
                <w:bCs w:val="false"/>
                <w:i w:val="false"/>
                <w:iCs w:val="false"/>
                <w:color w:val="1F2937"/>
                <w:sz w:val="22"/>
                <w:szCs w:val="22"/>
              </w:rPr>
              <w:t xml:space="preserve">CF7  Revenue &amp; Market Vitality — Market Lungs</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Failure is fast and potentially fatal.  Response: 4 hours.</w:t>
            </w:r>
          </w:p>
        </w:tc>
      </w:tr>
      <w:tr>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before="60" w:line="340"/>
            </w:pPr>
            <w:r>
              <w:rPr>
                <w:rFonts w:ascii="Arial" w:cs="Arial" w:eastAsia="Arial" w:hAnsi="Arial"/>
                <w:b/>
                <w:bCs/>
                <w:i w:val="false"/>
                <w:iCs w:val="false"/>
                <w:color w:val="1F2937"/>
                <w:sz w:val="22"/>
                <w:szCs w:val="22"/>
              </w:rPr>
              <w:t xml:space="preserve">TIER 2 Essential</w:t>
            </w:r>
          </w:p>
          <w:p>
            <w:pPr>
              <w:spacing w:after="60" w:before="140" w:line="340"/>
            </w:pPr>
            <w:r>
              <w:rPr>
                <w:rFonts w:ascii="Arial" w:cs="Arial" w:eastAsia="Arial" w:hAnsi="Arial"/>
                <w:b w:val="false"/>
                <w:bCs w:val="false"/>
                <w:i/>
                <w:iCs/>
                <w:color w:val="555555"/>
                <w:sz w:val="20"/>
                <w:szCs w:val="20"/>
              </w:rPr>
              <w:t xml:space="preserve">Life Systems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line="340"/>
            </w:pPr>
            <w:r>
              <w:rPr>
                <w:rFonts w:ascii="Arial" w:cs="Arial" w:eastAsia="Arial" w:hAnsi="Arial"/>
                <w:b w:val="false"/>
                <w:bCs w:val="false"/>
                <w:i w:val="false"/>
                <w:iCs w:val="false"/>
                <w:color w:val="1F2937"/>
                <w:sz w:val="22"/>
                <w:szCs w:val="22"/>
              </w:rPr>
              <w:t xml:space="preserve">E1  Culture &amp; Psychological Safety</w:t>
            </w:r>
          </w:p>
          <w:p>
            <w:pPr>
              <w:spacing w:after="40" w:before="40" w:line="340"/>
            </w:pPr>
            <w:r>
              <w:rPr>
                <w:rFonts w:ascii="Arial" w:cs="Arial" w:eastAsia="Arial" w:hAnsi="Arial"/>
                <w:b w:val="false"/>
                <w:bCs w:val="false"/>
                <w:i w:val="false"/>
                <w:iCs w:val="false"/>
                <w:color w:val="1F2937"/>
                <w:sz w:val="22"/>
                <w:szCs w:val="22"/>
              </w:rPr>
              <w:t xml:space="preserve">E2  Employee Engagement &amp; Wellbeing</w:t>
            </w:r>
          </w:p>
          <w:p>
            <w:pPr>
              <w:spacing w:after="40" w:before="40" w:line="340"/>
            </w:pPr>
            <w:r>
              <w:rPr>
                <w:rFonts w:ascii="Arial" w:cs="Arial" w:eastAsia="Arial" w:hAnsi="Arial"/>
                <w:b w:val="false"/>
                <w:bCs w:val="false"/>
                <w:i w:val="false"/>
                <w:iCs w:val="false"/>
                <w:color w:val="1F2937"/>
                <w:sz w:val="22"/>
                <w:szCs w:val="22"/>
              </w:rPr>
              <w:t xml:space="preserve">E3  Learning &amp; Innovation</w:t>
            </w:r>
          </w:p>
          <w:p>
            <w:pPr>
              <w:spacing w:after="40" w:before="40" w:line="340"/>
            </w:pPr>
            <w:r>
              <w:rPr>
                <w:rFonts w:ascii="Arial" w:cs="Arial" w:eastAsia="Arial" w:hAnsi="Arial"/>
                <w:b w:val="false"/>
                <w:bCs w:val="false"/>
                <w:i w:val="false"/>
                <w:iCs w:val="false"/>
                <w:color w:val="1F2937"/>
                <w:sz w:val="22"/>
                <w:szCs w:val="22"/>
              </w:rPr>
              <w:t xml:space="preserve">E4  Stakeholder Relationships</w:t>
            </w:r>
          </w:p>
          <w:p>
            <w:pPr>
              <w:spacing w:after="40" w:before="40" w:line="340"/>
            </w:pPr>
            <w:r>
              <w:rPr>
                <w:rFonts w:ascii="Arial" w:cs="Arial" w:eastAsia="Arial" w:hAnsi="Arial"/>
                <w:b w:val="false"/>
                <w:bCs w:val="false"/>
                <w:i w:val="false"/>
                <w:iCs w:val="false"/>
                <w:color w:val="1F2937"/>
                <w:sz w:val="22"/>
                <w:szCs w:val="22"/>
              </w:rPr>
              <w:t xml:space="preserve">E5  Strategic Alignment &amp; Agility</w:t>
            </w:r>
          </w:p>
          <w:p>
            <w:pPr>
              <w:spacing w:after="40" w:before="40" w:line="340"/>
            </w:pPr>
            <w:r>
              <w:rPr>
                <w:rFonts w:ascii="Arial" w:cs="Arial" w:eastAsia="Arial" w:hAnsi="Arial"/>
                <w:b w:val="false"/>
                <w:bCs w:val="false"/>
                <w:i w:val="false"/>
                <w:iCs w:val="false"/>
                <w:color w:val="1F2937"/>
                <w:sz w:val="22"/>
                <w:szCs w:val="22"/>
              </w:rPr>
              <w:t xml:space="preserve">E6  Information Flow &amp; Communication</w:t>
            </w:r>
          </w:p>
          <w:p>
            <w:pPr>
              <w:spacing w:after="40" w:before="40" w:line="340"/>
            </w:pPr>
            <w:r>
              <w:rPr>
                <w:rFonts w:ascii="Arial" w:cs="Arial" w:eastAsia="Arial" w:hAnsi="Arial"/>
                <w:b w:val="false"/>
                <w:bCs w:val="false"/>
                <w:i w:val="false"/>
                <w:iCs w:val="false"/>
                <w:color w:val="1F2937"/>
                <w:sz w:val="22"/>
                <w:szCs w:val="22"/>
              </w:rPr>
              <w:t xml:space="preserve">E7  Financial Sustainability</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Decline leads Tier 1 consequences by 4 to 12 weeks.  Response: 72 hours.</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60" w:line="340"/>
            </w:pPr>
            <w:r>
              <w:rPr>
                <w:rFonts w:ascii="Arial" w:cs="Arial" w:eastAsia="Arial" w:hAnsi="Arial"/>
                <w:b/>
                <w:bCs/>
                <w:i w:val="false"/>
                <w:iCs w:val="false"/>
                <w:color w:val="1F2937"/>
                <w:sz w:val="22"/>
                <w:szCs w:val="22"/>
              </w:rPr>
              <w:t xml:space="preserve">TIER 3 Foundation</w:t>
            </w:r>
          </w:p>
          <w:p>
            <w:pPr>
              <w:spacing w:after="60" w:before="140" w:line="340"/>
            </w:pPr>
            <w:r>
              <w:rPr>
                <w:rFonts w:ascii="Arial" w:cs="Arial" w:eastAsia="Arial" w:hAnsi="Arial"/>
                <w:b w:val="false"/>
                <w:bCs w:val="false"/>
                <w:i/>
                <w:iCs/>
                <w:color w:val="555555"/>
                <w:sz w:val="20"/>
                <w:szCs w:val="20"/>
              </w:rPr>
              <w:t xml:space="preserve">Substrate Conditions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line="340"/>
            </w:pPr>
            <w:r>
              <w:rPr>
                <w:rFonts w:ascii="Arial" w:cs="Arial" w:eastAsia="Arial" w:hAnsi="Arial"/>
                <w:b w:val="false"/>
                <w:bCs w:val="false"/>
                <w:i w:val="false"/>
                <w:iCs w:val="false"/>
                <w:color w:val="1F2937"/>
                <w:sz w:val="22"/>
                <w:szCs w:val="22"/>
              </w:rPr>
              <w:t xml:space="preserve">FF1  Brand &amp; Reputation</w:t>
            </w:r>
          </w:p>
          <w:p>
            <w:pPr>
              <w:spacing w:after="40" w:before="40" w:line="340"/>
            </w:pPr>
            <w:r>
              <w:rPr>
                <w:rFonts w:ascii="Arial" w:cs="Arial" w:eastAsia="Arial" w:hAnsi="Arial"/>
                <w:b w:val="false"/>
                <w:bCs w:val="false"/>
                <w:i w:val="false"/>
                <w:iCs w:val="false"/>
                <w:color w:val="1F2937"/>
                <w:sz w:val="22"/>
                <w:szCs w:val="22"/>
              </w:rPr>
              <w:t xml:space="preserve">FF2  Knowledge Management</w:t>
            </w:r>
          </w:p>
          <w:p>
            <w:pPr>
              <w:spacing w:after="40" w:before="40" w:line="340"/>
            </w:pPr>
            <w:r>
              <w:rPr>
                <w:rFonts w:ascii="Arial" w:cs="Arial" w:eastAsia="Arial" w:hAnsi="Arial"/>
                <w:b w:val="false"/>
                <w:bCs w:val="false"/>
                <w:i w:val="false"/>
                <w:iCs w:val="false"/>
                <w:color w:val="1F2937"/>
                <w:sz w:val="22"/>
                <w:szCs w:val="22"/>
              </w:rPr>
              <w:t xml:space="preserve">FF3  Physical Infrastructure</w:t>
            </w:r>
          </w:p>
          <w:p>
            <w:pPr>
              <w:spacing w:after="40" w:before="40" w:line="340"/>
            </w:pPr>
            <w:r>
              <w:rPr>
                <w:rFonts w:ascii="Arial" w:cs="Arial" w:eastAsia="Arial" w:hAnsi="Arial"/>
                <w:b w:val="false"/>
                <w:bCs w:val="false"/>
                <w:i w:val="false"/>
                <w:iCs w:val="false"/>
                <w:color w:val="1F2937"/>
                <w:sz w:val="22"/>
                <w:szCs w:val="22"/>
              </w:rPr>
              <w:t xml:space="preserve">FF4  Supply Chain Integrity</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Failures appear as Tier 1 symptoms months later.  Sensing: monthly.</w:t>
            </w:r>
          </w:p>
        </w:tc>
      </w:tr>
      <w:tr>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before="60" w:line="340"/>
            </w:pPr>
            <w:r>
              <w:rPr>
                <w:rFonts w:ascii="Arial" w:cs="Arial" w:eastAsia="Arial" w:hAnsi="Arial"/>
                <w:b/>
                <w:bCs/>
                <w:i w:val="false"/>
                <w:iCs w:val="false"/>
                <w:color w:val="1F2937"/>
                <w:sz w:val="22"/>
                <w:szCs w:val="22"/>
              </w:rPr>
              <w:t xml:space="preserve">TIER 4 Resilience</w:t>
            </w:r>
          </w:p>
          <w:p>
            <w:pPr>
              <w:spacing w:after="60" w:before="140" w:line="340"/>
            </w:pPr>
            <w:r>
              <w:rPr>
                <w:rFonts w:ascii="Arial" w:cs="Arial" w:eastAsia="Arial" w:hAnsi="Arial"/>
                <w:b w:val="false"/>
                <w:bCs w:val="false"/>
                <w:i/>
                <w:iCs/>
                <w:color w:val="555555"/>
                <w:sz w:val="20"/>
                <w:szCs w:val="20"/>
              </w:rPr>
              <w:t xml:space="preserve">Recovery Capacity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line="340"/>
            </w:pPr>
            <w:r>
              <w:rPr>
                <w:rFonts w:ascii="Arial" w:cs="Arial" w:eastAsia="Arial" w:hAnsi="Arial"/>
                <w:b w:val="false"/>
                <w:bCs w:val="false"/>
                <w:i w:val="false"/>
                <w:iCs w:val="false"/>
                <w:color w:val="1F2937"/>
                <w:sz w:val="22"/>
                <w:szCs w:val="22"/>
              </w:rPr>
              <w:t xml:space="preserve">RF1  Innovation Pipeline</w:t>
            </w:r>
          </w:p>
          <w:p>
            <w:pPr>
              <w:spacing w:after="40" w:before="40" w:line="340"/>
            </w:pPr>
            <w:r>
              <w:rPr>
                <w:rFonts w:ascii="Arial" w:cs="Arial" w:eastAsia="Arial" w:hAnsi="Arial"/>
                <w:b w:val="false"/>
                <w:bCs w:val="false"/>
                <w:i w:val="false"/>
                <w:iCs w:val="false"/>
                <w:color w:val="1F2937"/>
                <w:sz w:val="22"/>
                <w:szCs w:val="22"/>
              </w:rPr>
              <w:t xml:space="preserve">RF2  Ecosystem &amp; Partnership Health</w:t>
            </w:r>
          </w:p>
          <w:p>
            <w:pPr>
              <w:spacing w:after="40" w:before="40" w:line="340"/>
            </w:pPr>
            <w:r>
              <w:rPr>
                <w:rFonts w:ascii="Arial" w:cs="Arial" w:eastAsia="Arial" w:hAnsi="Arial"/>
                <w:b w:val="false"/>
                <w:bCs w:val="false"/>
                <w:i w:val="false"/>
                <w:iCs w:val="false"/>
                <w:color w:val="1F2937"/>
                <w:sz w:val="22"/>
                <w:szCs w:val="22"/>
              </w:rPr>
              <w:t xml:space="preserve">RF3  CSR &amp; Social Licence</w:t>
            </w:r>
          </w:p>
          <w:p>
            <w:pPr>
              <w:spacing w:after="40" w:before="40" w:line="340"/>
            </w:pPr>
            <w:r>
              <w:rPr>
                <w:rFonts w:ascii="Arial" w:cs="Arial" w:eastAsia="Arial" w:hAnsi="Arial"/>
                <w:b w:val="false"/>
                <w:bCs w:val="false"/>
                <w:i w:val="false"/>
                <w:iCs w:val="false"/>
                <w:color w:val="1F2937"/>
                <w:sz w:val="22"/>
                <w:szCs w:val="22"/>
              </w:rPr>
              <w:t xml:space="preserve">RF4  Financial Scenario Resilience</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Depletion amplifies consequences of any Tier 1 stress.  Sensing: quarterly.</w:t>
            </w:r>
          </w:p>
        </w:tc>
      </w:tr>
    </w:tbl>
    <w:p>
      <w:pPr>
        <w:spacing w:after="60" w:before="160"/>
      </w:pPr>
    </w:p>
    <w:p>
      <w:pPr>
        <w:spacing w:after="120" w:before="220"/>
      </w:pPr>
      <w:r>
        <w:rPr>
          <w:rFonts w:ascii="Arial" w:cs="Arial" w:eastAsia="Arial" w:hAnsi="Arial"/>
          <w:b/>
          <w:bCs/>
          <w:color w:val="2E75B6"/>
          <w:sz w:val="28"/>
          <w:szCs w:val="28"/>
        </w:rPr>
        <w:t xml:space="preserve">Five Levels of AI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Level</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Name</w:t>
            </w:r>
          </w:p>
        </w:tc>
        <w:tc>
          <w:tcPr>
            <w:tcW w:type="dxa" w:w="6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What It Detects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Threshold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A parameter crosses a defined limit — cash below 30 days, system downtime, compliance breach.</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Rolling 6-week baseline per parameter. Fires when current reading deviates materially — gradual decline detected weeks before any limit is crossed.</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Pattern Recognition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Two or more functions showing simultaneous adverse signals matching a named pattern. 20 named patterns defined. VITAL's unique capability. No single-function tool can see these patterns.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Forward Projection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Projects current trajectories forward — what will be wrong in 47 days if nothing changes, and what that will cost.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Process Adherence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Detects process shortcuts and quality failures 2 to 8 weeks before they produce result failures visible in dashboards.</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EF9E7"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VITAL Pattern in Action — PERFORMANCE-CULTURE DECOUPLING</w:t>
            </w:r>
          </w:p>
          <w:p>
            <w:pPr>
              <w:spacing w:after="20" w:before="40"/>
            </w:pPr>
          </w:p>
          <w:p>
            <w:pPr>
              <w:spacing w:after="140" w:before="140" w:line="340"/>
            </w:pPr>
            <w:r>
              <w:rPr>
                <w:rFonts w:ascii="Arial" w:cs="Arial" w:eastAsia="Arial" w:hAnsi="Arial"/>
                <w:b/>
                <w:bCs/>
                <w:i w:val="false"/>
                <w:iCs w:val="false"/>
                <w:color w:val="1F2937"/>
                <w:sz w:val="26"/>
                <w:szCs w:val="26"/>
              </w:rPr>
              <w:t xml:space="preserve">Signal:  </w:t>
            </w:r>
            <w:r>
              <w:rPr>
                <w:rFonts w:ascii="Arial" w:cs="Arial" w:eastAsia="Arial" w:hAnsi="Arial"/>
                <w:b w:val="false"/>
                <w:bCs w:val="false"/>
                <w:i w:val="false"/>
                <w:iCs w:val="false"/>
                <w:color w:val="1F2937"/>
                <w:sz w:val="26"/>
                <w:szCs w:val="26"/>
              </w:rPr>
              <w:t xml:space="preserve">CF1 Financial deliverables Green — the numbers look good. E3 Learning participation declining — fewer people attending town halls, training completion falling. E1 silo sentiment rising — teams increasingly working in isolation.</w:t>
            </w:r>
          </w:p>
          <w:p>
            <w:pPr>
              <w:spacing w:after="140" w:before="140" w:line="340"/>
            </w:pPr>
            <w:r>
              <w:rPr>
                <w:rFonts w:ascii="Arial" w:cs="Arial" w:eastAsia="Arial" w:hAnsi="Arial"/>
                <w:b/>
                <w:bCs/>
                <w:i w:val="false"/>
                <w:iCs w:val="false"/>
                <w:color w:val="1F2937"/>
                <w:sz w:val="26"/>
                <w:szCs w:val="26"/>
              </w:rPr>
              <w:t xml:space="preserve">What VITAL sees:  </w:t>
            </w:r>
            <w:r>
              <w:rPr>
                <w:rFonts w:ascii="Arial" w:cs="Arial" w:eastAsia="Arial" w:hAnsi="Arial"/>
                <w:b w:val="false"/>
                <w:bCs w:val="false"/>
                <w:i w:val="false"/>
                <w:iCs w:val="false"/>
                <w:color w:val="1F2937"/>
                <w:sz w:val="26"/>
                <w:szCs w:val="26"/>
              </w:rPr>
              <w:t xml:space="preserve">The organisation is hitting its numbers by burning its social capital. Performance looks healthy today. The conditions that sustain it are dissolving.</w:t>
            </w:r>
          </w:p>
          <w:p>
            <w:pPr>
              <w:spacing w:after="140" w:before="140" w:line="340"/>
            </w:pPr>
            <w:r>
              <w:rPr>
                <w:rFonts w:ascii="Arial" w:cs="Arial" w:eastAsia="Arial" w:hAnsi="Arial"/>
                <w:b/>
                <w:bCs/>
                <w:i w:val="false"/>
                <w:iCs w:val="false"/>
                <w:color w:val="1F2937"/>
                <w:sz w:val="26"/>
                <w:szCs w:val="26"/>
              </w:rPr>
              <w:t xml:space="preserve">Alert:  </w:t>
            </w:r>
            <w:r>
              <w:rPr>
                <w:rFonts w:ascii="Arial" w:cs="Arial" w:eastAsia="Arial" w:hAnsi="Arial"/>
                <w:b w:val="false"/>
                <w:bCs w:val="false"/>
                <w:i w:val="false"/>
                <w:iCs w:val="false"/>
                <w:color w:val="1F2937"/>
                <w:sz w:val="26"/>
                <w:szCs w:val="26"/>
              </w:rPr>
              <w:t xml:space="preserve">Amber — 12-week lead time to CF3 / CF4 consequence. This is a signal no single-function dashboard can detect. Finance sees Green. HR sees a participation dip. No one sees the pattern — until VITAL names it.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2937"/>
                <w:sz w:val="26"/>
                <w:szCs w:val="26"/>
              </w:rPr>
              <w:t xml:space="preserve">What Real-Time Means</w:t>
            </w:r>
          </w:p>
          <w:p>
            <w:pPr>
              <w:spacing w:after="140" w:before="140" w:line="340"/>
            </w:pPr>
            <w:r>
              <w:rPr>
                <w:rFonts w:ascii="Arial" w:cs="Arial" w:eastAsia="Arial" w:hAnsi="Arial"/>
                <w:b w:val="false"/>
                <w:bCs w:val="false"/>
                <w:i w:val="false"/>
                <w:iCs w:val="false"/>
                <w:color w:val="1F2937"/>
                <w:sz w:val="26"/>
                <w:szCs w:val="26"/>
              </w:rPr>
              <w:t xml:space="preserve">VITAL alerts in real time. The 30–60 day figure is the </w:t>
            </w:r>
            <w:r>
              <w:rPr>
                <w:rFonts w:ascii="Arial" w:cs="Arial" w:eastAsia="Arial" w:hAnsi="Arial"/>
                <w:b/>
                <w:bCs/>
                <w:i w:val="false"/>
                <w:iCs w:val="false"/>
                <w:color w:val="1F2937"/>
                <w:sz w:val="26"/>
                <w:szCs w:val="26"/>
              </w:rPr>
              <w:t xml:space="preserve">lead time advantage</w:t>
            </w:r>
            <w:r>
              <w:rPr>
                <w:rFonts w:ascii="Arial" w:cs="Arial" w:eastAsia="Arial" w:hAnsi="Arial"/>
                <w:b w:val="false"/>
                <w:bCs w:val="false"/>
                <w:i w:val="false"/>
                <w:iCs w:val="false"/>
                <w:color w:val="1F2937"/>
                <w:sz w:val="26"/>
                <w:szCs w:val="26"/>
              </w:rPr>
              <w:t xml:space="preserve">: the gap between when VITAL detects the early signal and when the developing problem would have become visible in conventional monthly reporting.</w:t>
            </w:r>
          </w:p>
          <w:p>
            <w:pPr>
              <w:spacing w:after="140" w:before="140" w:line="340"/>
            </w:pPr>
            <w:r>
              <w:rPr>
                <w:rFonts w:ascii="Arial" w:cs="Arial" w:eastAsia="Arial" w:hAnsi="Arial"/>
                <w:b/>
                <w:bCs/>
                <w:i/>
                <w:iCs/>
                <w:color w:val="1F2937"/>
                <w:sz w:val="26"/>
                <w:szCs w:val="26"/>
              </w:rPr>
              <w:t xml:space="preserve">Acting on a VITAL signal means acting while there is still a choice.</w:t>
            </w:r>
          </w:p>
        </w:tc>
      </w:tr>
    </w:tbl>
    <w:p>
      <w:pPr>
        <w:spacing w:after="160" w:before="320"/>
      </w:pPr>
      <w:r>
        <w:rPr>
          <w:rFonts w:ascii="Arial" w:cs="Arial" w:eastAsia="Arial" w:hAnsi="Arial"/>
          <w:b/>
          <w:bCs/>
          <w:color w:val="1F4E79"/>
          <w:sz w:val="30"/>
          <w:szCs w:val="30"/>
        </w:rPr>
        <w:t xml:space="preserve">III.  What You Receive as CEO</w:t>
      </w:r>
    </w:p>
    <w:p>
      <w:pPr>
        <w:spacing w:after="140" w:before="140" w:line="340"/>
      </w:pPr>
      <w:r>
        <w:rPr>
          <w:rFonts w:ascii="Arial" w:cs="Arial" w:eastAsia="Arial" w:hAnsi="Arial"/>
          <w:b w:val="false"/>
          <w:bCs w:val="false"/>
          <w:i w:val="false"/>
          <w:iCs w:val="false"/>
          <w:color w:val="1F2937"/>
          <w:sz w:val="26"/>
          <w:szCs w:val="26"/>
        </w:rPr>
        <w:t xml:space="preserve">The Combined Organisational Health Index is expressed as a score out of 100. Green is above 85. Watch is 70 to 84. Amber is 55 to 69. Red is below 55.</w:t>
      </w:r>
    </w:p>
    <w:p>
      <w:pPr>
        <w:spacing w:after="140" w:before="140" w:line="340"/>
      </w:pPr>
      <w:r>
        <w:rPr>
          <w:rFonts w:ascii="Arial" w:cs="Arial" w:eastAsia="Arial" w:hAnsi="Arial"/>
          <w:b w:val="false"/>
          <w:bCs w:val="false"/>
          <w:i w:val="false"/>
          <w:iCs w:val="false"/>
          <w:color w:val="1F2937"/>
          <w:sz w:val="26"/>
          <w:szCs w:val="26"/>
        </w:rPr>
        <w:t xml:space="preserve">You receive the Combined OHI every week — not a number in isolation, but a plain-language diagnosis: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2"/>
                <w:szCs w:val="22"/>
              </w:rPr>
              <w:t xml:space="preserve">SAMPLE CEO WEEKLY HEALTH REPORT</w:t>
            </w:r>
          </w:p>
          <w:p>
            <w:pPr>
              <w:spacing w:after="140" w:before="140" w:line="340"/>
            </w:pPr>
            <w:r>
              <w:rPr>
                <w:rFonts w:ascii="Arial" w:cs="Arial" w:eastAsia="Arial" w:hAnsi="Arial"/>
                <w:b/>
                <w:bCs/>
                <w:i w:val="false"/>
                <w:iCs w:val="false"/>
                <w:color w:val="1F2937"/>
                <w:sz w:val="26"/>
                <w:szCs w:val="26"/>
              </w:rPr>
              <w:t xml:space="preserve">Combined OHI:  </w:t>
            </w:r>
            <w:r>
              <w:rPr>
                <w:rFonts w:ascii="Arial" w:cs="Arial" w:eastAsia="Arial" w:hAnsi="Arial"/>
                <w:b w:val="false"/>
                <w:bCs w:val="false"/>
                <w:i w:val="false"/>
                <w:iCs w:val="false"/>
                <w:color w:val="1F2937"/>
                <w:sz w:val="26"/>
                <w:szCs w:val="26"/>
              </w:rPr>
              <w:t xml:space="preserve">71 / 100  —  Amber  —  declining from 78 last week</w:t>
            </w:r>
          </w:p>
          <w:p>
            <w:pPr>
              <w:spacing w:after="140" w:before="140" w:line="340"/>
            </w:pPr>
            <w:r>
              <w:rPr>
                <w:rFonts w:ascii="Arial" w:cs="Arial" w:eastAsia="Arial" w:hAnsi="Arial"/>
                <w:b/>
                <w:bCs/>
                <w:i w:val="false"/>
                <w:iCs w:val="false"/>
                <w:color w:val="1F2937"/>
                <w:sz w:val="26"/>
                <w:szCs w:val="26"/>
              </w:rPr>
              <w:t xml:space="preserve">Primary driver:  </w:t>
            </w:r>
            <w:r>
              <w:rPr>
                <w:rFonts w:ascii="Arial" w:cs="Arial" w:eastAsia="Arial" w:hAnsi="Arial"/>
                <w:b w:val="false"/>
                <w:bCs w:val="false"/>
                <w:i w:val="false"/>
                <w:iCs w:val="false"/>
                <w:color w:val="1F2937"/>
                <w:sz w:val="26"/>
                <w:szCs w:val="26"/>
              </w:rPr>
              <w:t xml:space="preserve">CF3 People and Capability at Amber — attrition signal in two critical roles.</w:t>
            </w:r>
          </w:p>
          <w:p>
            <w:pPr>
              <w:spacing w:after="140" w:before="140" w:line="340"/>
            </w:pPr>
            <w:r>
              <w:rPr>
                <w:rFonts w:ascii="Arial" w:cs="Arial" w:eastAsia="Arial" w:hAnsi="Arial"/>
                <w:b/>
                <w:bCs/>
                <w:i w:val="false"/>
                <w:iCs w:val="false"/>
                <w:color w:val="1F2937"/>
                <w:sz w:val="26"/>
                <w:szCs w:val="26"/>
              </w:rPr>
              <w:t xml:space="preserve">Contributing signal:  </w:t>
            </w:r>
            <w:r>
              <w:rPr>
                <w:rFonts w:ascii="Arial" w:cs="Arial" w:eastAsia="Arial" w:hAnsi="Arial"/>
                <w:b w:val="false"/>
                <w:bCs w:val="false"/>
                <w:i w:val="false"/>
                <w:iCs w:val="false"/>
                <w:color w:val="1F2937"/>
                <w:sz w:val="26"/>
                <w:szCs w:val="26"/>
              </w:rPr>
              <w:t xml:space="preserve">E1 Culture declining — CULTURE-DELIVERY SPIRAL pattern advisory active.</w:t>
            </w:r>
          </w:p>
          <w:p>
            <w:pPr>
              <w:spacing w:after="140" w:before="140" w:line="340"/>
            </w:pPr>
            <w:r>
              <w:rPr>
                <w:rFonts w:ascii="Arial" w:cs="Arial" w:eastAsia="Arial" w:hAnsi="Arial"/>
                <w:b/>
                <w:bCs/>
                <w:i w:val="false"/>
                <w:iCs w:val="false"/>
                <w:color w:val="1F2937"/>
                <w:sz w:val="26"/>
                <w:szCs w:val="26"/>
              </w:rPr>
              <w:t xml:space="preserve">Pattern alert:  </w:t>
            </w:r>
            <w:r>
              <w:rPr>
                <w:rFonts w:ascii="Arial" w:cs="Arial" w:eastAsia="Arial" w:hAnsi="Arial"/>
                <w:b w:val="false"/>
                <w:bCs w:val="false"/>
                <w:i w:val="false"/>
                <w:iCs w:val="false"/>
                <w:color w:val="1F2937"/>
                <w:sz w:val="26"/>
                <w:szCs w:val="26"/>
              </w:rPr>
              <w:t xml:space="preserve">The CF3 attrition signal and the CF4 delivery shortcut signal are one problem, not two. Treating them separately will not resolve either.</w:t>
            </w:r>
          </w:p>
          <w:p>
            <w:pPr>
              <w:spacing w:after="140" w:before="140" w:line="340"/>
            </w:pPr>
            <w:r>
              <w:rPr>
                <w:rFonts w:ascii="Arial" w:cs="Arial" w:eastAsia="Arial" w:hAnsi="Arial"/>
                <w:b/>
                <w:bCs/>
                <w:i w:val="false"/>
                <w:iCs w:val="false"/>
                <w:color w:val="1F2937"/>
                <w:sz w:val="26"/>
                <w:szCs w:val="26"/>
              </w:rPr>
              <w:t xml:space="preserve">Required action:  </w:t>
            </w:r>
            <w:r>
              <w:rPr>
                <w:rFonts w:ascii="Arial" w:cs="Arial" w:eastAsia="Arial" w:hAnsi="Arial"/>
                <w:b w:val="false"/>
                <w:bCs w:val="false"/>
                <w:i w:val="false"/>
                <w:iCs w:val="false"/>
                <w:color w:val="1F2937"/>
                <w:sz w:val="26"/>
                <w:szCs w:val="26"/>
              </w:rPr>
              <w:t xml:space="preserve">E1 Culture intervention is the primary lever. Retention conversation within 48 hours.</w:t>
            </w:r>
          </w:p>
          <w:p>
            <w:pPr>
              <w:spacing w:after="140" w:before="140" w:line="340"/>
            </w:pPr>
            <w:r>
              <w:rPr>
                <w:rFonts w:ascii="Arial" w:cs="Arial" w:eastAsia="Arial" w:hAnsi="Arial"/>
                <w:b/>
                <w:bCs/>
                <w:i w:val="false"/>
                <w:iCs w:val="false"/>
                <w:color w:val="1F2937"/>
                <w:sz w:val="26"/>
                <w:szCs w:val="26"/>
              </w:rPr>
              <w:t xml:space="preserve">Action owner:  </w:t>
            </w:r>
            <w:r>
              <w:rPr>
                <w:rFonts w:ascii="Arial" w:cs="Arial" w:eastAsia="Arial" w:hAnsi="Arial"/>
                <w:b w:val="false"/>
                <w:bCs w:val="false"/>
                <w:i w:val="false"/>
                <w:iCs w:val="false"/>
                <w:color w:val="1F2937"/>
                <w:sz w:val="26"/>
                <w:szCs w:val="26"/>
              </w:rPr>
              <w:t xml:space="preserve">People Lead — deadline 48 hours.</w:t>
            </w:r>
          </w:p>
        </w:tc>
      </w:tr>
    </w:tbl>
    <w:p>
      <w:pPr>
        <w:spacing w:after="160" w:before="160"/>
      </w:pPr>
    </w:p>
    <w:p>
      <w:pPr>
        <w:spacing w:after="140" w:before="140" w:line="340"/>
      </w:pPr>
      <w:r>
        <w:rPr>
          <w:rFonts w:ascii="Arial" w:cs="Arial" w:eastAsia="Arial" w:hAnsi="Arial"/>
          <w:b w:val="false"/>
          <w:bCs w:val="false"/>
          <w:i w:val="false"/>
          <w:iCs w:val="false"/>
          <w:color w:val="1F2937"/>
          <w:sz w:val="26"/>
          <w:szCs w:val="26"/>
        </w:rPr>
        <w:t xml:space="preserve">Function heads receive the equivalent for their function. Every manager receives the equivalent for their team. The language is always plain — Green, Amber, or Red — with a one-sentence explanation and a named action.</w:t>
      </w:r>
    </w:p>
    <w:p>
      <w:pPr>
        <w:spacing w:after="160" w:before="320"/>
      </w:pPr>
      <w:r>
        <w:rPr>
          <w:rFonts w:ascii="Arial" w:cs="Arial" w:eastAsia="Arial" w:hAnsi="Arial"/>
          <w:b/>
          <w:bCs/>
          <w:color w:val="1F4E79"/>
          <w:sz w:val="30"/>
          <w:szCs w:val="30"/>
        </w:rPr>
        <w:t xml:space="preserve">IV.  What 30–60 Days Earlier Detection Is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Situation</w:t>
            </w:r>
          </w:p>
        </w:tc>
        <w:tc>
          <w:tcPr>
            <w:tcW w:type="dxa" w:w="363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With VITAL — early</w:t>
            </w:r>
          </w:p>
        </w:tc>
        <w:tc>
          <w:tcPr>
            <w:tcW w:type="dxa" w:w="363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Without VITAL</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Project heading toward overrun</w:t>
            </w:r>
          </w:p>
        </w:tc>
        <w:tc>
          <w:tcPr>
            <w:tcW w:type="dxa" w:w="36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Scope or resource adjustment while recovery options exist. Customer relationship intact.</w:t>
            </w:r>
          </w:p>
        </w:tc>
        <w:tc>
          <w:tcPr>
            <w:tcW w:type="dxa" w:w="363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Emergency recovery. Customer escalation. Cost of correction is a multiple of prevention.</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Key professional showing attrition signals</w:t>
            </w:r>
          </w:p>
        </w:tc>
        <w:tc>
          <w:tcPr>
            <w:tcW w:type="dxa" w:w="36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Targeted retention conversation. Knowledge transfer while person is still present.</w:t>
            </w:r>
          </w:p>
        </w:tc>
        <w:tc>
          <w:tcPr>
            <w:tcW w:type="dxa" w:w="363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Sudden resignation. Emergency recruitment. Institutional knowledge permanently lost.</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Customer relationship souring</w:t>
            </w:r>
          </w:p>
        </w:tc>
        <w:tc>
          <w:tcPr>
            <w:tcW w:type="dxa" w:w="36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Proactive senior engagement before any formal complaint. Relationship salvaged.</w:t>
            </w:r>
          </w:p>
        </w:tc>
        <w:tc>
          <w:tcPr>
            <w:tcW w:type="dxa" w:w="363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Non-renewal notification. Pipeline damage. Revenue replacement required.</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Cash runway narrowing</w:t>
            </w:r>
          </w:p>
        </w:tc>
        <w:tc>
          <w:tcPr>
            <w:tcW w:type="dxa" w:w="36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Receivables acceleration or financing from a position of choice and credibility.</w:t>
            </w:r>
          </w:p>
        </w:tc>
        <w:tc>
          <w:tcPr>
            <w:tcW w:type="dxa" w:w="363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Cash crisis. Emergency decisions. Terms dictated by the other party.</w:t>
            </w:r>
          </w:p>
        </w:tc>
      </w:tr>
    </w:tbl>
    <w:p>
      <w:pPr>
        <w:spacing w:after="60" w:before="100"/>
      </w:pPr>
    </w:p>
    <w:p>
      <w:pPr>
        <w:spacing w:after="140" w:before="140" w:line="340"/>
      </w:pPr>
      <w:r>
        <w:rPr>
          <w:rFonts w:ascii="Arial" w:cs="Arial" w:eastAsia="Arial" w:hAnsi="Arial"/>
          <w:b w:val="false"/>
          <w:bCs w:val="false"/>
          <w:i/>
          <w:iCs/>
          <w:color w:val="555555"/>
          <w:sz w:val="22"/>
          <w:szCs w:val="22"/>
        </w:rPr>
        <w:t xml:space="preserve">These scenarios are directional illustrations, not empirical claims. The pilot's purpose is to generate the empirical evidence that validates these lead times for the specific organisation.</w:t>
      </w:r>
    </w:p>
    <w:p>
      <w:pPr>
        <w:spacing w:after="160" w:before="320"/>
      </w:pPr>
      <w:r>
        <w:rPr>
          <w:rFonts w:ascii="Arial" w:cs="Arial" w:eastAsia="Arial" w:hAnsi="Arial"/>
          <w:b/>
          <w:bCs/>
          <w:color w:val="1F4E79"/>
          <w:sz w:val="30"/>
          <w:szCs w:val="30"/>
        </w:rPr>
        <w:t xml:space="preserve">V.  The Three Ways Implementation Can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Failure Mode</w:t>
            </w:r>
          </w:p>
        </w:tc>
        <w:tc>
          <w:tcPr>
            <w:tcW w:type="dxa" w:w="343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Why It Happens</w:t>
            </w:r>
          </w:p>
        </w:tc>
        <w:tc>
          <w:tcPr>
            <w:tcW w:type="dxa" w:w="343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How VITAL Prevents It</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CEO does not genuinely engage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Intelligence generated that no one with authority acts on. VITAL becomes another reporting layer.</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CEO is the named OHI recipient. Weekly private reflection makes CEO an active intelligence contributor. Pilot success criteria require engagement.</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Human sensing produces filtered answers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People answer as they think they should. The 25% human sensing layer becomes systematically optimistic.</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Structural anonymity. E1 Culture monitored as sensing guardian — when E1 is at Amber or Red, all human sensing carries a SENSING RELIABILITY WARNING.</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CF symptoms treated without Foundation diagnosis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Sales push for a pipeline problem that is actually a brand problem. Symptom recurs because root cause never identified.</w:t>
            </w:r>
          </w:p>
        </w:tc>
        <w:tc>
          <w:tcPr>
            <w:tcW w:type="dxa" w:w="34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Cross-tier correlation engine flags Foundation root causes. Oscillation Flag fires after three recurrences — escalated to board automatically.</w:t>
            </w:r>
          </w:p>
        </w:tc>
      </w:tr>
    </w:tbl>
    <w:p>
      <w:pPr>
        <w:spacing w:after="160" w:before="320"/>
      </w:pPr>
      <w:r>
        <w:rPr>
          <w:rFonts w:ascii="Arial" w:cs="Arial" w:eastAsia="Arial" w:hAnsi="Arial"/>
          <w:b/>
          <w:bCs/>
          <w:color w:val="1F4E79"/>
          <w:sz w:val="30"/>
          <w:szCs w:val="30"/>
        </w:rPr>
        <w:t xml:space="preserve">VI.  The Decision — Assign Your CTO to Assess Feasibility</w:t>
      </w:r>
    </w:p>
    <w:p>
      <w:pPr>
        <w:spacing w:after="140" w:before="140" w:line="340"/>
      </w:pPr>
      <w:r>
        <w:rPr>
          <w:rFonts w:ascii="Arial" w:cs="Arial" w:eastAsia="Arial" w:hAnsi="Arial"/>
          <w:b w:val="false"/>
          <w:bCs w:val="false"/>
          <w:i w:val="false"/>
          <w:iCs w:val="false"/>
          <w:color w:val="1F2937"/>
          <w:sz w:val="26"/>
          <w:szCs w:val="26"/>
        </w:rPr>
        <w:t xml:space="preserve">You are not being asked to deploy VITAL. You are not even being asked to commit to a pilot today.</w:t>
      </w:r>
    </w:p>
    <w:p>
      <w:pPr>
        <w:spacing w:after="140" w:before="140" w:line="340"/>
      </w:pPr>
      <w:r>
        <w:rPr>
          <w:rFonts w:ascii="Arial" w:cs="Arial" w:eastAsia="Arial" w:hAnsi="Arial"/>
          <w:b/>
          <w:bCs/>
          <w:i w:val="false"/>
          <w:iCs w:val="false"/>
          <w:color w:val="1F2937"/>
          <w:sz w:val="26"/>
          <w:szCs w:val="26"/>
        </w:rPr>
        <w:t xml:space="preserve">You are being asked to take one step: assign your CTO (or equivalent senior technology leader) to assess whether VITAL is feasible and valuable for your organisation.</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What the CTO Assessment Covers</w:t>
            </w:r>
          </w:p>
          <w:p>
            <w:pPr>
              <w:spacing w:after="140" w:before="140" w:line="340"/>
            </w:pPr>
            <w:r>
              <w:rPr>
                <w:rFonts w:ascii="Arial" w:cs="Arial" w:eastAsia="Arial" w:hAnsi="Arial"/>
                <w:b/>
                <w:bCs/>
                <w:i w:val="false"/>
                <w:iCs w:val="false"/>
                <w:color w:val="1F2937"/>
                <w:sz w:val="26"/>
                <w:szCs w:val="26"/>
              </w:rPr>
              <w:t xml:space="preserve">1.  Current Automation Status  </w:t>
            </w:r>
            <w:r>
              <w:rPr>
                <w:rFonts w:ascii="Arial" w:cs="Arial" w:eastAsia="Arial" w:hAnsi="Arial"/>
                <w:b w:val="false"/>
                <w:bCs w:val="false"/>
                <w:i w:val="false"/>
                <w:iCs w:val="false"/>
                <w:color w:val="1F2937"/>
                <w:sz w:val="26"/>
                <w:szCs w:val="26"/>
              </w:rPr>
              <w:t xml:space="preserve">What systems are currently in place across departments? What data is already available via API? Where are the gaps?</w:t>
            </w:r>
          </w:p>
          <w:p>
            <w:pPr>
              <w:spacing w:after="140" w:before="140" w:line="340"/>
            </w:pPr>
            <w:r>
              <w:rPr>
                <w:rFonts w:ascii="Arial" w:cs="Arial" w:eastAsia="Arial" w:hAnsi="Arial"/>
                <w:b/>
                <w:bCs/>
                <w:i w:val="false"/>
                <w:iCs w:val="false"/>
                <w:color w:val="1F2937"/>
                <w:sz w:val="26"/>
                <w:szCs w:val="26"/>
              </w:rPr>
              <w:t xml:space="preserve">2.  Health Monitoring Utility and ROI  </w:t>
            </w:r>
            <w:r>
              <w:rPr>
                <w:rFonts w:ascii="Arial" w:cs="Arial" w:eastAsia="Arial" w:hAnsi="Arial"/>
                <w:b w:val="false"/>
                <w:bCs w:val="false"/>
                <w:i w:val="false"/>
                <w:iCs w:val="false"/>
                <w:color w:val="1F2937"/>
                <w:sz w:val="26"/>
                <w:szCs w:val="26"/>
              </w:rPr>
              <w:t xml:space="preserve">Based on the organisation's current monitoring gaps, what is the potential value of 30–60 day earlier detection?</w:t>
            </w:r>
          </w:p>
          <w:p>
            <w:pPr>
              <w:spacing w:after="140" w:before="140" w:line="340"/>
            </w:pPr>
            <w:r>
              <w:rPr>
                <w:rFonts w:ascii="Arial" w:cs="Arial" w:eastAsia="Arial" w:hAnsi="Arial"/>
                <w:b/>
                <w:bCs/>
                <w:i w:val="false"/>
                <w:iCs w:val="false"/>
                <w:color w:val="1F2937"/>
                <w:sz w:val="26"/>
                <w:szCs w:val="26"/>
              </w:rPr>
              <w:t xml:space="preserve">3.  Resources Required  </w:t>
            </w:r>
            <w:r>
              <w:rPr>
                <w:rFonts w:ascii="Arial" w:cs="Arial" w:eastAsia="Arial" w:hAnsi="Arial"/>
                <w:b w:val="false"/>
                <w:bCs w:val="false"/>
                <w:i w:val="false"/>
                <w:iCs w:val="false"/>
                <w:color w:val="1F2937"/>
                <w:sz w:val="26"/>
                <w:szCs w:val="26"/>
              </w:rPr>
              <w:t xml:space="preserve">IT configuration effort (2–5 days per system). One senior person at 20–30% for 90 days. No new software. No operational disruption.</w:t>
            </w:r>
          </w:p>
          <w:p>
            <w:pPr>
              <w:spacing w:after="140" w:before="140" w:line="340"/>
            </w:pPr>
            <w:r>
              <w:rPr>
                <w:rFonts w:ascii="Arial" w:cs="Arial" w:eastAsia="Arial" w:hAnsi="Arial"/>
                <w:b/>
                <w:bCs/>
                <w:i w:val="false"/>
                <w:iCs w:val="false"/>
                <w:color w:val="1F2937"/>
                <w:sz w:val="26"/>
                <w:szCs w:val="26"/>
              </w:rPr>
              <w:t xml:space="preserve">4.  Pilot Feasibility  </w:t>
            </w:r>
            <w:r>
              <w:rPr>
                <w:rFonts w:ascii="Arial" w:cs="Arial" w:eastAsia="Arial" w:hAnsi="Arial"/>
                <w:b w:val="false"/>
                <w:bCs w:val="false"/>
                <w:i w:val="false"/>
                <w:iCs w:val="false"/>
                <w:color w:val="1F2937"/>
                <w:sz w:val="26"/>
                <w:szCs w:val="26"/>
              </w:rPr>
              <w:t xml:space="preserve">Can the organisation run a 90-day diagnostic pilot? Is CEO engagement achievable (15 minutes per week?)</w:t>
            </w:r>
          </w:p>
        </w:tc>
      </w:tr>
    </w:tbl>
    <w:p>
      <w:pPr>
        <w:spacing w:after="160" w:before="160"/>
      </w:pPr>
    </w:p>
    <w:p>
      <w:pPr>
        <w:spacing w:after="140" w:before="140" w:line="340"/>
      </w:pPr>
      <w:r>
        <w:rPr>
          <w:rFonts w:ascii="Arial" w:cs="Arial" w:eastAsia="Arial" w:hAnsi="Arial"/>
          <w:b w:val="false"/>
          <w:bCs w:val="false"/>
          <w:i w:val="false"/>
          <w:iCs w:val="false"/>
          <w:color w:val="1F2937"/>
          <w:sz w:val="26"/>
          <w:szCs w:val="26"/>
        </w:rPr>
        <w:t xml:space="preserve">An accompanying Executive Summary (Technical and Strategic Overview) provides the CTO with the full framework architecture, data integration requirements, and pilot design needed for a thorough assessment.</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What the CTO Assessment Produces</w:t>
            </w:r>
          </w:p>
          <w:p>
            <w:pPr>
              <w:spacing w:after="140" w:before="140" w:line="340"/>
            </w:pPr>
            <w:r>
              <w:rPr>
                <w:rFonts w:ascii="Arial" w:cs="Arial" w:eastAsia="Arial" w:hAnsi="Arial"/>
                <w:b w:val="false"/>
                <w:bCs w:val="false"/>
                <w:i w:val="false"/>
                <w:iCs w:val="false"/>
                <w:color w:val="1F2937"/>
                <w:sz w:val="26"/>
                <w:szCs w:val="26"/>
              </w:rPr>
              <w:t xml:space="preserve">A recommendation to you — based on your organisation's actual systems, data maturity, and current monitoring gaps — on whether a 90-day VITAL pilot is feasible, what it would require, and what it could deliver.</w:t>
            </w:r>
          </w:p>
          <w:p>
            <w:pPr>
              <w:spacing w:after="140" w:before="140" w:line="340"/>
            </w:pPr>
            <w:r>
              <w:rPr>
                <w:rFonts w:ascii="Arial" w:cs="Arial" w:eastAsia="Arial" w:hAnsi="Arial"/>
                <w:b/>
                <w:bCs/>
                <w:i/>
                <w:iCs/>
                <w:color w:val="1F2937"/>
                <w:sz w:val="26"/>
                <w:szCs w:val="26"/>
              </w:rPr>
              <w:t xml:space="preserve">The CTO's assessment converts this brief from a concept you have read into a decision you can make with confidence.</w:t>
            </w:r>
          </w:p>
        </w:tc>
      </w:tr>
    </w:tbl>
    <w:p>
      <w:pPr>
        <w:spacing w:after="160" w:before="320"/>
      </w:pPr>
      <w:r>
        <w:rPr>
          <w:rFonts w:ascii="Arial" w:cs="Arial" w:eastAsia="Arial" w:hAnsi="Arial"/>
          <w:b/>
          <w:bCs/>
          <w:color w:val="1F4E79"/>
          <w:sz w:val="30"/>
          <w:szCs w:val="30"/>
        </w:rPr>
        <w:t xml:space="preserve">VII.  What Happens After the CTO Assessment</w:t>
      </w:r>
    </w:p>
    <w:p>
      <w:pPr>
        <w:spacing w:after="140" w:before="140" w:line="340"/>
      </w:pPr>
      <w:r>
        <w:rPr>
          <w:rFonts w:ascii="Arial" w:cs="Arial" w:eastAsia="Arial" w:hAnsi="Arial"/>
          <w:b w:val="false"/>
          <w:bCs w:val="false"/>
          <w:i w:val="false"/>
          <w:iCs w:val="false"/>
          <w:color w:val="1F2937"/>
          <w:sz w:val="26"/>
          <w:szCs w:val="26"/>
        </w:rPr>
        <w:t xml:space="preserve">If the CTO confirms feasibility, the next step is a 90-day diagnostic pilot:</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600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Phase</w:t>
            </w:r>
          </w:p>
        </w:tc>
        <w:tc>
          <w:tcPr>
            <w:tcW w:type="dxa" w:w="1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Weeks</w:t>
            </w:r>
          </w:p>
        </w:tc>
        <w:tc>
          <w:tcPr>
            <w:tcW w:type="dxa" w:w="6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spacing w:after="60" w:before="60" w:line="340"/>
            </w:pPr>
            <w:r>
              <w:rPr>
                <w:rFonts w:ascii="Arial" w:cs="Arial" w:eastAsia="Arial" w:hAnsi="Arial"/>
                <w:b/>
                <w:bCs/>
                <w:i w:val="false"/>
                <w:iCs w:val="false"/>
                <w:color w:val="FFFFFF"/>
                <w:sz w:val="22"/>
                <w:szCs w:val="22"/>
              </w:rPr>
              <w:t xml:space="preserve">Key Deliverable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Foundation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1–3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System connection map. Baseline dataset. Human sensing launched. Threshold calibration.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Activation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4–8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L1 and L2 alerts active. Learning Register launched. First OHI reading. CEO Reflection channel established.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60" w:before="60" w:line="340"/>
            </w:pPr>
            <w:r>
              <w:rPr>
                <w:rFonts w:ascii="Arial" w:cs="Arial" w:eastAsia="Arial" w:hAnsi="Arial"/>
                <w:b/>
                <w:bCs/>
                <w:i w:val="false"/>
                <w:iCs w:val="false"/>
                <w:color w:val="1F2937"/>
                <w:sz w:val="22"/>
                <w:szCs w:val="22"/>
              </w:rPr>
              <w:t xml:space="preserve">Intelligence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9–12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340"/>
            </w:pPr>
            <w:r>
              <w:rPr>
                <w:rFonts w:ascii="Arial" w:cs="Arial" w:eastAsia="Arial" w:hAnsi="Arial"/>
                <w:b w:val="false"/>
                <w:bCs w:val="false"/>
                <w:i w:val="false"/>
                <w:iCs w:val="false"/>
                <w:color w:val="1F2937"/>
                <w:sz w:val="22"/>
                <w:szCs w:val="22"/>
              </w:rPr>
              <w:t xml:space="preserve">L3 correlation engine validated. Cross-function correlations reviewed. Pilot findings report produced.</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Three Outcomes That Confirm a Successful Pilot</w:t>
            </w:r>
          </w:p>
          <w:p>
            <w:pPr>
              <w:spacing w:after="140" w:before="140" w:line="340"/>
            </w:pPr>
            <w:r>
              <w:rPr>
                <w:rFonts w:ascii="Arial" w:cs="Arial" w:eastAsia="Arial" w:hAnsi="Arial"/>
                <w:b w:val="false"/>
                <w:bCs w:val="false"/>
                <w:i w:val="false"/>
                <w:iCs w:val="false"/>
                <w:color w:val="1F2937"/>
                <w:sz w:val="26"/>
                <w:szCs w:val="26"/>
              </w:rPr>
              <w:t xml:space="preserve">1.  At least one Level 2 anomaly detection not visible in conventional reporting.</w:t>
            </w:r>
          </w:p>
          <w:p>
            <w:pPr>
              <w:spacing w:after="140" w:before="140" w:line="340"/>
            </w:pPr>
            <w:r>
              <w:rPr>
                <w:rFonts w:ascii="Arial" w:cs="Arial" w:eastAsia="Arial" w:hAnsi="Arial"/>
                <w:b w:val="false"/>
                <w:bCs w:val="false"/>
                <w:i w:val="false"/>
                <w:iCs w:val="false"/>
                <w:color w:val="1F2937"/>
                <w:sz w:val="26"/>
                <w:szCs w:val="26"/>
              </w:rPr>
              <w:t xml:space="preserve">2.  At least one Level 3 cross-function correlation treated as a single diagnostic.</w:t>
            </w:r>
          </w:p>
          <w:p>
            <w:pPr>
              <w:spacing w:after="140" w:before="140" w:line="340"/>
            </w:pPr>
            <w:r>
              <w:rPr>
                <w:rFonts w:ascii="Arial" w:cs="Arial" w:eastAsia="Arial" w:hAnsi="Arial"/>
                <w:b w:val="false"/>
                <w:bCs w:val="false"/>
                <w:i w:val="false"/>
                <w:iCs w:val="false"/>
                <w:color w:val="1F2937"/>
                <w:sz w:val="26"/>
                <w:szCs w:val="26"/>
              </w:rPr>
              <w:t xml:space="preserve">3.  At least one Learning Register entry producing a verified process amendment.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What VITAL Does Not Commit You To</w:t>
            </w:r>
          </w:p>
          <w:p>
            <w:pPr>
              <w:spacing w:after="140" w:before="140" w:line="340"/>
            </w:pPr>
            <w:r>
              <w:rPr>
                <w:rFonts w:ascii="Arial" w:cs="Arial" w:eastAsia="Arial" w:hAnsi="Arial"/>
                <w:b w:val="false"/>
                <w:bCs w:val="false"/>
                <w:i w:val="false"/>
                <w:iCs w:val="false"/>
                <w:color w:val="1F2937"/>
                <w:sz w:val="26"/>
                <w:szCs w:val="26"/>
              </w:rPr>
              <w:t xml:space="preserve">Full deployment. The pilot is designed to produce the evidence required to make a deployment decision — not to assume one. Once the pilot is complete and all documentation is handed over, the organisation owns and operates VITAL independently. No ongoing external dependency.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5FB" w:val="clear"/>
            <w:tcMar>
              <w:top w:type="dxa" w:w="160"/>
              <w:left w:type="dxa" w:w="240"/>
              <w:bottom w:type="dxa" w:w="160"/>
              <w:right w:type="dxa" w:w="240"/>
            </w:tcMar>
          </w:tcPr>
          <w:p>
            <w:pPr>
              <w:spacing w:after="140" w:before="140" w:line="340"/>
            </w:pPr>
            <w:r>
              <w:rPr>
                <w:rFonts w:ascii="Arial" w:cs="Arial" w:eastAsia="Arial" w:hAnsi="Arial"/>
                <w:b/>
                <w:bCs/>
                <w:i w:val="false"/>
                <w:iCs w:val="false"/>
                <w:color w:val="1F4E79"/>
                <w:sz w:val="26"/>
                <w:szCs w:val="26"/>
              </w:rPr>
              <w:t xml:space="preserve">The Decision</w:t>
            </w:r>
          </w:p>
          <w:p>
            <w:pPr>
              <w:spacing w:after="140" w:before="140" w:line="340"/>
            </w:pPr>
            <w:r>
              <w:rPr>
                <w:rFonts w:ascii="Arial" w:cs="Arial" w:eastAsia="Arial" w:hAnsi="Arial"/>
                <w:b/>
                <w:bCs/>
                <w:i w:val="false"/>
                <w:iCs w:val="false"/>
                <w:color w:val="1F2937"/>
                <w:sz w:val="26"/>
                <w:szCs w:val="26"/>
              </w:rPr>
              <w:t xml:space="preserve">Assign your CTO to review the VITAL Technical and Strategic Overview.</w:t>
            </w:r>
          </w:p>
          <w:p>
            <w:pPr>
              <w:spacing w:after="140" w:before="140" w:line="340"/>
            </w:pPr>
            <w:r>
              <w:rPr>
                <w:rFonts w:ascii="Arial" w:cs="Arial" w:eastAsia="Arial" w:hAnsi="Arial"/>
                <w:b w:val="false"/>
                <w:bCs w:val="false"/>
                <w:i w:val="false"/>
                <w:iCs w:val="false"/>
                <w:color w:val="1F2937"/>
                <w:sz w:val="26"/>
                <w:szCs w:val="26"/>
              </w:rPr>
              <w:t xml:space="preserve">The CTO assesses current automation, health monitoring value, resources required, and pilot feasibility. The CTO's recommendation gives you the basis to decide whether a 90-day diagnostic pilot is worth running. The framework, the documentation, and the pilot design are specified and ready.</w:t>
            </w:r>
          </w:p>
          <w:p>
            <w:pPr>
              <w:spacing w:after="140" w:before="140" w:line="340"/>
            </w:pPr>
            <w:r>
              <w:rPr>
                <w:rFonts w:ascii="Arial" w:cs="Arial" w:eastAsia="Arial" w:hAnsi="Arial"/>
                <w:b/>
                <w:bCs/>
                <w:i/>
                <w:iCs/>
                <w:color w:val="1F2937"/>
                <w:sz w:val="26"/>
                <w:szCs w:val="26"/>
              </w:rPr>
              <w:t xml:space="preserve">What is needed is your decision to investigate.</w:t>
            </w:r>
          </w:p>
        </w:tc>
      </w:tr>
    </w:tbl>
    <w:p>
      <w:pPr>
        <w:spacing w:after="100" w:before="200"/>
      </w:pPr>
    </w:p>
    <w:p>
      <w:pPr>
        <w:spacing w:after="140" w:before="140" w:line="340"/>
      </w:pPr>
      <w:r>
        <w:rPr>
          <w:rFonts w:ascii="Arial" w:cs="Arial" w:eastAsia="Arial" w:hAnsi="Arial"/>
          <w:b w:val="false"/>
          <w:bCs w:val="false"/>
          <w:i/>
          <w:iCs/>
          <w:color w:val="1F2937"/>
          <w:sz w:val="26"/>
          <w:szCs w:val="26"/>
        </w:rPr>
        <w:t xml:space="preserve">The organisation that implements VITAL fully will detect financial stress before it reaches the balance sheet, culture problems before they drive attrition, delivery failures before they reach customers, and relationship deterioration before it produces revenue loss.</w:t>
      </w:r>
    </w:p>
    <w:p>
      <w:pPr>
        <w:spacing w:after="140" w:before="140" w:line="340"/>
      </w:pPr>
      <w:r>
        <w:rPr>
          <w:rFonts w:ascii="Arial" w:cs="Arial" w:eastAsia="Arial" w:hAnsi="Arial"/>
          <w:b/>
          <w:bCs/>
          <w:i/>
          <w:iCs/>
          <w:color w:val="1F2937"/>
          <w:sz w:val="26"/>
          <w:szCs w:val="26"/>
        </w:rPr>
        <w:t xml:space="preserve">The CTO assessment is the first step toward testing whether that statement is true for your organisation.</w:t>
      </w:r>
    </w:p>
    <w:p>
      <w:pPr>
        <w:spacing w:after="100" w:before="200"/>
      </w:pPr>
    </w:p>
    <w:p>
      <w:pPr>
        <w:spacing w:after="140" w:before="140" w:line="340"/>
      </w:pPr>
      <w:r>
        <w:rPr>
          <w:rFonts w:ascii="Arial" w:cs="Arial" w:eastAsia="Arial" w:hAnsi="Arial"/>
          <w:b w:val="false"/>
          <w:bCs w:val="false"/>
          <w:i w:val="false"/>
          <w:iCs w:val="false"/>
          <w:color w:val="888888"/>
          <w:sz w:val="20"/>
          <w:szCs w:val="20"/>
        </w:rPr>
        <w:t xml:space="preserve">PROJECT VITAL  |  CEO's Brief  |  Version 5  |  April 2026</w:t>
      </w:r>
    </w:p>
    <w:p>
      <w:pPr>
        <w:spacing w:after="140" w:before="140" w:line="340"/>
      </w:pPr>
      <w:r>
        <w:rPr>
          <w:rFonts w:ascii="Arial" w:cs="Arial" w:eastAsia="Arial" w:hAnsi="Arial"/>
          <w:b w:val="false"/>
          <w:bCs w:val="false"/>
          <w:i/>
          <w:iCs/>
          <w:color w:val="888888"/>
          <w:sz w:val="20"/>
          <w:szCs w:val="20"/>
        </w:rPr>
        <w:t xml:space="preserve">Developed by Rakesh Chandra Goyal, in collaboration with Claude (Anthropic) as AI research and documentation partner</w:t>
      </w:r>
    </w:p>
    <w:p>
      <w:pPr>
        <w:spacing w:after="140" w:before="140" w:line="340"/>
      </w:pPr>
      <w:r>
        <w:rPr>
          <w:rFonts w:ascii="Arial" w:cs="Arial" w:eastAsia="Arial" w:hAnsi="Arial"/>
          <w:b/>
          <w:bCs/>
          <w:i w:val="false"/>
          <w:iCs w:val="false"/>
          <w:color w:val="888888"/>
          <w:sz w:val="20"/>
          <w:szCs w:val="20"/>
        </w:rPr>
        <w:t xml:space="preserve">Full Framework Documentation  |  Executive Summary  |  Implementation Guide  |  90-Day Pilot Design — 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2026-04-20T07:15:02.509Z</dcterms:created>
  <dcterms:modified xsi:type="dcterms:W3CDTF">2026-04-20T07:15:02.510Z</dcterms:modified>
</cp:coreProperties>
</file>

<file path=docProps/custom.xml><?xml version="1.0" encoding="utf-8"?>
<Properties xmlns="http://schemas.openxmlformats.org/officeDocument/2006/custom-properties" xmlns:vt="http://schemas.openxmlformats.org/officeDocument/2006/docPropsVTypes"/>
</file>