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500"/>
        <w:jc w:val="center"/>
      </w:pPr>
      <w:r>
        <w:rPr>
          <w:rFonts w:ascii="Arial" w:cs="Arial" w:eastAsia="Arial" w:hAnsi="Arial"/>
          <w:b/>
          <w:bCs/>
          <w:color w:val="1F3B60"/>
          <w:sz w:val="56"/>
          <w:szCs w:val="56"/>
        </w:rPr>
        <w:t xml:space="preserve">PROJECT VITAL</w:t>
      </w:r>
    </w:p>
    <w:p>
      <w:pPr>
        <w:spacing w:after="60" w:before="0"/>
        <w:jc w:val="center"/>
      </w:pPr>
      <w:r>
        <w:rPr>
          <w:rFonts w:ascii="Arial" w:cs="Arial" w:eastAsia="Arial" w:hAnsi="Arial"/>
          <w:i/>
          <w:iCs/>
          <w:color w:val="2E5F9A"/>
          <w:sz w:val="28"/>
          <w:szCs w:val="28"/>
        </w:rPr>
        <w:t xml:space="preserve">Vital Insights for Thriving Agile Leadership</w:t>
      </w:r>
    </w:p>
    <w:p>
      <w:pPr>
        <w:pBdr>
          <w:top w:val="single" w:color="1F3B60" w:sz="14" w:space="6"/>
          <w:bottom w:val="single" w:color="1F3B60" w:sz="14" w:space="6"/>
        </w:pBdr>
        <w:spacing w:after="80" w:before="200"/>
        <w:jc w:val="center"/>
      </w:pPr>
      <w:r>
        <w:rPr>
          <w:rFonts w:ascii="Arial" w:cs="Arial" w:eastAsia="Arial" w:hAnsi="Arial"/>
          <w:b/>
          <w:bCs/>
          <w:color w:val="1F3B60"/>
          <w:sz w:val="44"/>
          <w:szCs w:val="44"/>
        </w:rPr>
        <w:t xml:space="preserve">FRAMEWORK DESCRIPTION</w:t>
      </w:r>
    </w:p>
    <w:p>
      <w:pPr>
        <w:spacing w:after="60" w:before="120"/>
        <w:jc w:val="center"/>
      </w:pPr>
      <w:r>
        <w:rPr>
          <w:rFonts w:ascii="Arial" w:cs="Arial" w:eastAsia="Arial" w:hAnsi="Arial"/>
          <w:color w:val="1F3B60"/>
          <w:sz w:val="28"/>
          <w:szCs w:val="28"/>
        </w:rPr>
        <w:t xml:space="preserve">Version 7.0  |  April 2026</w:t>
      </w:r>
    </w:p>
    <w:p>
      <w:pPr>
        <w:spacing w:after="60" w:before="0"/>
        <w:jc w:val="center"/>
      </w:pPr>
      <w:r>
        <w:rPr>
          <w:rFonts w:ascii="Arial" w:cs="Arial" w:eastAsia="Arial" w:hAnsi="Arial"/>
          <w:color w:val="2E5F9A"/>
          <w:sz w:val="24"/>
          <w:szCs w:val="24"/>
        </w:rPr>
        <w:t xml:space="preserve">22 Functions  |  4 Tiers  |  20 Named Correlation Rules  |  5 AI Intelligence Levels</w:t>
      </w:r>
    </w:p>
    <w:p>
      <w:pPr>
        <w:spacing w:after="300" w:before="0"/>
        <w:jc w:val="center"/>
      </w:pPr>
      <w:r>
        <w:rPr>
          <w:rFonts w:ascii="Arial" w:cs="Arial" w:eastAsia="Arial" w:hAnsi="Arial"/>
          <w:i/>
          <w:iCs/>
          <w:color w:val="555555"/>
          <w:sz w:val="24"/>
          <w:szCs w:val="24"/>
        </w:rPr>
        <w:t xml:space="preserve">For adopting organisations — describes what VITAL monitors and why</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Borders>
              <w:top w:val="single" w:color="2E75B6" w:sz="6"/>
              <w:left w:val="single" w:color="2E75B6" w:sz="6"/>
              <w:bottom w:val="single" w:color="2E75B6" w:sz="6"/>
              <w:right w:val="single" w:color="2E75B6" w:sz="6"/>
            </w:tcBorders>
            <w:shd w:fill="EBF3FA" w:val="clear"/>
            <w:tcMar>
              <w:top w:type="dxa" w:w="120"/>
              <w:left w:type="dxa" w:w="160"/>
              <w:bottom w:type="dxa" w:w="120"/>
              <w:right w:type="dxa" w:w="160"/>
            </w:tcMar>
          </w:tcPr>
          <w:p>
            <w:r>
              <w:rPr>
                <w:rFonts w:ascii="Arial" w:cs="Arial" w:eastAsia="Arial" w:hAnsi="Arial"/>
                <w:i/>
                <w:iCs/>
                <w:color w:val="1F3B60"/>
                <w:sz w:val="26"/>
                <w:szCs w:val="26"/>
              </w:rPr>
              <w:t xml:space="preserve">New in V7: Phase 0 Historical Intelligence | Six-point AI declaration | Signal Propagation Architecture | Three-category sensing (60/15/25) | Activity Declaration mechanism | AO Method integrations | Triple-loop governance | VITAL and existing management roles | PMO/Programme Manager/Account Manager as named recipients | Sector pain-point column | Signal Discovery Questionnaire as named instrument</w:t>
            </w:r>
          </w:p>
        </w:tc>
      </w:tr>
    </w:tbl>
    <w:p>
      <w:pPr>
        <w:spacing w:after="80" w:before="200"/>
      </w:pPr>
      <w:r>
        <w:t xml:space="preserve"/>
      </w:r>
    </w:p>
    <w:p>
      <w:pPr>
        <w:spacing w:after="40" w:before="100"/>
        <w:jc w:val="center"/>
      </w:pPr>
      <w:r>
        <w:rPr>
          <w:rFonts w:ascii="Arial" w:cs="Arial" w:eastAsia="Arial" w:hAnsi="Arial"/>
          <w:i/>
          <w:iCs/>
          <w:color w:val="1F3B60"/>
          <w:sz w:val="24"/>
          <w:szCs w:val="24"/>
        </w:rPr>
        <w:t xml:space="preserve">Developed by Rakesh Chandra Goyal</w:t>
      </w:r>
    </w:p>
    <w:p>
      <w:pPr>
        <w:spacing w:after="40" w:before="0"/>
        <w:jc w:val="center"/>
      </w:pPr>
      <w:r>
        <w:rPr>
          <w:rFonts w:ascii="Arial" w:cs="Arial" w:eastAsia="Arial" w:hAnsi="Arial"/>
          <w:i/>
          <w:iCs/>
          <w:color w:val="1F3B60"/>
          <w:sz w:val="24"/>
          <w:szCs w:val="24"/>
        </w:rPr>
        <w:t xml:space="preserve">in collaboration with Claude (Anthropic) as AI research and documentation partner</w:t>
      </w:r>
    </w:p>
    <w:p>
      <w:pPr>
        <w:pBdr>
          <w:bottom w:val="single" w:color="1F3B60" w:sz="8" w:space="4"/>
        </w:pBdr>
        <w:spacing w:after="120" w:before="320"/>
      </w:pPr>
      <w:r>
        <w:rPr>
          <w:rFonts w:ascii="Arial" w:cs="Arial" w:eastAsia="Arial" w:hAnsi="Arial"/>
          <w:b/>
          <w:bCs/>
          <w:color w:val="1F3B60"/>
          <w:sz w:val="32"/>
          <w:szCs w:val="32"/>
        </w:rPr>
        <w:t xml:space="preserve">I.  Purpose and Scope</w:t>
      </w:r>
    </w:p>
    <w:p>
      <w:pPr>
        <w:spacing w:after="80" w:before="80"/>
      </w:pPr>
      <w:r>
        <w:rPr>
          <w:rFonts w:ascii="Arial" w:cs="Arial" w:eastAsia="Arial" w:hAnsi="Arial"/>
          <w:sz w:val="28"/>
          <w:szCs w:val="28"/>
        </w:rPr>
        <w:t xml:space="preserve">VITAL — Vital Insights for Thriving Agile Leadership — is an organisational health monitoring framework. Its purpose is to give leadership a continuous, correlated, cross-function view of organisational health, enabling intervention on early signals rather than late consequences. It monitors 22 organisational functions across four tiers, combining automated system intelligence with structured human sensing, to detect the conditions that precede operational distress 30 to 60 days before they become visible in conventional reporting.</w:t>
      </w:r>
    </w:p>
    <w:p>
      <w:pPr>
        <w:spacing w:after="80" w:before="80"/>
      </w:pPr>
      <w:r>
        <w:t xml:space="preserve"/>
      </w:r>
    </w:p>
    <w:p>
      <w:pPr>
        <w:spacing w:after="80" w:before="240"/>
      </w:pPr>
      <w:r>
        <w:rPr>
          <w:rFonts w:ascii="Arial" w:cs="Arial" w:eastAsia="Arial" w:hAnsi="Arial"/>
          <w:b/>
          <w:bCs/>
          <w:color w:val="2E5F9A"/>
          <w:sz w:val="28"/>
          <w:szCs w:val="28"/>
        </w:rPr>
        <w:t xml:space="preserve">Phenomenological Design</w:t>
      </w:r>
    </w:p>
    <w:p>
      <w:pPr>
        <w:spacing w:after="80" w:before="80"/>
      </w:pPr>
      <w:r>
        <w:rPr>
          <w:rFonts w:ascii="Arial" w:cs="Arial" w:eastAsia="Arial" w:hAnsi="Arial"/>
          <w:sz w:val="28"/>
          <w:szCs w:val="28"/>
        </w:rPr>
        <w:t xml:space="preserve">VITAL observes what is actually happening in an organisation, not what its declared structure says should be happening. Organisational structure — reporting lines, formal hierarchies, defined roles — is irrelevant to diagnosis. A function is monitored because the activities associated with it occur in this organisation, not because a department with that name exists on the org chart. Structure matters only at the governance and implementation layer, where it determines who receives which alerts and who is accountable for which responses.</w:t>
      </w:r>
    </w:p>
    <w:p>
      <w:pPr>
        <w:spacing w:after="80" w:before="80"/>
      </w:pPr>
      <w:r>
        <w:t xml:space="preserve"/>
      </w:r>
    </w:p>
    <w:p>
      <w:pPr>
        <w:spacing w:after="80" w:before="240"/>
      </w:pPr>
      <w:r>
        <w:rPr>
          <w:rFonts w:ascii="Arial" w:cs="Arial" w:eastAsia="Arial" w:hAnsi="Arial"/>
          <w:b/>
          <w:bCs/>
          <w:color w:val="2E5F9A"/>
          <w:sz w:val="28"/>
          <w:szCs w:val="28"/>
        </w:rPr>
        <w:t xml:space="preserve">The Organisational Values Foundation</w:t>
      </w:r>
    </w:p>
    <w:p>
      <w:pPr>
        <w:spacing w:after="80" w:before="80"/>
      </w:pPr>
      <w:r>
        <w:rPr>
          <w:rFonts w:ascii="Arial" w:cs="Arial" w:eastAsia="Arial" w:hAnsi="Arial"/>
          <w:sz w:val="28"/>
          <w:szCs w:val="28"/>
        </w:rPr>
        <w:t xml:space="preserve">VITAL's sensing architecture is grounded in the values of the Soul of Agile — Collective Co-Creation, Purpose-Driven Collaboration, Empathy and Transparency, Evolutionary Thinking, and Sustainable Delivery. These are not software development values. They are human organisational values that predict operational health across every industry and every type of organisation. An organisation that embodies them consistently is one that can sense change, respond intelligently, and learn from experience — regardless of what it makes, delivers, or serves.</w:t>
      </w:r>
    </w:p>
    <w:p>
      <w:pPr>
        <w:spacing w:after="80" w:before="80"/>
      </w:pPr>
      <w:r>
        <w:rPr>
          <w:rFonts w:ascii="Arial" w:cs="Arial" w:eastAsia="Arial" w:hAnsi="Arial"/>
          <w:sz w:val="28"/>
          <w:szCs w:val="28"/>
        </w:rPr>
        <w:t xml:space="preserve">These values are not aspirations in VITAL — they are operationalised as sensing signals. Collective Co-Creation manifests in CF2's co-creation parameter and E5's strategic cascade. Purpose-Driven Collaboration manifests in E1's psychological safety and CF3's team dynamics. Empathy and Transparency manifest in E6's information flow and CF2's honest communication signals. Evolutionary Thinking manifests in E3's learning conversion and RF1's innovation pipeline. Sustainable Delivery manifests in CF3's sustainable pace and CF4's process adherence. Manufacturing, financial services, healthcare, education, logistics, public sector — all share these dimensions. VITAL monitors them universally.</w:t>
      </w:r>
    </w:p>
    <w:p>
      <w:pPr>
        <w:spacing w:after="80" w:before="80"/>
      </w:pPr>
      <w:r>
        <w:t xml:space="preserve"/>
      </w:r>
    </w:p>
    <w:p>
      <w:pPr>
        <w:spacing w:after="80" w:before="240"/>
      </w:pPr>
      <w:r>
        <w:rPr>
          <w:rFonts w:ascii="Arial" w:cs="Arial" w:eastAsia="Arial" w:hAnsi="Arial"/>
          <w:b/>
          <w:bCs/>
          <w:color w:val="2E5F9A"/>
          <w:sz w:val="28"/>
          <w:szCs w:val="28"/>
        </w:rPr>
        <w:t xml:space="preserve">Universal Applicability</w:t>
      </w:r>
    </w:p>
    <w:p>
      <w:pPr>
        <w:spacing w:after="80" w:before="80"/>
      </w:pPr>
      <w:r>
        <w:rPr>
          <w:rFonts w:ascii="Arial" w:cs="Arial" w:eastAsia="Arial" w:hAnsi="Arial"/>
          <w:sz w:val="28"/>
          <w:szCs w:val="28"/>
        </w:rPr>
        <w:t xml:space="preserve">Every functioning organisation has the same organisational physiology: a financial heart, a leadership brain, people-and-capability lungs, a delivery circulatory system, a compliance immune system, a technology nervous system, and a revenue-market metabolism. The architecture is universal. Domain Calibration — a thin layer of sector-specific thresholds, existential parameters, and question wording adjustments — adapts VITAL to sector context without altering the underlying physiology it monitors.</w:t>
      </w:r>
    </w:p>
    <w:p>
      <w:pPr>
        <w:spacing w:after="40" w:before="120"/>
      </w:pPr>
      <w:r>
        <w:t xml:space="preserve"/>
      </w:r>
    </w:p>
    <w:p>
      <w:pPr>
        <w:pBdr>
          <w:bottom w:val="single" w:color="1F3B60" w:sz="8" w:space="4"/>
        </w:pBdr>
        <w:spacing w:after="120" w:before="320"/>
      </w:pPr>
      <w:r>
        <w:rPr>
          <w:rFonts w:ascii="Arial" w:cs="Arial" w:eastAsia="Arial" w:hAnsi="Arial"/>
          <w:b/>
          <w:bCs/>
          <w:color w:val="1F3B60"/>
          <w:sz w:val="32"/>
          <w:szCs w:val="32"/>
        </w:rPr>
        <w:t xml:space="preserve">II.  VITAL as Continuous Systemic Awareness Infrastructure</w:t>
      </w:r>
    </w:p>
    <w:p>
      <w:pPr>
        <w:spacing w:after="60" w:before="0"/>
      </w:pPr>
      <w:r>
        <w:rPr>
          <w:rFonts w:ascii="Arial" w:cs="Arial" w:eastAsia="Arial" w:hAnsi="Arial"/>
          <w:b/>
          <w:bCs/>
          <w:color w:val="8B0000"/>
          <w:sz w:val="24"/>
          <w:szCs w:val="24"/>
        </w:rPr>
        <w:t xml:space="preserve">New in V7 — formalising the systemic intelligence positioning. </w:t>
      </w:r>
      <w:r>
        <w:rPr>
          <w:rFonts w:ascii="Arial" w:cs="Arial" w:eastAsia="Arial" w:hAnsi="Arial"/>
          <w:i/>
          <w:iCs/>
          <w:color w:val="555555"/>
          <w:sz w:val="24"/>
          <w:szCs w:val="24"/>
        </w:rPr>
        <w:t xml:space="preserve">Sources: Ashish Nagar (second communication) | Dhruv Nijhawan (sector pain identification) | Ross Wirth (why signals were ignored)</w:t>
      </w:r>
    </w:p>
    <w:p>
      <w:pPr>
        <w:spacing w:after="80" w:before="80"/>
      </w:pPr>
      <w:r>
        <w:rPr>
          <w:rFonts w:ascii="Arial" w:cs="Arial" w:eastAsia="Arial" w:hAnsi="Arial"/>
          <w:sz w:val="28"/>
          <w:szCs w:val="28"/>
        </w:rPr>
        <w:t xml:space="preserve">Most enterprise monitoring systems share a foundational assumption: that organisational health can be understood by analysing each function independently. Finance monitors financial indicators. Operations monitors delivery metrics. HR monitors workforce data. Each system may operate effectively within its domain, yet organisations continue to experience crises that were developing for months before becoming visible in any single dashboard.</w:t>
      </w:r>
    </w:p>
    <w:p>
      <w:pPr>
        <w:spacing w:after="80" w:before="80"/>
      </w:pPr>
      <w:r>
        <w:rPr>
          <w:rFonts w:ascii="Arial" w:cs="Arial" w:eastAsia="Arial" w:hAnsi="Arial"/>
          <w:sz w:val="28"/>
          <w:szCs w:val="28"/>
        </w:rPr>
        <w:t xml:space="preserve">This is not primarily a data availability problem. It is a systems interpretation problem. Organisations possess vast operational data but limited capability to recognise patterns of systemic drift across functions before those patterns become operationally visible. Senior leaders often develop an intuitive sense for these patterns through experience — but this sensing capability is informal, person-dependent, and rarely institutionalised.</w:t>
      </w:r>
    </w:p>
    <w:p>
      <w:pPr>
        <w:spacing w:after="80" w:before="80"/>
      </w:pPr>
      <w:r>
        <w:rPr>
          <w:rFonts w:ascii="Arial" w:cs="Arial" w:eastAsia="Arial" w:hAnsi="Arial"/>
          <w:sz w:val="28"/>
          <w:szCs w:val="28"/>
        </w:rPr>
        <w:t xml:space="preserve">VITAL represents an early step toward a new class of organisational infrastructure: continuous systemic awareness systems — mechanisms by which an organisation becomes capable of recognising emerging systemic conditions before they become operational failures. Its design differs from predecessor frameworks in one critical respect: it monitors the interactions between functions, not merely the health of functions in isolation.</w:t>
      </w:r>
    </w:p>
    <w:p>
      <w:pPr>
        <w:spacing w:after="60" w:before="80"/>
      </w:pPr>
      <w:r>
        <w:t xml:space="preserve"/>
      </w:r>
    </w:p>
    <w:p>
      <w:pPr>
        <w:spacing w:after="80" w:before="240"/>
      </w:pPr>
      <w:r>
        <w:rPr>
          <w:rFonts w:ascii="Arial" w:cs="Arial" w:eastAsia="Arial" w:hAnsi="Arial"/>
          <w:b/>
          <w:bCs/>
          <w:color w:val="2E5F9A"/>
          <w:sz w:val="28"/>
          <w:szCs w:val="28"/>
        </w:rPr>
        <w:t xml:space="preserve">On Originality and Prior Frameworks</w:t>
      </w:r>
    </w:p>
    <w:p>
      <w:pPr>
        <w:spacing w:after="80" w:before="80"/>
      </w:pPr>
      <w:r>
        <w:rPr>
          <w:rFonts w:ascii="Arial" w:cs="Arial" w:eastAsia="Arial" w:hAnsi="Arial"/>
          <w:sz w:val="28"/>
          <w:szCs w:val="28"/>
        </w:rPr>
        <w:t xml:space="preserve">Prior frameworks — enterprise risk management, balanced scorecard, integrated performance management, decision intelligence platforms, organisational network analysis — have addressed related problems and contain genuine insights that inform VITAL's design. VITAL's specific contribution is the simultaneous integration of four elements not previously combined: cross-tier signal correlation that detects emergent patterns between functions; hybrid system-and-human sensing that captures both quantitative data and qualitative organisational intelligence; institutional learning loops that convert every resolved alert into a permanent process amendment; and a four-tier architecture that distinguishes acute, structural, substitutional, and amplificational failure modes.</w:t>
      </w:r>
    </w:p>
    <w:p>
      <w:pPr>
        <w:spacing w:after="80" w:before="80"/>
      </w:pPr>
      <w:r>
        <w:rPr>
          <w:rFonts w:ascii="Arial" w:cs="Arial" w:eastAsia="Arial" w:hAnsi="Arial"/>
          <w:sz w:val="28"/>
          <w:szCs w:val="28"/>
        </w:rPr>
        <w:t xml:space="preserve">No prior framework combines these four elements within a single continuous sensing architecture. VITAL's contribution is not the originality of its ingredients — it is the specificity and coherence of their integration into a deployable monitoring system.</w:t>
      </w:r>
    </w:p>
    <w:p>
      <w:pPr>
        <w:spacing w:after="40" w:before="120"/>
      </w:pPr>
      <w:r>
        <w:t xml:space="preserve"/>
      </w:r>
    </w:p>
    <w:p>
      <w:pPr>
        <w:pBdr>
          <w:bottom w:val="single" w:color="1F3B60" w:sz="8" w:space="4"/>
        </w:pBdr>
        <w:spacing w:after="120" w:before="320"/>
      </w:pPr>
      <w:r>
        <w:rPr>
          <w:rFonts w:ascii="Arial" w:cs="Arial" w:eastAsia="Arial" w:hAnsi="Arial"/>
          <w:b/>
          <w:bCs/>
          <w:color w:val="1F3B60"/>
          <w:sz w:val="32"/>
          <w:szCs w:val="32"/>
        </w:rPr>
        <w:t xml:space="preserve">III.  Health Architecture — The Four-Tier System</w:t>
      </w:r>
    </w:p>
    <w:p>
      <w:pPr>
        <w:spacing w:after="80" w:before="80"/>
      </w:pPr>
      <w:r>
        <w:rPr>
          <w:rFonts w:ascii="Arial" w:cs="Arial" w:eastAsia="Arial" w:hAnsi="Arial"/>
          <w:sz w:val="28"/>
          <w:szCs w:val="28"/>
        </w:rPr>
        <w:t xml:space="preserve">VITAL classifies every organisational function into four monitoring tiers, each reflecting a distinct mechanism by which organisational health is produced, sustained, degraded, and restored. The four-tier architecture is the central structural advance of VITAL over all prior frameworks.</w:t>
      </w:r>
    </w:p>
    <w:p>
      <w:pPr>
        <w:spacing w:after="60" w:before="80"/>
      </w:pPr>
      <w: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1500"/>
        <w:gridCol w:w="1000"/>
        <w:gridCol w:w="1000"/>
        <w:gridCol w:w="1666"/>
      </w:tblGrid>
      <w:tr>
        <w:tc>
          <w:tcPr>
            <w:tcW w:type="dxa" w:w="700"/>
            <w:gridSpan w:val="1"/>
            <w:tcBorders>
              <w:top w:val="single" w:color="1F3B60" w:sz="1"/>
              <w:left w:val="single" w:color="1F3B60" w:sz="1"/>
              <w:bottom w:val="single" w:color="1F3B60" w:sz="1"/>
              <w:right w:val="single" w:color="1F3B60" w:sz="1"/>
            </w:tcBorders>
            <w:shd w:fill="1F3B6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Tier</w:t>
            </w:r>
          </w:p>
        </w:tc>
        <w:tc>
          <w:tcPr>
            <w:tcW w:type="dxa" w:w="1600"/>
            <w:gridSpan w:val="1"/>
            <w:tcBorders>
              <w:top w:val="single" w:color="1F3B60" w:sz="1"/>
              <w:left w:val="single" w:color="1F3B60" w:sz="1"/>
              <w:bottom w:val="single" w:color="1F3B60" w:sz="1"/>
              <w:right w:val="single" w:color="1F3B60" w:sz="1"/>
            </w:tcBorders>
            <w:shd w:fill="1F3B6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Name</w:t>
            </w:r>
          </w:p>
        </w:tc>
        <w:tc>
          <w:tcPr>
            <w:tcW w:type="dxa" w:w="1500"/>
            <w:gridSpan w:val="1"/>
            <w:tcBorders>
              <w:top w:val="single" w:color="1F3B60" w:sz="1"/>
              <w:left w:val="single" w:color="1F3B60" w:sz="1"/>
              <w:bottom w:val="single" w:color="1F3B60" w:sz="1"/>
              <w:right w:val="single" w:color="1F3B60" w:sz="1"/>
            </w:tcBorders>
            <w:shd w:fill="1F3B6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Functions</w:t>
            </w:r>
          </w:p>
        </w:tc>
        <w:tc>
          <w:tcPr>
            <w:tcW w:type="dxa" w:w="1000"/>
            <w:gridSpan w:val="1"/>
            <w:tcBorders>
              <w:top w:val="single" w:color="1F3B60" w:sz="1"/>
              <w:left w:val="single" w:color="1F3B60" w:sz="1"/>
              <w:bottom w:val="single" w:color="1F3B60" w:sz="1"/>
              <w:right w:val="single" w:color="1F3B60" w:sz="1"/>
            </w:tcBorders>
            <w:shd w:fill="1F3B6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Cadence</w:t>
            </w:r>
          </w:p>
        </w:tc>
        <w:tc>
          <w:tcPr>
            <w:tcW w:type="dxa" w:w="1000"/>
            <w:gridSpan w:val="1"/>
            <w:tcBorders>
              <w:top w:val="single" w:color="1F3B60" w:sz="1"/>
              <w:left w:val="single" w:color="1F3B60" w:sz="1"/>
              <w:bottom w:val="single" w:color="1F3B60" w:sz="1"/>
              <w:right w:val="single" w:color="1F3B60" w:sz="1"/>
            </w:tcBorders>
            <w:shd w:fill="1F3B6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Response</w:t>
            </w:r>
          </w:p>
        </w:tc>
        <w:tc>
          <w:tcPr>
            <w:tcW w:type="dxa" w:w="1666"/>
            <w:gridSpan w:val="1"/>
            <w:tcBorders>
              <w:top w:val="single" w:color="1F3B60" w:sz="1"/>
              <w:left w:val="single" w:color="1F3B60" w:sz="1"/>
              <w:bottom w:val="single" w:color="1F3B60" w:sz="1"/>
              <w:right w:val="single" w:color="1F3B60" w:sz="1"/>
            </w:tcBorders>
            <w:shd w:fill="1F3B6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Correlation Type</w:t>
            </w:r>
          </w:p>
        </w:tc>
      </w:tr>
      <w:tr>
        <w:tc>
          <w:tcPr>
            <w:tcW w:type="dxa" w:w="7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b/>
                <w:bCs/>
                <w:sz w:val="24"/>
                <w:szCs w:val="24"/>
              </w:rPr>
              <w:t xml:space="preserve">Tier 1</w:t>
            </w:r>
          </w:p>
        </w:tc>
        <w:tc>
          <w:tcPr>
            <w:tcW w:type="dxa" w:w="16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Critical Functions</w:t>
            </w:r>
          </w:p>
        </w:tc>
        <w:tc>
          <w:tcPr>
            <w:tcW w:type="dxa" w:w="15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CF1–CF7  (7 functions)</w:t>
            </w:r>
          </w:p>
        </w:tc>
        <w:tc>
          <w:tcPr>
            <w:tcW w:type="dxa" w:w="10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Continuous / weekly</w:t>
            </w:r>
          </w:p>
        </w:tc>
        <w:tc>
          <w:tcPr>
            <w:tcW w:type="dxa" w:w="10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4 hours</w:t>
            </w:r>
          </w:p>
        </w:tc>
        <w:tc>
          <w:tcPr>
            <w:tcW w:type="dxa" w:w="1666"/>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Acute — CF↔CF, hours to days</w:t>
            </w:r>
          </w:p>
        </w:tc>
      </w:tr>
      <w:tr>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4"/>
                <w:szCs w:val="24"/>
              </w:rPr>
              <w:t xml:space="preserve">Tier 2</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Essential Functions</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E1–E7  (7 functions)</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Weekly sensing</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72 hours</w:t>
            </w:r>
          </w:p>
        </w:tc>
        <w:tc>
          <w:tcPr>
            <w:tcW w:type="dxa" w:w="166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Structural — EF→CF, weeks to months</w:t>
            </w:r>
          </w:p>
        </w:tc>
      </w:tr>
      <w:tr>
        <w:tc>
          <w:tcPr>
            <w:tcW w:type="dxa" w:w="7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b/>
                <w:bCs/>
                <w:sz w:val="24"/>
                <w:szCs w:val="24"/>
              </w:rPr>
              <w:t xml:space="preserve">Tier 3</w:t>
            </w:r>
          </w:p>
        </w:tc>
        <w:tc>
          <w:tcPr>
            <w:tcW w:type="dxa" w:w="16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Foundation Functions</w:t>
            </w:r>
          </w:p>
        </w:tc>
        <w:tc>
          <w:tcPr>
            <w:tcW w:type="dxa" w:w="15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FF1–FF4  (4 functions)</w:t>
            </w:r>
          </w:p>
        </w:tc>
        <w:tc>
          <w:tcPr>
            <w:tcW w:type="dxa" w:w="10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Monthly sensing</w:t>
            </w:r>
          </w:p>
        </w:tc>
        <w:tc>
          <w:tcPr>
            <w:tcW w:type="dxa" w:w="10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2–4 weeks</w:t>
            </w:r>
          </w:p>
        </w:tc>
        <w:tc>
          <w:tcPr>
            <w:tcW w:type="dxa" w:w="1666"/>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Substitutional — FF→CF, months to years</w:t>
            </w:r>
          </w:p>
        </w:tc>
      </w:tr>
      <w:tr>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4"/>
                <w:szCs w:val="24"/>
              </w:rPr>
              <w:t xml:space="preserve">Tier 4</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Resilience Functions</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RF1–RF4  (4 functions)</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Quarterly sensing</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1–3 months</w:t>
            </w:r>
          </w:p>
        </w:tc>
        <w:tc>
          <w:tcPr>
            <w:tcW w:type="dxa" w:w="166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Amplificational — RF→recovery capacity</w:t>
            </w:r>
          </w:p>
        </w:tc>
      </w:tr>
    </w:tbl>
    <w:p>
      <w:pPr>
        <w:spacing w:after="60" w:before="80"/>
      </w:pPr>
      <w:r>
        <w:t xml:space="preserve"/>
      </w:r>
    </w:p>
    <w:p>
      <w:pPr>
        <w:spacing w:after="80" w:before="240"/>
      </w:pPr>
      <w:r>
        <w:rPr>
          <w:rFonts w:ascii="Arial" w:cs="Arial" w:eastAsia="Arial" w:hAnsi="Arial"/>
          <w:b/>
          <w:bCs/>
          <w:color w:val="2E5F9A"/>
          <w:sz w:val="28"/>
          <w:szCs w:val="28"/>
        </w:rPr>
        <w:t xml:space="preserve">Why Four Tiers — The Biological Rationale</w:t>
      </w:r>
    </w:p>
    <w:p>
      <w:pPr>
        <w:spacing w:after="80" w:before="80"/>
      </w:pPr>
      <w:r>
        <w:rPr>
          <w:rFonts w:ascii="Arial" w:cs="Arial" w:eastAsia="Arial" w:hAnsi="Arial"/>
          <w:sz w:val="28"/>
          <w:szCs w:val="28"/>
        </w:rPr>
        <w:t xml:space="preserve">Tier 1 Critical Functions are the vital organs — their failure is fast and potentially fatal. Tier 2 Essential Functions are the life systems — their sustained deterioration produces Critical Function failures with a 4 to 12 week lead time, precisely VITAL's early detection window. Tier 3 Foundation Functions are the skeletal structure and substrate conditions — invisible when healthy, only noticed when failing, with consequences appearing in Tier 1 and Tier 2 symptoms whose root cause lies entirely in Tier 3. Tier 4 Resilience Functions are cardiovascular fitness and recovery capacity — determining whether the organisation absorbs stress events or is overwhelmed by them.</w:t>
      </w:r>
    </w:p>
    <w:p>
      <w:pPr>
        <w:spacing w:after="80" w:before="80"/>
      </w:pPr>
      <w:r>
        <w:rPr>
          <w:rFonts w:ascii="Arial" w:cs="Arial" w:eastAsia="Arial" w:hAnsi="Arial"/>
          <w:sz w:val="28"/>
          <w:szCs w:val="28"/>
        </w:rPr>
        <w:t xml:space="preserve">Four correlation types govern how tiers interact. Acute Correlation: simultaneous adverse signals in two or more Critical Functions activating a named Level 3 rule. Structural Correlation: Essential Function deterioration producing Critical Function consequences 4 to 12 weeks later — VITAL's primary early warning mechanism. Substitutional Correlation: Foundation Function failure manifesting as Critical Function symptoms whose root cause lies in Tier 3, not Tier 1 — the most frequently misdiagnosed pattern in conventional management. Amplificational Correlation: Resilience Function depletion amplifying the consequences of concurrent Critical Function stress events.</w:t>
      </w:r>
    </w:p>
    <w:p>
      <w:pPr>
        <w:spacing w:after="40" w:before="120"/>
      </w:pPr>
      <w:r>
        <w:t xml:space="preserve"/>
      </w:r>
    </w:p>
    <w:p>
      <w:pPr>
        <w:pBdr>
          <w:bottom w:val="single" w:color="1F3B60" w:sz="8" w:space="4"/>
        </w:pBdr>
        <w:spacing w:after="120" w:before="320"/>
      </w:pPr>
      <w:r>
        <w:rPr>
          <w:rFonts w:ascii="Arial" w:cs="Arial" w:eastAsia="Arial" w:hAnsi="Arial"/>
          <w:b/>
          <w:bCs/>
          <w:color w:val="1F3B60"/>
          <w:sz w:val="32"/>
          <w:szCs w:val="32"/>
        </w:rPr>
        <w:t xml:space="preserve">IV.  Tier 1 — Critical Functions: Seven Vital Signs</w:t>
      </w:r>
    </w:p>
    <w:p>
      <w:pPr>
        <w:spacing w:after="80" w:before="80"/>
      </w:pPr>
      <w:r>
        <w:rPr>
          <w:rFonts w:ascii="Arial" w:cs="Arial" w:eastAsia="Arial" w:hAnsi="Arial"/>
          <w:sz w:val="28"/>
          <w:szCs w:val="28"/>
        </w:rPr>
        <w:t xml:space="preserve">Critical Functions are monitored continuously. Any single parameter at Red makes the entire function Red. An Amber alert requires a named response within 4 hours. The seven functions and their interactions produce 20 named Level 3 Acute Correlation Rules — VITAL's primary diagnostic engine.</w:t>
      </w:r>
    </w:p>
    <w:p>
      <w:pPr>
        <w:spacing w:after="60" w:before="80"/>
      </w:pPr>
      <w: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1200"/>
        <w:gridCol w:w="3800"/>
        <w:gridCol w:w="3366"/>
      </w:tblGrid>
      <w:tr>
        <w:tc>
          <w:tcPr>
            <w:tcW w:type="dxa" w:w="500"/>
            <w:gridSpan w:val="1"/>
            <w:tcBorders>
              <w:top w:val="single" w:color="1F3B60" w:sz="1"/>
              <w:left w:val="single" w:color="1F3B60" w:sz="1"/>
              <w:bottom w:val="single" w:color="1F3B60" w:sz="1"/>
              <w:right w:val="single" w:color="1F3B60" w:sz="1"/>
            </w:tcBorders>
            <w:shd w:fill="1F3B6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Code</w:t>
            </w:r>
          </w:p>
        </w:tc>
        <w:tc>
          <w:tcPr>
            <w:tcW w:type="dxa" w:w="1600"/>
            <w:gridSpan w:val="1"/>
            <w:tcBorders>
              <w:top w:val="single" w:color="1F3B60" w:sz="1"/>
              <w:left w:val="single" w:color="1F3B60" w:sz="1"/>
              <w:bottom w:val="single" w:color="1F3B60" w:sz="1"/>
              <w:right w:val="single" w:color="1F3B60" w:sz="1"/>
            </w:tcBorders>
            <w:shd w:fill="1F3B6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Function</w:t>
            </w:r>
          </w:p>
        </w:tc>
        <w:tc>
          <w:tcPr>
            <w:tcW w:type="dxa" w:w="1200"/>
            <w:gridSpan w:val="1"/>
            <w:tcBorders>
              <w:top w:val="single" w:color="1F3B60" w:sz="1"/>
              <w:left w:val="single" w:color="1F3B60" w:sz="1"/>
              <w:bottom w:val="single" w:color="1F3B60" w:sz="1"/>
              <w:right w:val="single" w:color="1F3B60" w:sz="1"/>
            </w:tcBorders>
            <w:shd w:fill="1F3B6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Biological Analogy</w:t>
            </w:r>
          </w:p>
        </w:tc>
        <w:tc>
          <w:tcPr>
            <w:tcW w:type="dxa" w:w="3800"/>
            <w:gridSpan w:val="1"/>
            <w:tcBorders>
              <w:top w:val="single" w:color="1F3B60" w:sz="1"/>
              <w:left w:val="single" w:color="1F3B60" w:sz="1"/>
              <w:bottom w:val="single" w:color="1F3B60" w:sz="1"/>
              <w:right w:val="single" w:color="1F3B60" w:sz="1"/>
            </w:tcBorders>
            <w:shd w:fill="1F3B6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Core Monitoring Focus</w:t>
            </w:r>
          </w:p>
        </w:tc>
        <w:tc>
          <w:tcPr>
            <w:tcW w:type="dxa" w:w="3366"/>
            <w:gridSpan w:val="1"/>
            <w:tcBorders>
              <w:top w:val="single" w:color="1F3B60" w:sz="1"/>
              <w:left w:val="single" w:color="1F3B60" w:sz="1"/>
              <w:bottom w:val="single" w:color="1F3B60" w:sz="1"/>
              <w:right w:val="single" w:color="1F3B60" w:sz="1"/>
            </w:tcBorders>
            <w:shd w:fill="1F3B6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Key Alert Logic</w:t>
            </w:r>
          </w:p>
        </w:tc>
      </w:tr>
      <w:tr>
        <w:tc>
          <w:tcPr>
            <w:tcW w:type="dxa" w:w="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4"/>
                <w:szCs w:val="24"/>
              </w:rPr>
              <w:t xml:space="preserve">CF1</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4"/>
                <w:szCs w:val="24"/>
              </w:rPr>
              <w:t xml:space="preserve">Financial Health</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i/>
                <w:iCs/>
                <w:sz w:val="24"/>
                <w:szCs w:val="24"/>
              </w:rPr>
              <w:t xml:space="preserve">The Heart</w:t>
            </w:r>
          </w:p>
        </w:tc>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Cash runway, burn rate, receivables velocity, margin trend, covenant proximity, payment stress, non-standard commitments, sold-vs-delivered margin, statutory obligations</w:t>
            </w:r>
          </w:p>
        </w:tc>
        <w:tc>
          <w:tcPr>
            <w:tcW w:type="dxa" w:w="336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Red: cash &lt;30 days | Any covenant &lt;10% headroom | Payroll delay (any instance) = immediate board escalation regardless of all other parameters | Tax deferral + compliance signal = governance failure</w:t>
            </w:r>
          </w:p>
        </w:tc>
      </w:tr>
      <w:tr>
        <w:tc>
          <w:tcPr>
            <w:tcW w:type="dxa" w:w="5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b/>
                <w:bCs/>
                <w:sz w:val="24"/>
                <w:szCs w:val="24"/>
              </w:rPr>
              <w:t xml:space="preserve">CF2</w:t>
            </w:r>
          </w:p>
        </w:tc>
        <w:tc>
          <w:tcPr>
            <w:tcW w:type="dxa" w:w="16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b/>
                <w:bCs/>
                <w:sz w:val="24"/>
                <w:szCs w:val="24"/>
              </w:rPr>
              <w:t xml:space="preserve">Leadership Effectiveness</w:t>
            </w:r>
          </w:p>
        </w:tc>
        <w:tc>
          <w:tcPr>
            <w:tcW w:type="dxa" w:w="12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i/>
                <w:iCs/>
                <w:sz w:val="24"/>
                <w:szCs w:val="24"/>
              </w:rPr>
              <w:t xml:space="preserve">The Brain</w:t>
            </w:r>
          </w:p>
        </w:tc>
        <w:tc>
          <w:tcPr>
            <w:tcW w:type="dxa" w:w="38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Decision velocity, decision quality, leadership cascade, escalation handling, co-creation quality, strategic clarity, feedback conversion, manager-self perception gap</w:t>
            </w:r>
          </w:p>
        </w:tc>
        <w:tc>
          <w:tcPr>
            <w:tcW w:type="dxa" w:w="3366"/>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Red: decision latency &gt;2× baseline | Board clarity declining | Escalations suppressed | Co-creation deficit confirmed across three functions</w:t>
            </w:r>
          </w:p>
        </w:tc>
      </w:tr>
      <w:tr>
        <w:tc>
          <w:tcPr>
            <w:tcW w:type="dxa" w:w="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4"/>
                <w:szCs w:val="24"/>
              </w:rPr>
              <w:t xml:space="preserve">CF3</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4"/>
                <w:szCs w:val="24"/>
              </w:rPr>
              <w:t xml:space="preserve">People &amp; Capability</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i/>
                <w:iCs/>
                <w:sz w:val="24"/>
                <w:szCs w:val="24"/>
              </w:rPr>
              <w:t xml:space="preserve">The Lungs</w:t>
            </w:r>
          </w:p>
        </w:tc>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Critical role attrition risk, capability coverage, engagement trajectory, psychological safety, onboarding effectiveness, sustainable pace, multitasking/multiple hats, role transition support, dynamic team formation</w:t>
            </w:r>
          </w:p>
        </w:tc>
        <w:tc>
          <w:tcPr>
            <w:tcW w:type="dxa" w:w="336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Red: 2+ critical roles at risk simultaneously | Sustainable pace failed across a function | Capability gap + technology change + customer expectations rising simultaneously</w:t>
            </w:r>
          </w:p>
        </w:tc>
      </w:tr>
      <w:tr>
        <w:tc>
          <w:tcPr>
            <w:tcW w:type="dxa" w:w="5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b/>
                <w:bCs/>
                <w:sz w:val="24"/>
                <w:szCs w:val="24"/>
              </w:rPr>
              <w:t xml:space="preserve">CF4</w:t>
            </w:r>
          </w:p>
        </w:tc>
        <w:tc>
          <w:tcPr>
            <w:tcW w:type="dxa" w:w="16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b/>
                <w:bCs/>
                <w:sz w:val="24"/>
                <w:szCs w:val="24"/>
              </w:rPr>
              <w:t xml:space="preserve">Delivery &amp; Operations</w:t>
            </w:r>
          </w:p>
        </w:tc>
        <w:tc>
          <w:tcPr>
            <w:tcW w:type="dxa" w:w="12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i/>
                <w:iCs/>
                <w:sz w:val="24"/>
                <w:szCs w:val="24"/>
              </w:rPr>
              <w:t xml:space="preserve">The Circulatory System</w:t>
            </w:r>
          </w:p>
        </w:tc>
        <w:tc>
          <w:tcPr>
            <w:tcW w:type="dxa" w:w="38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Commitment fulfilment rate, process adherence, QA independence, Learning Register conversion, capacity utilisation, contract cost actuals, platform friction/workaround rate, project schedule variance</w:t>
            </w:r>
          </w:p>
        </w:tc>
        <w:tc>
          <w:tcPr>
            <w:tcW w:type="dxa" w:w="3366"/>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Red: fulfilment &lt;85% | Open commitments &gt;21 days without update | Sold-vs-delivered margin gap confirmed | QA independence failure pattern | Oscillation Flag: same breach 3+ times in 90 days</w:t>
            </w:r>
          </w:p>
        </w:tc>
      </w:tr>
      <w:tr>
        <w:tc>
          <w:tcPr>
            <w:tcW w:type="dxa" w:w="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4"/>
                <w:szCs w:val="24"/>
              </w:rPr>
              <w:t xml:space="preserve">CF5</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4"/>
                <w:szCs w:val="24"/>
              </w:rPr>
              <w:t xml:space="preserve">Compliance, Risk &amp; Forensic Sensing</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i/>
                <w:iCs/>
                <w:sz w:val="24"/>
                <w:szCs w:val="24"/>
              </w:rPr>
              <w:t xml:space="preserve">The Immune System</w:t>
            </w:r>
          </w:p>
        </w:tc>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Regulatory compliance, legal exposure, forensic accounts-team channel, concern disclosure integrity, risk register health, statutory obligation compliance, statistical reporting integrity</w:t>
            </w:r>
          </w:p>
        </w:tc>
        <w:tc>
          <w:tcPr>
            <w:tcW w:type="dxa" w:w="336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Red: any overdue regulatory obligation | Forensic concern without management action | Payroll or statutory deferral confirmed | Concern suppression pattern confirmed</w:t>
            </w:r>
          </w:p>
        </w:tc>
      </w:tr>
      <w:tr>
        <w:tc>
          <w:tcPr>
            <w:tcW w:type="dxa" w:w="5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b/>
                <w:bCs/>
                <w:sz w:val="24"/>
                <w:szCs w:val="24"/>
              </w:rPr>
              <w:t xml:space="preserve">CF6</w:t>
            </w:r>
          </w:p>
        </w:tc>
        <w:tc>
          <w:tcPr>
            <w:tcW w:type="dxa" w:w="16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b/>
                <w:bCs/>
                <w:sz w:val="24"/>
                <w:szCs w:val="24"/>
              </w:rPr>
              <w:t xml:space="preserve">Technology Infrastructure</w:t>
            </w:r>
          </w:p>
        </w:tc>
        <w:tc>
          <w:tcPr>
            <w:tcW w:type="dxa" w:w="12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i/>
                <w:iCs/>
                <w:sz w:val="24"/>
                <w:szCs w:val="24"/>
              </w:rPr>
              <w:t xml:space="preserve">The Nervous System</w:t>
            </w:r>
          </w:p>
        </w:tc>
        <w:tc>
          <w:tcPr>
            <w:tcW w:type="dxa" w:w="38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System availability, security posture, data integrity, VITAL feed health, technology debt, project controls connectivity, IT governance pathway</w:t>
            </w:r>
          </w:p>
        </w:tc>
        <w:tc>
          <w:tcPr>
            <w:tcW w:type="dxa" w:w="3366"/>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Red: Tier 1 system breach or failure | VITAL feed compromised — Human Sensing Mode activated | Data integrity failure affecting financial or delivery parameters</w:t>
            </w:r>
          </w:p>
        </w:tc>
      </w:tr>
      <w:tr>
        <w:tc>
          <w:tcPr>
            <w:tcW w:type="dxa" w:w="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4"/>
                <w:szCs w:val="24"/>
              </w:rPr>
              <w:t xml:space="preserve">CF7</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4"/>
                <w:szCs w:val="24"/>
              </w:rPr>
              <w:t xml:space="preserve">Revenue &amp; Market Vitality</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i/>
                <w:iCs/>
                <w:sz w:val="24"/>
                <w:szCs w:val="24"/>
              </w:rPr>
              <w:t xml:space="preserve">The Market Lungs</w:t>
            </w:r>
          </w:p>
        </w:tc>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Customer relationship health, pipeline velocity, pricing and margin integrity, market intelligence, revenue sustainability, sold-vs-delivered margin bridge, account health</w:t>
            </w:r>
          </w:p>
        </w:tc>
        <w:tc>
          <w:tcPr>
            <w:tcW w:type="dxa" w:w="336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Red: structural pricing unviability confirmed | MARKET-INTERNAL REFLECTION rule activated | Revenue concentration &gt;40% in single account with deteriorating relationship</w:t>
            </w:r>
          </w:p>
        </w:tc>
      </w:tr>
    </w:tbl>
    <w:p>
      <w:pPr>
        <w:spacing w:after="60" w:before="80"/>
      </w:pPr>
      <w:r>
        <w:t xml:space="preserve"/>
      </w:r>
    </w:p>
    <w:p>
      <w:pPr>
        <w:spacing w:after="80" w:before="240"/>
      </w:pPr>
      <w:r>
        <w:rPr>
          <w:rFonts w:ascii="Arial" w:cs="Arial" w:eastAsia="Arial" w:hAnsi="Arial"/>
          <w:b/>
          <w:bCs/>
          <w:color w:val="2E5F9A"/>
          <w:sz w:val="28"/>
          <w:szCs w:val="28"/>
        </w:rPr>
        <w:t xml:space="preserve">The Contract Costing Register — CF1, CF4, and CF7 Bridge Instrument</w:t>
      </w:r>
    </w:p>
    <w:p>
      <w:pPr>
        <w:spacing w:after="80" w:before="80"/>
      </w:pPr>
      <w:r>
        <w:rPr>
          <w:rFonts w:ascii="Arial" w:cs="Arial" w:eastAsia="Arial" w:hAnsi="Arial"/>
          <w:sz w:val="28"/>
          <w:szCs w:val="28"/>
        </w:rPr>
        <w:t xml:space="preserve">One of the most consequential cross-function gaps in organisational health is the difference between the cost assumed at the point of a commercial commitment and the actual cost incurred during delivery. The Contract Costing Register is a named VITAL instrument spanning CF1, CF4, and CF7. It tracks three cost dimensions simultaneously: complete cost at quotation (direct delivery costs, pre-sale bid costs, account management, post-delivery support obligations, overhead allocation); actual costs as they occur during execution — not only at project closure; and delivered margin at closure versus sold margin at quotation.</w:t>
      </w:r>
    </w:p>
    <w:p>
      <w:pPr>
        <w:spacing w:after="80" w:before="80"/>
      </w:pPr>
      <w:r>
        <w:rPr>
          <w:rFonts w:ascii="Arial" w:cs="Arial" w:eastAsia="Arial" w:hAnsi="Arial"/>
          <w:b/>
          <w:bCs/>
          <w:sz w:val="28"/>
          <w:szCs w:val="28"/>
        </w:rPr>
        <w:t xml:space="preserve">The governing principle is loss-visibility: </w:t>
      </w:r>
      <w:r>
        <w:rPr>
          <w:rFonts w:ascii="Arial" w:cs="Arial" w:eastAsia="Arial" w:hAnsi="Arial"/>
          <w:sz w:val="28"/>
          <w:szCs w:val="28"/>
        </w:rPr>
        <w:t xml:space="preserve">an organisation that knowingly accepts a loss-making contract for strategic reasons is making an informed decision. One that does not know its true cost profile is making an uninformed one. VITAL's role is to ensure the former is always the case. Marketing incurs costs to win business. Low quotations are sometimes made to capture business. These are legitimate strategic decisions — but they must be known reality, not hidden reality.</w:t>
      </w:r>
    </w:p>
    <w:p>
      <w:pPr>
        <w:spacing w:after="40" w:before="60"/>
      </w:pPr>
      <w:r>
        <w:t xml:space="preserve"/>
      </w:r>
    </w:p>
    <w:p>
      <w:pPr>
        <w:spacing w:after="80" w:before="240"/>
      </w:pPr>
      <w:r>
        <w:rPr>
          <w:rFonts w:ascii="Arial" w:cs="Arial" w:eastAsia="Arial" w:hAnsi="Arial"/>
          <w:b/>
          <w:bCs/>
          <w:color w:val="2E5F9A"/>
          <w:sz w:val="28"/>
          <w:szCs w:val="28"/>
        </w:rPr>
        <w:t xml:space="preserve">Non-Standard Commitment Visibility — CF1 and CF5</w:t>
      </w:r>
    </w:p>
    <w:p>
      <w:pPr>
        <w:spacing w:after="80" w:before="80"/>
      </w:pPr>
      <w:r>
        <w:rPr>
          <w:rFonts w:ascii="Arial" w:cs="Arial" w:eastAsia="Arial" w:hAnsi="Arial"/>
          <w:sz w:val="28"/>
          <w:szCs w:val="28"/>
        </w:rPr>
        <w:t xml:space="preserve">Accounts teams track expenditures authorised outside normal procurement — legitimate but invisible to standard ERP monitoring. Two additions make these visible: (1) CF1 includes a non-standard commitment field — any expenditure outside normal budget process, logged with amount, authority, purpose, and date; (2) A named forensic sensing channel for accounts staff to flag anomalous expenditure patterns directly to the CFO and VITAL Monitor — without routing through the manager of the flagged person. The accounts team member who sees an unusual pattern before it becomes a formal problem is performing exactly the forensic sensing CF5 is designed to capture.</w:t>
      </w:r>
    </w:p>
    <w:p>
      <w:pPr>
        <w:spacing w:after="40" w:before="120"/>
      </w:pPr>
      <w:r>
        <w:t xml:space="preserve"/>
      </w:r>
    </w:p>
    <w:p>
      <w:pPr>
        <w:pBdr>
          <w:bottom w:val="single" w:color="1F3B60" w:sz="8" w:space="4"/>
        </w:pBdr>
        <w:spacing w:after="120" w:before="320"/>
      </w:pPr>
      <w:r>
        <w:rPr>
          <w:rFonts w:ascii="Arial" w:cs="Arial" w:eastAsia="Arial" w:hAnsi="Arial"/>
          <w:b/>
          <w:bCs/>
          <w:color w:val="1F3B60"/>
          <w:sz w:val="32"/>
          <w:szCs w:val="32"/>
        </w:rPr>
        <w:t xml:space="preserve">V.  Tier 2 — Essential Functions: Seven Progressive Vital Signs</w:t>
      </w:r>
    </w:p>
    <w:p>
      <w:pPr>
        <w:spacing w:after="80" w:before="80"/>
      </w:pPr>
      <w:r>
        <w:rPr>
          <w:rFonts w:ascii="Arial" w:cs="Arial" w:eastAsia="Arial" w:hAnsi="Arial"/>
          <w:sz w:val="28"/>
          <w:szCs w:val="28"/>
        </w:rPr>
        <w:t xml:space="preserve">Essential Functions are the organisational life systems. Their sustained deterioration produces Critical Function failures within 4 to 12 weeks — VITAL's primary early warning window. Two Essential Functions carry a special sensing-integrity role: E1 (Culture &amp; Psychological Safety) and E6 (Information Flow &amp; Communication) are the guardians of VITAL's own human sensing layer. When either deteriorates, human sensing across all functions produces increasingly unreliable data — generating VITAL's SENSING DEGRADATION alert.</w:t>
      </w:r>
    </w:p>
    <w:p>
      <w:pPr>
        <w:spacing w:after="60" w:before="80"/>
      </w:pPr>
      <w:r>
        <w:t xml:space="preserve"/>
      </w:r>
    </w:p>
    <w:p>
      <w:pPr>
        <w:spacing w:after="80" w:before="80"/>
      </w:pPr>
      <w:r>
        <w:rPr>
          <w:rFonts w:ascii="Arial" w:cs="Arial" w:eastAsia="Arial" w:hAnsi="Arial"/>
          <w:b/>
          <w:bCs/>
          <w:color w:val="8B0000"/>
          <w:sz w:val="28"/>
          <w:szCs w:val="28"/>
        </w:rPr>
        <w:t xml:space="preserve">AO Method integrations (V7): </w:t>
      </w:r>
      <w:r>
        <w:rPr>
          <w:rFonts w:ascii="Arial" w:cs="Arial" w:eastAsia="Arial" w:hAnsi="Arial"/>
          <w:sz w:val="28"/>
          <w:szCs w:val="28"/>
        </w:rPr>
        <w:t xml:space="preserve">Five sensing enhancements informed by the Adaptive Organisation (AO) Method dialogue with Pierre Neis (Uster, Switzerland) are embedded in this tier: real network health vs formal structure (E6), role transition support (CF3), simple rules vs bureaucracy (E5), dynamic team formation (CF3), and structure-reality gap detection (E5). These additions strengthen VITAL's sensing of the organisational conditions that AO research identifies as most predictive of adaptive capacity.</w:t>
      </w:r>
    </w:p>
    <w:p>
      <w:pPr>
        <w:spacing w:after="40" w:before="60"/>
      </w:pPr>
      <w: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480"/>
        <w:gridCol w:w="1600"/>
        <w:gridCol w:w="1200"/>
        <w:gridCol w:w="3800"/>
        <w:gridCol w:w="3386"/>
      </w:tblGrid>
      <w:tr>
        <w:tc>
          <w:tcPr>
            <w:tcW w:type="dxa" w:w="480"/>
            <w:gridSpan w:val="1"/>
            <w:tcBorders>
              <w:top w:val="single" w:color="1F3B60" w:sz="1"/>
              <w:left w:val="single" w:color="1F3B60" w:sz="1"/>
              <w:bottom w:val="single" w:color="1F3B60" w:sz="1"/>
              <w:right w:val="single" w:color="1F3B60" w:sz="1"/>
            </w:tcBorders>
            <w:shd w:fill="1F3B6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Code</w:t>
            </w:r>
          </w:p>
        </w:tc>
        <w:tc>
          <w:tcPr>
            <w:tcW w:type="dxa" w:w="1600"/>
            <w:gridSpan w:val="1"/>
            <w:tcBorders>
              <w:top w:val="single" w:color="1F3B60" w:sz="1"/>
              <w:left w:val="single" w:color="1F3B60" w:sz="1"/>
              <w:bottom w:val="single" w:color="1F3B60" w:sz="1"/>
              <w:right w:val="single" w:color="1F3B60" w:sz="1"/>
            </w:tcBorders>
            <w:shd w:fill="1F3B6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Function</w:t>
            </w:r>
          </w:p>
        </w:tc>
        <w:tc>
          <w:tcPr>
            <w:tcW w:type="dxa" w:w="1200"/>
            <w:gridSpan w:val="1"/>
            <w:tcBorders>
              <w:top w:val="single" w:color="1F3B60" w:sz="1"/>
              <w:left w:val="single" w:color="1F3B60" w:sz="1"/>
              <w:bottom w:val="single" w:color="1F3B60" w:sz="1"/>
              <w:right w:val="single" w:color="1F3B60" w:sz="1"/>
            </w:tcBorders>
            <w:shd w:fill="1F3B6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Biological Analogy</w:t>
            </w:r>
          </w:p>
        </w:tc>
        <w:tc>
          <w:tcPr>
            <w:tcW w:type="dxa" w:w="3800"/>
            <w:gridSpan w:val="1"/>
            <w:tcBorders>
              <w:top w:val="single" w:color="1F3B60" w:sz="1"/>
              <w:left w:val="single" w:color="1F3B60" w:sz="1"/>
              <w:bottom w:val="single" w:color="1F3B60" w:sz="1"/>
              <w:right w:val="single" w:color="1F3B60" w:sz="1"/>
            </w:tcBorders>
            <w:shd w:fill="1F3B6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Core Monitoring Focus</w:t>
            </w:r>
          </w:p>
        </w:tc>
        <w:tc>
          <w:tcPr>
            <w:tcW w:type="dxa" w:w="3386"/>
            <w:gridSpan w:val="1"/>
            <w:tcBorders>
              <w:top w:val="single" w:color="1F3B60" w:sz="1"/>
              <w:left w:val="single" w:color="1F3B60" w:sz="1"/>
              <w:bottom w:val="single" w:color="1F3B60" w:sz="1"/>
              <w:right w:val="single" w:color="1F3B60" w:sz="1"/>
            </w:tcBorders>
            <w:shd w:fill="1F3B6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Structural Correlation to Tier 1</w:t>
            </w:r>
          </w:p>
        </w:tc>
      </w:tr>
      <w:tr>
        <w:tc>
          <w:tcPr>
            <w:tcW w:type="dxa" w:w="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4"/>
                <w:szCs w:val="24"/>
              </w:rPr>
              <w:t xml:space="preserve">E1</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4"/>
                <w:szCs w:val="24"/>
              </w:rPr>
              <w:t xml:space="preserve">Culture &amp; Psychological Safety</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i/>
                <w:iCs/>
                <w:sz w:val="24"/>
                <w:szCs w:val="24"/>
              </w:rPr>
              <w:t xml:space="preserve">Liver &amp; Kidneys</w:t>
            </w:r>
          </w:p>
        </w:tc>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Psychological safety index, values integrity, inclusion and belonging, collective morale, cultural learning — monitored through five delivery contexts. Structural barriers to honest communication. SENSING DEGRADATION awareness.</w:t>
            </w:r>
          </w:p>
        </w:tc>
        <w:tc>
          <w:tcPr>
            <w:tcW w:type="dxa" w:w="338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VITAL SENSING DEGRADATION: E1 declining → all human sensing across all functions becomes unreliable. Alert routes to Board. All human-sensed parameter readings treated as provisional until E1 is restored.</w:t>
            </w:r>
          </w:p>
        </w:tc>
      </w:tr>
      <w:tr>
        <w:tc>
          <w:tcPr>
            <w:tcW w:type="dxa" w:w="48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b/>
                <w:bCs/>
                <w:sz w:val="24"/>
                <w:szCs w:val="24"/>
              </w:rPr>
              <w:t xml:space="preserve">E2</w:t>
            </w:r>
          </w:p>
        </w:tc>
        <w:tc>
          <w:tcPr>
            <w:tcW w:type="dxa" w:w="16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b/>
                <w:bCs/>
                <w:sz w:val="24"/>
                <w:szCs w:val="24"/>
              </w:rPr>
              <w:t xml:space="preserve">Employee Engagement</w:t>
            </w:r>
          </w:p>
        </w:tc>
        <w:tc>
          <w:tcPr>
            <w:tcW w:type="dxa" w:w="12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i/>
                <w:iCs/>
                <w:sz w:val="24"/>
                <w:szCs w:val="24"/>
              </w:rPr>
              <w:t xml:space="preserve">Cardiovascular Rhythm</w:t>
            </w:r>
          </w:p>
        </w:tc>
        <w:tc>
          <w:tcPr>
            <w:tcW w:type="dxa" w:w="38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Discretionary effort, meaning and motivation, advocacy, absence patterns, recognition, role clarity, autonomy, flight risk detection.</w:t>
            </w:r>
          </w:p>
        </w:tc>
        <w:tc>
          <w:tcPr>
            <w:tcW w:type="dxa" w:w="3386"/>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Structural lead signal for CF3 attrition and CF4 delivery quality. Declining engagement confirmed + sustainable pace failing = CAPACITY-COMMITMENT MISMATCH imminent.</w:t>
            </w:r>
          </w:p>
        </w:tc>
      </w:tr>
      <w:tr>
        <w:tc>
          <w:tcPr>
            <w:tcW w:type="dxa" w:w="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4"/>
                <w:szCs w:val="24"/>
              </w:rPr>
              <w:t xml:space="preserve">E3</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4"/>
                <w:szCs w:val="24"/>
              </w:rPr>
              <w:t xml:space="preserve">Learning &amp; Knowledge Management</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i/>
                <w:iCs/>
                <w:sz w:val="24"/>
                <w:szCs w:val="24"/>
              </w:rPr>
              <w:t xml:space="preserve">Cellular Regeneration</w:t>
            </w:r>
          </w:p>
        </w:tc>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Learning velocity, lesson conversion to changed practice, knowledge capture, skill development tracking, cross-team knowledge sharing, triple-loop board reflection.</w:t>
            </w:r>
          </w:p>
        </w:tc>
        <w:tc>
          <w:tcPr>
            <w:tcW w:type="dxa" w:w="338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Learning Register not actioned + CF2 feedback not converting = learning loop broken at three levels simultaneously. Oscillation Flag trigger.</w:t>
            </w:r>
          </w:p>
        </w:tc>
      </w:tr>
      <w:tr>
        <w:tc>
          <w:tcPr>
            <w:tcW w:type="dxa" w:w="48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b/>
                <w:bCs/>
                <w:sz w:val="24"/>
                <w:szCs w:val="24"/>
              </w:rPr>
              <w:t xml:space="preserve">E4</w:t>
            </w:r>
          </w:p>
        </w:tc>
        <w:tc>
          <w:tcPr>
            <w:tcW w:type="dxa" w:w="16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b/>
                <w:bCs/>
                <w:sz w:val="24"/>
                <w:szCs w:val="24"/>
              </w:rPr>
              <w:t xml:space="preserve">Stakeholder Relationships</w:t>
            </w:r>
          </w:p>
        </w:tc>
        <w:tc>
          <w:tcPr>
            <w:tcW w:type="dxa" w:w="12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i/>
                <w:iCs/>
                <w:sz w:val="24"/>
                <w:szCs w:val="24"/>
              </w:rPr>
              <w:t xml:space="preserve">Connective Tissue</w:t>
            </w:r>
          </w:p>
        </w:tc>
        <w:tc>
          <w:tcPr>
            <w:tcW w:type="dxa" w:w="38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Key stakeholder identification and mapping, relationship health assessment, expectation tracking, early warning signal capture, named relationship ownership.</w:t>
            </w:r>
          </w:p>
        </w:tc>
        <w:tc>
          <w:tcPr>
            <w:tcW w:type="dxa" w:w="3386"/>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Structural lead signal for CF7 revenue risk and CF5 regulatory risk. Relationship deterioration confirmed + CF7 pipeline declining = ACCOUNT-HEALTH STRUCTURAL ALERT.</w:t>
            </w:r>
          </w:p>
        </w:tc>
      </w:tr>
      <w:tr>
        <w:tc>
          <w:tcPr>
            <w:tcW w:type="dxa" w:w="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4"/>
                <w:szCs w:val="24"/>
              </w:rPr>
              <w:t xml:space="preserve">E5</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4"/>
                <w:szCs w:val="24"/>
              </w:rPr>
              <w:t xml:space="preserve">Strategy &amp; Direction</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i/>
                <w:iCs/>
                <w:sz w:val="24"/>
                <w:szCs w:val="24"/>
              </w:rPr>
              <w:t xml:space="preserve">Strategic Compass</w:t>
            </w:r>
          </w:p>
        </w:tc>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Strategic clarity cascade, execution tracking, resource-strategy alignment, adaptation speed, structure-reality alignment, operating rule simplicity.</w:t>
            </w:r>
          </w:p>
        </w:tc>
        <w:tc>
          <w:tcPr>
            <w:tcW w:type="dxa" w:w="338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Strategic clarity low + culture declining + delivery corner-cutting = CULTURE-DELIVERY SPIRAL. Structure-reality gap confirmed = decision-making flows outside formal governance.</w:t>
            </w:r>
          </w:p>
        </w:tc>
      </w:tr>
      <w:tr>
        <w:tc>
          <w:tcPr>
            <w:tcW w:type="dxa" w:w="48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b/>
                <w:bCs/>
                <w:sz w:val="24"/>
                <w:szCs w:val="24"/>
              </w:rPr>
              <w:t xml:space="preserve">E6</w:t>
            </w:r>
          </w:p>
        </w:tc>
        <w:tc>
          <w:tcPr>
            <w:tcW w:type="dxa" w:w="16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b/>
                <w:bCs/>
                <w:sz w:val="24"/>
                <w:szCs w:val="24"/>
              </w:rPr>
              <w:t xml:space="preserve">Information Flow &amp; Communication</w:t>
            </w:r>
          </w:p>
        </w:tc>
        <w:tc>
          <w:tcPr>
            <w:tcW w:type="dxa" w:w="12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i/>
                <w:iCs/>
                <w:sz w:val="24"/>
                <w:szCs w:val="24"/>
              </w:rPr>
              <w:t xml:space="preserve">Neural Network</w:t>
            </w:r>
          </w:p>
        </w:tc>
        <w:tc>
          <w:tcPr>
            <w:tcW w:type="dxa" w:w="38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Communication reach, upward information quality, informal vs formal flow, decision reach, cross-function coordination, escalation functioning, actual vs formal network, signal responsiveness history.</w:t>
            </w:r>
          </w:p>
        </w:tc>
        <w:tc>
          <w:tcPr>
            <w:tcW w:type="dxa" w:w="3386"/>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VITAL SENSING DEGRADATION: E6 declining → upward information flow unreliable. LEADERSHIP RESPONSIVENESS FAILURE: decision latency &gt;72 hours for Amber alert + E6 upward trust declining simultaneously.</w:t>
            </w:r>
          </w:p>
        </w:tc>
      </w:tr>
      <w:tr>
        <w:tc>
          <w:tcPr>
            <w:tcW w:type="dxa" w:w="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4"/>
                <w:szCs w:val="24"/>
              </w:rPr>
              <w:t xml:space="preserve">E7</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4"/>
                <w:szCs w:val="24"/>
              </w:rPr>
              <w:t xml:space="preserve">Financial Sustainability</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i/>
                <w:iCs/>
                <w:sz w:val="24"/>
                <w:szCs w:val="24"/>
              </w:rPr>
              <w:t xml:space="preserve">Metabolic Reserve</w:t>
            </w:r>
          </w:p>
        </w:tc>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12–18 month forward financial model, revenue diversification, fixed/variable cost ratio, debt serviceability, investment capacity, business model stress test, scenario modelling.</w:t>
            </w:r>
          </w:p>
        </w:tc>
        <w:tc>
          <w:tcPr>
            <w:tcW w:type="dxa" w:w="338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Structural lead signal for CF1 — 12 to 18 months ahead of cash distress. E7 deteriorating + CF1 Watch = early strategic intervention required. Lead time: 4–6 months to CF1 consequence.</w:t>
            </w:r>
          </w:p>
        </w:tc>
      </w:tr>
    </w:tbl>
    <w:p>
      <w:pPr>
        <w:spacing w:after="40" w:before="120"/>
      </w:pPr>
      <w:r>
        <w:t xml:space="preserve"/>
      </w:r>
    </w:p>
    <w:p>
      <w:pPr>
        <w:pBdr>
          <w:bottom w:val="single" w:color="1F3B60" w:sz="8" w:space="4"/>
        </w:pBdr>
        <w:spacing w:after="120" w:before="320"/>
      </w:pPr>
      <w:r>
        <w:rPr>
          <w:rFonts w:ascii="Arial" w:cs="Arial" w:eastAsia="Arial" w:hAnsi="Arial"/>
          <w:b/>
          <w:bCs/>
          <w:color w:val="1F3B60"/>
          <w:sz w:val="32"/>
          <w:szCs w:val="32"/>
        </w:rPr>
        <w:t xml:space="preserve">VI.  Tier 3 — Foundation Functions: Four Substrate Conditions</w:t>
      </w:r>
    </w:p>
    <w:p>
      <w:pPr>
        <w:spacing w:after="80" w:before="80"/>
      </w:pPr>
      <w:r>
        <w:rPr>
          <w:rFonts w:ascii="Arial" w:cs="Arial" w:eastAsia="Arial" w:hAnsi="Arial"/>
          <w:sz w:val="28"/>
          <w:szCs w:val="28"/>
        </w:rPr>
        <w:t xml:space="preserve">Foundation Functions are invisible when healthy and only noticed when failing — by which point the failure has typically been accumulating for months. The Substitutional Correlation: a Tier 3 failure does not add to a Critical Function problem — it substitutes for its root cause. Treating the CF symptom without addressing the Foundation cause produces temporary recovery followed by recurrence.</w:t>
      </w:r>
    </w:p>
    <w:p>
      <w:pPr>
        <w:spacing w:after="60" w:before="80"/>
      </w:pPr>
      <w: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480"/>
        <w:gridCol w:w="1600"/>
        <w:gridCol w:w="1200"/>
        <w:gridCol w:w="3800"/>
        <w:gridCol w:w="3386"/>
      </w:tblGrid>
      <w:tr>
        <w:tc>
          <w:tcPr>
            <w:tcW w:type="dxa" w:w="480"/>
            <w:gridSpan w:val="1"/>
            <w:tcBorders>
              <w:top w:val="single" w:color="1F3B60" w:sz="1"/>
              <w:left w:val="single" w:color="1F3B60" w:sz="1"/>
              <w:bottom w:val="single" w:color="1F3B60" w:sz="1"/>
              <w:right w:val="single" w:color="1F3B60" w:sz="1"/>
            </w:tcBorders>
            <w:shd w:fill="1F3B6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Code</w:t>
            </w:r>
          </w:p>
        </w:tc>
        <w:tc>
          <w:tcPr>
            <w:tcW w:type="dxa" w:w="1600"/>
            <w:gridSpan w:val="1"/>
            <w:tcBorders>
              <w:top w:val="single" w:color="1F3B60" w:sz="1"/>
              <w:left w:val="single" w:color="1F3B60" w:sz="1"/>
              <w:bottom w:val="single" w:color="1F3B60" w:sz="1"/>
              <w:right w:val="single" w:color="1F3B60" w:sz="1"/>
            </w:tcBorders>
            <w:shd w:fill="1F3B6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Function</w:t>
            </w:r>
          </w:p>
        </w:tc>
        <w:tc>
          <w:tcPr>
            <w:tcW w:type="dxa" w:w="1200"/>
            <w:gridSpan w:val="1"/>
            <w:tcBorders>
              <w:top w:val="single" w:color="1F3B60" w:sz="1"/>
              <w:left w:val="single" w:color="1F3B60" w:sz="1"/>
              <w:bottom w:val="single" w:color="1F3B60" w:sz="1"/>
              <w:right w:val="single" w:color="1F3B60" w:sz="1"/>
            </w:tcBorders>
            <w:shd w:fill="1F3B6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Biological Analogy</w:t>
            </w:r>
          </w:p>
        </w:tc>
        <w:tc>
          <w:tcPr>
            <w:tcW w:type="dxa" w:w="3800"/>
            <w:gridSpan w:val="1"/>
            <w:tcBorders>
              <w:top w:val="single" w:color="1F3B60" w:sz="1"/>
              <w:left w:val="single" w:color="1F3B60" w:sz="1"/>
              <w:bottom w:val="single" w:color="1F3B60" w:sz="1"/>
              <w:right w:val="single" w:color="1F3B60" w:sz="1"/>
            </w:tcBorders>
            <w:shd w:fill="1F3B6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Core Monitoring Focus</w:t>
            </w:r>
          </w:p>
        </w:tc>
        <w:tc>
          <w:tcPr>
            <w:tcW w:type="dxa" w:w="3386"/>
            <w:gridSpan w:val="1"/>
            <w:tcBorders>
              <w:top w:val="single" w:color="1F3B60" w:sz="1"/>
              <w:left w:val="single" w:color="1F3B60" w:sz="1"/>
              <w:bottom w:val="single" w:color="1F3B60" w:sz="1"/>
              <w:right w:val="single" w:color="1F3B60" w:sz="1"/>
            </w:tcBorders>
            <w:shd w:fill="1F3B6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Substitutional Correlation</w:t>
            </w:r>
          </w:p>
        </w:tc>
      </w:tr>
      <w:tr>
        <w:tc>
          <w:tcPr>
            <w:tcW w:type="dxa" w:w="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4"/>
                <w:szCs w:val="24"/>
              </w:rPr>
              <w:t xml:space="preserve">FF1</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4"/>
                <w:szCs w:val="24"/>
              </w:rPr>
              <w:t xml:space="preserve">Brand &amp; Reputation</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i/>
                <w:iCs/>
                <w:sz w:val="24"/>
                <w:szCs w:val="24"/>
              </w:rPr>
              <w:t xml:space="preserve">Bone Density</w:t>
            </w:r>
          </w:p>
        </w:tc>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External brand trajectory, employer brand health, brand-reality gap, character signals, trust signals (repeat engagement, referral rate, scope expansion), ESG credibility.</w:t>
            </w:r>
          </w:p>
        </w:tc>
        <w:tc>
          <w:tcPr>
            <w:tcW w:type="dxa" w:w="338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FF1 eroding → CF7 pipeline contracts + CF3 talent attraction narrows. Root cause is FF1 not CF7 or CF3. Brand is built from capabilities AND character.</w:t>
            </w:r>
          </w:p>
        </w:tc>
      </w:tr>
      <w:tr>
        <w:tc>
          <w:tcPr>
            <w:tcW w:type="dxa" w:w="48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b/>
                <w:bCs/>
                <w:sz w:val="24"/>
                <w:szCs w:val="24"/>
              </w:rPr>
              <w:t xml:space="preserve">FF2</w:t>
            </w:r>
          </w:p>
        </w:tc>
        <w:tc>
          <w:tcPr>
            <w:tcW w:type="dxa" w:w="16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b/>
                <w:bCs/>
                <w:sz w:val="24"/>
                <w:szCs w:val="24"/>
              </w:rPr>
              <w:t xml:space="preserve">Knowledge Architecture</w:t>
            </w:r>
          </w:p>
        </w:tc>
        <w:tc>
          <w:tcPr>
            <w:tcW w:type="dxa" w:w="12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i/>
                <w:iCs/>
                <w:sz w:val="24"/>
                <w:szCs w:val="24"/>
              </w:rPr>
              <w:t xml:space="preserve">Gut Microbiome</w:t>
            </w:r>
          </w:p>
        </w:tc>
        <w:tc>
          <w:tcPr>
            <w:tcW w:type="dxa" w:w="38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Process documentation currency, named process ownership, knowledge concentration identification, intellectual capital capture, accessibility for new entrants, knowledge creation from experience.</w:t>
            </w:r>
          </w:p>
        </w:tc>
        <w:tc>
          <w:tcPr>
            <w:tcW w:type="dxa" w:w="3386"/>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FF2 eroding → CF3 capability gaps after departures + CF4 quality decline. FF2 healthy → CF4 quality improving. Knowledge reuse visible in CF4 metrics within 3–6 months.</w:t>
            </w:r>
          </w:p>
        </w:tc>
      </w:tr>
      <w:tr>
        <w:tc>
          <w:tcPr>
            <w:tcW w:type="dxa" w:w="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4"/>
                <w:szCs w:val="24"/>
              </w:rPr>
              <w:t xml:space="preserve">FF3</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4"/>
                <w:szCs w:val="24"/>
              </w:rPr>
              <w:t xml:space="preserve">Physical Infrastructure</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i/>
                <w:iCs/>
                <w:sz w:val="24"/>
                <w:szCs w:val="24"/>
              </w:rPr>
              <w:t xml:space="preserve">Skeletal Structure</w:t>
            </w:r>
          </w:p>
        </w:tc>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Workspace adequacy, equipment reliability and maintenance, environmental health signals, infrastructure investment planning, remote working infrastructure.</w:t>
            </w:r>
          </w:p>
        </w:tc>
        <w:tc>
          <w:tcPr>
            <w:tcW w:type="dxa" w:w="338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FF3 degrading → CF4 delivery friction + CF3 wellbeing impact + CF1 capex shock. Three apparently unrelated CF symptoms pointing to one FF3 substrate condition.</w:t>
            </w:r>
          </w:p>
        </w:tc>
      </w:tr>
      <w:tr>
        <w:tc>
          <w:tcPr>
            <w:tcW w:type="dxa" w:w="48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b/>
                <w:bCs/>
                <w:sz w:val="24"/>
                <w:szCs w:val="24"/>
              </w:rPr>
              <w:t xml:space="preserve">FF4</w:t>
            </w:r>
          </w:p>
        </w:tc>
        <w:tc>
          <w:tcPr>
            <w:tcW w:type="dxa" w:w="16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b/>
                <w:bCs/>
                <w:sz w:val="24"/>
                <w:szCs w:val="24"/>
              </w:rPr>
              <w:t xml:space="preserve">Supply Chain Integrity</w:t>
            </w:r>
          </w:p>
        </w:tc>
        <w:tc>
          <w:tcPr>
            <w:tcW w:type="dxa" w:w="12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i/>
                <w:iCs/>
                <w:sz w:val="24"/>
                <w:szCs w:val="24"/>
              </w:rPr>
              <w:t xml:space="preserve">Nutrient Absorption</w:t>
            </w:r>
          </w:p>
        </w:tc>
        <w:tc>
          <w:tcPr>
            <w:tcW w:type="dxa" w:w="38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Supplier identification and dependency mapping, financial health assessment, performance tracking, due diligence, contingency coverage, two-vendor rule for critical categories, second-tier risk.</w:t>
            </w:r>
          </w:p>
        </w:tc>
        <w:tc>
          <w:tcPr>
            <w:tcW w:type="dxa" w:w="3386"/>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FF4 failing → CF4 delivery disruption + CF1 emergency cost shock simultaneously. Single-supplier dependency is the primary risk — VITAL confirms it exists and is risk-managed.</w:t>
            </w:r>
          </w:p>
        </w:tc>
      </w:tr>
    </w:tbl>
    <w:p>
      <w:pPr>
        <w:spacing w:after="40" w:before="120"/>
      </w:pPr>
      <w:r>
        <w:t xml:space="preserve"/>
      </w:r>
    </w:p>
    <w:p>
      <w:pPr>
        <w:pBdr>
          <w:bottom w:val="single" w:color="1F3B60" w:sz="8" w:space="4"/>
        </w:pBdr>
        <w:spacing w:after="120" w:before="320"/>
      </w:pPr>
      <w:r>
        <w:rPr>
          <w:rFonts w:ascii="Arial" w:cs="Arial" w:eastAsia="Arial" w:hAnsi="Arial"/>
          <w:b/>
          <w:bCs/>
          <w:color w:val="1F3B60"/>
          <w:sz w:val="32"/>
          <w:szCs w:val="32"/>
        </w:rPr>
        <w:t xml:space="preserve">VII.  Tier 4 — Resilience Functions: Four Recovery Capacities</w:t>
      </w:r>
    </w:p>
    <w:p>
      <w:pPr>
        <w:spacing w:after="80" w:before="80"/>
      </w:pPr>
      <w:r>
        <w:rPr>
          <w:rFonts w:ascii="Arial" w:cs="Arial" w:eastAsia="Arial" w:hAnsi="Arial"/>
          <w:sz w:val="28"/>
          <w:szCs w:val="28"/>
        </w:rPr>
        <w:t xml:space="preserve">Resilience Functions determine whether the organisation can absorb stress events and recover from them. A depleted Resilience Function does not cause current failure — it amplifies consequences. The Amplificational Correlation: the same CF stress event is a manageable challenge in an RF-healthy organisation and a potential existential threat in an RF-depleted one.</w:t>
      </w:r>
    </w:p>
    <w:p>
      <w:pPr>
        <w:spacing w:after="60" w:before="80"/>
      </w:pPr>
      <w: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480"/>
        <w:gridCol w:w="1600"/>
        <w:gridCol w:w="1200"/>
        <w:gridCol w:w="3800"/>
        <w:gridCol w:w="3386"/>
      </w:tblGrid>
      <w:tr>
        <w:tc>
          <w:tcPr>
            <w:tcW w:type="dxa" w:w="480"/>
            <w:gridSpan w:val="1"/>
            <w:tcBorders>
              <w:top w:val="single" w:color="1F3B60" w:sz="1"/>
              <w:left w:val="single" w:color="1F3B60" w:sz="1"/>
              <w:bottom w:val="single" w:color="1F3B60" w:sz="1"/>
              <w:right w:val="single" w:color="1F3B60" w:sz="1"/>
            </w:tcBorders>
            <w:shd w:fill="1F3B6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Code</w:t>
            </w:r>
          </w:p>
        </w:tc>
        <w:tc>
          <w:tcPr>
            <w:tcW w:type="dxa" w:w="1600"/>
            <w:gridSpan w:val="1"/>
            <w:tcBorders>
              <w:top w:val="single" w:color="1F3B60" w:sz="1"/>
              <w:left w:val="single" w:color="1F3B60" w:sz="1"/>
              <w:bottom w:val="single" w:color="1F3B60" w:sz="1"/>
              <w:right w:val="single" w:color="1F3B60" w:sz="1"/>
            </w:tcBorders>
            <w:shd w:fill="1F3B6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Function</w:t>
            </w:r>
          </w:p>
        </w:tc>
        <w:tc>
          <w:tcPr>
            <w:tcW w:type="dxa" w:w="1200"/>
            <w:gridSpan w:val="1"/>
            <w:tcBorders>
              <w:top w:val="single" w:color="1F3B60" w:sz="1"/>
              <w:left w:val="single" w:color="1F3B60" w:sz="1"/>
              <w:bottom w:val="single" w:color="1F3B60" w:sz="1"/>
              <w:right w:val="single" w:color="1F3B60" w:sz="1"/>
            </w:tcBorders>
            <w:shd w:fill="1F3B6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Biological Analogy</w:t>
            </w:r>
          </w:p>
        </w:tc>
        <w:tc>
          <w:tcPr>
            <w:tcW w:type="dxa" w:w="3800"/>
            <w:gridSpan w:val="1"/>
            <w:tcBorders>
              <w:top w:val="single" w:color="1F3B60" w:sz="1"/>
              <w:left w:val="single" w:color="1F3B60" w:sz="1"/>
              <w:bottom w:val="single" w:color="1F3B60" w:sz="1"/>
              <w:right w:val="single" w:color="1F3B60" w:sz="1"/>
            </w:tcBorders>
            <w:shd w:fill="1F3B6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Core Monitoring Focus</w:t>
            </w:r>
          </w:p>
        </w:tc>
        <w:tc>
          <w:tcPr>
            <w:tcW w:type="dxa" w:w="3386"/>
            <w:gridSpan w:val="1"/>
            <w:tcBorders>
              <w:top w:val="single" w:color="1F3B60" w:sz="1"/>
              <w:left w:val="single" w:color="1F3B60" w:sz="1"/>
              <w:bottom w:val="single" w:color="1F3B60" w:sz="1"/>
              <w:right w:val="single" w:color="1F3B60" w:sz="1"/>
            </w:tcBorders>
            <w:shd w:fill="1F3B6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Amplificational Correlation</w:t>
            </w:r>
          </w:p>
        </w:tc>
      </w:tr>
      <w:tr>
        <w:tc>
          <w:tcPr>
            <w:tcW w:type="dxa" w:w="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4"/>
                <w:szCs w:val="24"/>
              </w:rPr>
              <w:t xml:space="preserve">RF1</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4"/>
                <w:szCs w:val="24"/>
              </w:rPr>
              <w:t xml:space="preserve">Innovation Pipeline</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i/>
                <w:iCs/>
                <w:sz w:val="24"/>
                <w:szCs w:val="24"/>
              </w:rPr>
              <w:t xml:space="preserve">Cardiovascular Fitness</w:t>
            </w:r>
          </w:p>
        </w:tc>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Active staged innovation pipeline, board-approved innovation investment, stage-gate development (explore/test/build/scale), CEO quarterly board reporting, pace-of-change assessment, failure intelligence.</w:t>
            </w:r>
          </w:p>
        </w:tc>
        <w:tc>
          <w:tcPr>
            <w:tcW w:type="dxa" w:w="338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RF1 depleted + CF7 market disruption: no pipeline response available. Board must govern innovation investment explicitly — not only when the current offering is failing but while it is succeeding.</w:t>
            </w:r>
          </w:p>
        </w:tc>
      </w:tr>
      <w:tr>
        <w:tc>
          <w:tcPr>
            <w:tcW w:type="dxa" w:w="48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b/>
                <w:bCs/>
                <w:sz w:val="24"/>
                <w:szCs w:val="24"/>
              </w:rPr>
              <w:t xml:space="preserve">RF2</w:t>
            </w:r>
          </w:p>
        </w:tc>
        <w:tc>
          <w:tcPr>
            <w:tcW w:type="dxa" w:w="16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b/>
                <w:bCs/>
                <w:sz w:val="24"/>
                <w:szCs w:val="24"/>
              </w:rPr>
              <w:t xml:space="preserve">Ecosystem &amp; Partnership Health</w:t>
            </w:r>
          </w:p>
        </w:tc>
        <w:tc>
          <w:tcPr>
            <w:tcW w:type="dxa" w:w="12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i/>
                <w:iCs/>
                <w:sz w:val="24"/>
                <w:szCs w:val="24"/>
              </w:rPr>
              <w:t xml:space="preserve">Immune Reserve</w:t>
            </w:r>
          </w:p>
        </w:tc>
        <w:tc>
          <w:tcPr>
            <w:tcW w:type="dxa" w:w="38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Strategic partnership register, periodic health assessment, dependency mapping, value exchange balance, 30-day activation readiness test, partnership agreement currency.</w:t>
            </w:r>
          </w:p>
        </w:tc>
        <w:tc>
          <w:tcPr>
            <w:tcW w:type="dxa" w:w="3386"/>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RF2 depleted + CF3/CF4 surge requirement: organisation must build alone under competitive pressure. Ecosystem relationships built during good times are the only ones available during difficult ones.</w:t>
            </w:r>
          </w:p>
        </w:tc>
      </w:tr>
      <w:tr>
        <w:tc>
          <w:tcPr>
            <w:tcW w:type="dxa" w:w="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4"/>
                <w:szCs w:val="24"/>
              </w:rPr>
              <w:t xml:space="preserve">RF3</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4"/>
                <w:szCs w:val="24"/>
              </w:rPr>
              <w:t xml:space="preserve">CSR &amp; Social Licence</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i/>
                <w:iCs/>
                <w:sz w:val="24"/>
                <w:szCs w:val="24"/>
              </w:rPr>
              <w:t xml:space="preserve">Stress Resilience</w:t>
            </w:r>
          </w:p>
        </w:tc>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Board-deliberated CSR investments (not compliance tick-boxes), ESG credibility and honest reporting, community relationship quality, social licence health signals, reputational crisis response readiness.</w:t>
            </w:r>
          </w:p>
        </w:tc>
        <w:tc>
          <w:tcPr>
            <w:tcW w:type="dxa" w:w="338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RF3 depleted + CF5 compliance event: regulatory and community response amplified. CSR is not for revenue — it is the legitimacy reserve that protects the organisation when difficulties arise.</w:t>
            </w:r>
          </w:p>
        </w:tc>
      </w:tr>
      <w:tr>
        <w:tc>
          <w:tcPr>
            <w:tcW w:type="dxa" w:w="48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b/>
                <w:bCs/>
                <w:sz w:val="24"/>
                <w:szCs w:val="24"/>
              </w:rPr>
              <w:t xml:space="preserve">RF4</w:t>
            </w:r>
          </w:p>
        </w:tc>
        <w:tc>
          <w:tcPr>
            <w:tcW w:type="dxa" w:w="16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b/>
                <w:bCs/>
                <w:sz w:val="24"/>
                <w:szCs w:val="24"/>
              </w:rPr>
              <w:t xml:space="preserve">Financial Scenario Resilience</w:t>
            </w:r>
          </w:p>
        </w:tc>
        <w:tc>
          <w:tcPr>
            <w:tcW w:type="dxa" w:w="12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i/>
                <w:iCs/>
                <w:sz w:val="24"/>
                <w:szCs w:val="24"/>
              </w:rPr>
              <w:t xml:space="preserve">Stress Response System</w:t>
            </w:r>
          </w:p>
        </w:tc>
        <w:tc>
          <w:tcPr>
            <w:tcW w:type="dxa" w:w="38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Three most-likely adverse scenarios with prepared responses, financial model currency, cash buffer adequacy, credit facility availability, fixed cost quantification, defined contingency trigger, leadership financial literacy.</w:t>
            </w:r>
          </w:p>
        </w:tc>
        <w:tc>
          <w:tcPr>
            <w:tcW w:type="dxa" w:w="3386"/>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RF4 depleted + CF1 financial shock: improvised decisions under pressure. The difference between a navigated financial challenge and an overwhelming crisis is almost always the degree of preparation.</w:t>
            </w:r>
          </w:p>
        </w:tc>
      </w:tr>
    </w:tbl>
    <w:p>
      <w:pPr>
        <w:spacing w:after="40" w:before="120"/>
      </w:pPr>
      <w:r>
        <w:t xml:space="preserve"/>
      </w:r>
    </w:p>
    <w:p>
      <w:pPr>
        <w:pBdr>
          <w:bottom w:val="single" w:color="1F3B60" w:sz="8" w:space="4"/>
        </w:pBdr>
        <w:spacing w:after="120" w:before="320"/>
      </w:pPr>
      <w:r>
        <w:rPr>
          <w:rFonts w:ascii="Arial" w:cs="Arial" w:eastAsia="Arial" w:hAnsi="Arial"/>
          <w:b/>
          <w:bCs/>
          <w:color w:val="1F3B60"/>
          <w:sz w:val="32"/>
          <w:szCs w:val="32"/>
        </w:rPr>
        <w:t xml:space="preserve">VIII.  Five Levels of AI Intelligence</w:t>
      </w:r>
    </w:p>
    <w:p>
      <w:pPr>
        <w:spacing w:after="60" w:before="0"/>
      </w:pPr>
      <w:r>
        <w:rPr>
          <w:rFonts w:ascii="Arial" w:cs="Arial" w:eastAsia="Arial" w:hAnsi="Arial"/>
          <w:b/>
          <w:bCs/>
          <w:color w:val="8B0000"/>
          <w:sz w:val="24"/>
          <w:szCs w:val="24"/>
        </w:rPr>
        <w:t xml:space="preserve">Revised in V7: </w:t>
      </w:r>
      <w:r>
        <w:rPr>
          <w:rFonts w:ascii="Arial" w:cs="Arial" w:eastAsia="Arial" w:hAnsi="Arial"/>
          <w:i/>
          <w:iCs/>
          <w:color w:val="555555"/>
          <w:sz w:val="24"/>
          <w:szCs w:val="24"/>
        </w:rPr>
        <w:t xml:space="preserve">Phase 0 Historical Intelligence added as the named first AI step. Six-point AI-logic declaration formalised. Signal Propagation Architecture added as a new subsection.</w:t>
      </w:r>
    </w:p>
    <w:p>
      <w:pPr>
        <w:spacing w:after="40" w:before="60"/>
      </w:pPr>
      <w:r>
        <w:t xml:space="preserve"/>
      </w:r>
    </w:p>
    <w:p>
      <w:pPr>
        <w:spacing w:after="80" w:before="240"/>
      </w:pPr>
      <w:r>
        <w:rPr>
          <w:rFonts w:ascii="Arial" w:cs="Arial" w:eastAsia="Arial" w:hAnsi="Arial"/>
          <w:b/>
          <w:bCs/>
          <w:color w:val="2E5F9A"/>
          <w:sz w:val="28"/>
          <w:szCs w:val="28"/>
        </w:rPr>
        <w:t xml:space="preserve">Phase 0 — Historical Intelligence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Borders>
              <w:top w:val="single" w:color="2E75B6" w:sz="6"/>
              <w:left w:val="single" w:color="2E75B6" w:sz="6"/>
              <w:bottom w:val="single" w:color="2E75B6" w:sz="6"/>
              <w:right w:val="single" w:color="2E75B6" w:sz="6"/>
            </w:tcBorders>
            <w:shd w:fill="EBF3FA" w:val="clear"/>
            <w:tcMar>
              <w:top w:type="dxa" w:w="120"/>
              <w:left w:type="dxa" w:w="160"/>
              <w:bottom w:type="dxa" w:w="120"/>
              <w:right w:type="dxa" w:w="160"/>
            </w:tcMar>
          </w:tcPr>
          <w:p>
            <w:r>
              <w:rPr>
                <w:rFonts w:ascii="Arial" w:cs="Arial" w:eastAsia="Arial" w:hAnsi="Arial"/>
                <w:i/>
                <w:iCs/>
                <w:color w:val="1F3B60"/>
                <w:sz w:val="26"/>
                <w:szCs w:val="26"/>
              </w:rPr>
              <w:t xml:space="preserve">Before forward monitoring begins, VITAL's AI traverses 2–3 years of the organisation's historical records — board reports, QA logs, issue registers, project post-mortems, remedial action histories, financial statements, audit findings. The output is a Historical Health Profile: recurring failure modes, seasonal rhythms, past propagation sequences between functions, and the baseline patterns on which all subsequent threshold calibration rests. Phase 0 ensures that VITAL begins deployment with institutional memory, not from a blank slate. Historical Intelligence also produces the first empirical test of signal propagation hypotheses — confirming which function pairs have historically co-moved in this specific organisation.</w:t>
            </w:r>
          </w:p>
        </w:tc>
      </w:tr>
    </w:tbl>
    <w:p>
      <w:pPr>
        <w:spacing w:after="60" w:before="80"/>
      </w:pPr>
      <w:r>
        <w:t xml:space="preserve"/>
      </w:r>
    </w:p>
    <w:p>
      <w:pPr>
        <w:spacing w:after="80" w:before="240"/>
      </w:pPr>
      <w:r>
        <w:rPr>
          <w:rFonts w:ascii="Arial" w:cs="Arial" w:eastAsia="Arial" w:hAnsi="Arial"/>
          <w:b/>
          <w:bCs/>
          <w:color w:val="2E5F9A"/>
          <w:sz w:val="28"/>
          <w:szCs w:val="28"/>
        </w:rPr>
        <w:t xml:space="preserve">The Six-Point AI-Logic Declaration</w:t>
      </w:r>
    </w:p>
    <w:p>
      <w:pPr>
        <w:spacing w:after="80" w:before="80"/>
      </w:pPr>
      <w:r>
        <w:rPr>
          <w:rFonts w:ascii="Arial" w:cs="Arial" w:eastAsia="Arial" w:hAnsi="Arial"/>
          <w:sz w:val="28"/>
          <w:szCs w:val="28"/>
        </w:rPr>
        <w:t xml:space="preserve">VITAL's AI operates at six explicitly named points in the following sequence:</w:t>
      </w:r>
    </w:p>
    <w:p>
      <w:pPr>
        <w:spacing w:after="40" w:before="60"/>
      </w:pPr>
      <w: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80"/>
        <w:gridCol w:w="2200"/>
        <w:gridCol w:w="5686"/>
        <w:gridCol w:w="2200"/>
      </w:tblGrid>
      <w:tr>
        <w:tc>
          <w:tcPr>
            <w:tcW w:type="dxa" w:w="380"/>
            <w:gridSpan w:val="1"/>
            <w:tcBorders>
              <w:top w:val="single" w:color="1F3B60" w:sz="1"/>
              <w:left w:val="single" w:color="1F3B60" w:sz="1"/>
              <w:bottom w:val="single" w:color="1F3B60" w:sz="1"/>
              <w:right w:val="single" w:color="1F3B60" w:sz="1"/>
            </w:tcBorders>
            <w:shd w:fill="1F3B6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Point</w:t>
            </w:r>
          </w:p>
        </w:tc>
        <w:tc>
          <w:tcPr>
            <w:tcW w:type="dxa" w:w="2200"/>
            <w:gridSpan w:val="1"/>
            <w:tcBorders>
              <w:top w:val="single" w:color="1F3B60" w:sz="1"/>
              <w:left w:val="single" w:color="1F3B60" w:sz="1"/>
              <w:bottom w:val="single" w:color="1F3B60" w:sz="1"/>
              <w:right w:val="single" w:color="1F3B60" w:sz="1"/>
            </w:tcBorders>
            <w:shd w:fill="1F3B6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Name</w:t>
            </w:r>
          </w:p>
        </w:tc>
        <w:tc>
          <w:tcPr>
            <w:tcW w:type="dxa" w:w="5686"/>
            <w:gridSpan w:val="1"/>
            <w:tcBorders>
              <w:top w:val="single" w:color="1F3B60" w:sz="1"/>
              <w:left w:val="single" w:color="1F3B60" w:sz="1"/>
              <w:bottom w:val="single" w:color="1F3B60" w:sz="1"/>
              <w:right w:val="single" w:color="1F3B60" w:sz="1"/>
            </w:tcBorders>
            <w:shd w:fill="1F3B6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What AI Does</w:t>
            </w:r>
          </w:p>
        </w:tc>
        <w:tc>
          <w:tcPr>
            <w:tcW w:type="dxa" w:w="2200"/>
            <w:gridSpan w:val="1"/>
            <w:tcBorders>
              <w:top w:val="single" w:color="1F3B60" w:sz="1"/>
              <w:left w:val="single" w:color="1F3B60" w:sz="1"/>
              <w:bottom w:val="single" w:color="1F3B60" w:sz="1"/>
              <w:right w:val="single" w:color="1F3B60" w:sz="1"/>
            </w:tcBorders>
            <w:shd w:fill="1F3B6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Timing</w:t>
            </w:r>
          </w:p>
        </w:tc>
      </w:tr>
      <w:tr>
        <w:tc>
          <w:tcPr>
            <w:tcW w:type="dxa" w:w="3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4"/>
                <w:szCs w:val="24"/>
              </w:rPr>
              <w:t xml:space="preserve">1</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4"/>
                <w:szCs w:val="24"/>
              </w:rPr>
              <w:t xml:space="preserve">Historical Intelligence (Phase 0)</w:t>
            </w:r>
          </w:p>
        </w:tc>
        <w:tc>
          <w:tcPr>
            <w:tcW w:type="dxa" w:w="568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AI traverses 2–3 years of historical records before deployment. Produces Historical Health Profile. Identifies recurring failure modes, seasonal rhythms, and past cross-function propagation sequences. Foundation for all baseline calibration.</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Before deployment</w:t>
            </w:r>
          </w:p>
        </w:tc>
      </w:tr>
      <w:tr>
        <w:tc>
          <w:tcPr>
            <w:tcW w:type="dxa" w:w="38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b/>
                <w:bCs/>
                <w:sz w:val="24"/>
                <w:szCs w:val="24"/>
              </w:rPr>
              <w:t xml:space="preserve">2</w:t>
            </w:r>
          </w:p>
        </w:tc>
        <w:tc>
          <w:tcPr>
            <w:tcW w:type="dxa" w:w="22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b/>
                <w:bCs/>
                <w:sz w:val="24"/>
                <w:szCs w:val="24"/>
              </w:rPr>
              <w:t xml:space="preserve">Baseline Learning</w:t>
            </w:r>
          </w:p>
        </w:tc>
        <w:tc>
          <w:tcPr>
            <w:tcW w:type="dxa" w:w="5686"/>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Establishes rolling 6-week baselines for each system-generated parameter during the first weeks of live monitoring. Baselines adapt continuously — they reflect the organisation's own normal, not a generic industry standard.</w:t>
            </w:r>
          </w:p>
        </w:tc>
        <w:tc>
          <w:tcPr>
            <w:tcW w:type="dxa" w:w="22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First 6 weeks, then continuous</w:t>
            </w:r>
          </w:p>
        </w:tc>
      </w:tr>
      <w:tr>
        <w:tc>
          <w:tcPr>
            <w:tcW w:type="dxa" w:w="3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4"/>
                <w:szCs w:val="24"/>
              </w:rPr>
              <w:t xml:space="preserve">3</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4"/>
                <w:szCs w:val="24"/>
              </w:rPr>
              <w:t xml:space="preserve">Continuous Detection  (L1 + L2)</w:t>
            </w:r>
          </w:p>
        </w:tc>
        <w:tc>
          <w:tcPr>
            <w:tcW w:type="dxa" w:w="568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Every data refresh compares current readings against both (a) absolute thresholds — breach triggers Red immediately (L1), and (b) rolling baselines — material deviation triggers Amber before any threshold is reached (L2). Drift detection is VITAL's primary differentiation from conventional monitoring.</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Real-time on every refresh</w:t>
            </w:r>
          </w:p>
        </w:tc>
      </w:tr>
      <w:tr>
        <w:tc>
          <w:tcPr>
            <w:tcW w:type="dxa" w:w="38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b/>
                <w:bCs/>
                <w:sz w:val="24"/>
                <w:szCs w:val="24"/>
              </w:rPr>
              <w:t xml:space="preserve">4</w:t>
            </w:r>
          </w:p>
        </w:tc>
        <w:tc>
          <w:tcPr>
            <w:tcW w:type="dxa" w:w="22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b/>
                <w:bCs/>
                <w:sz w:val="24"/>
                <w:szCs w:val="24"/>
              </w:rPr>
              <w:t xml:space="preserve">Pattern Recognition  (L3)</w:t>
            </w:r>
          </w:p>
        </w:tc>
        <w:tc>
          <w:tcPr>
            <w:tcW w:type="dxa" w:w="5686"/>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All active parameter readings across all 22 functions are held simultaneously. When two or more signals from logically connected functions cross their thresholds concurrently, the engine checks against 20 named correlation rules and activates the relevant rule with its named response protocol.</w:t>
            </w:r>
          </w:p>
        </w:tc>
        <w:tc>
          <w:tcPr>
            <w:tcW w:type="dxa" w:w="22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Continuous — cross-function</w:t>
            </w:r>
          </w:p>
        </w:tc>
      </w:tr>
      <w:tr>
        <w:tc>
          <w:tcPr>
            <w:tcW w:type="dxa" w:w="3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4"/>
                <w:szCs w:val="24"/>
              </w:rPr>
              <w:t xml:space="preserve">5</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4"/>
                <w:szCs w:val="24"/>
              </w:rPr>
              <w:t xml:space="preserve">Forward Projection  (L4)</w:t>
            </w:r>
          </w:p>
        </w:tc>
        <w:tc>
          <w:tcPr>
            <w:tcW w:type="dxa" w:w="568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Confirmed adverse trends are projected forward. The engine calculates when a Watch parameter will likely reach Amber, and when an Amber will likely reach Red if the current trajectory continues. The cost of delay is quantified while the decision is still pending.</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On every adverse trend confirmation</w:t>
            </w:r>
          </w:p>
        </w:tc>
      </w:tr>
      <w:tr>
        <w:tc>
          <w:tcPr>
            <w:tcW w:type="dxa" w:w="38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b/>
                <w:bCs/>
                <w:sz w:val="24"/>
                <w:szCs w:val="24"/>
              </w:rPr>
              <w:t xml:space="preserve">6</w:t>
            </w:r>
          </w:p>
        </w:tc>
        <w:tc>
          <w:tcPr>
            <w:tcW w:type="dxa" w:w="22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b/>
                <w:bCs/>
                <w:sz w:val="24"/>
                <w:szCs w:val="24"/>
              </w:rPr>
              <w:t xml:space="preserve">Process Adherence Monitoring  (L5)</w:t>
            </w:r>
          </w:p>
        </w:tc>
        <w:tc>
          <w:tcPr>
            <w:tcW w:type="dxa" w:w="5686"/>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Activity completion events are read from project management and workflow systems — not just outcomes, but the sequence of steps. Skipped, compressed, or reordered steps are flagged 2–8 weeks before the result failure they will produce becomes visible in any performance metric.</w:t>
            </w:r>
          </w:p>
        </w:tc>
        <w:tc>
          <w:tcPr>
            <w:tcW w:type="dxa" w:w="22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Continuous from project systems</w:t>
            </w:r>
          </w:p>
        </w:tc>
      </w:tr>
    </w:tbl>
    <w:p>
      <w:pPr>
        <w:spacing w:after="60" w:before="80"/>
      </w:pPr>
      <w:r>
        <w:t xml:space="preserve"/>
      </w:r>
    </w:p>
    <w:p>
      <w:pPr>
        <w:spacing w:after="80" w:before="240"/>
      </w:pPr>
      <w:r>
        <w:rPr>
          <w:rFonts w:ascii="Arial" w:cs="Arial" w:eastAsia="Arial" w:hAnsi="Arial"/>
          <w:b/>
          <w:bCs/>
          <w:color w:val="2E5F9A"/>
          <w:sz w:val="28"/>
          <w:szCs w:val="28"/>
        </w:rPr>
        <w:t xml:space="preserve">Signal Propagation Architecture</w:t>
      </w:r>
    </w:p>
    <w:p>
      <w:pPr>
        <w:spacing w:after="60" w:before="0"/>
      </w:pPr>
      <w:r>
        <w:rPr>
          <w:rFonts w:ascii="Arial" w:cs="Arial" w:eastAsia="Arial" w:hAnsi="Arial"/>
          <w:b/>
          <w:bCs/>
          <w:color w:val="8B0000"/>
          <w:sz w:val="24"/>
          <w:szCs w:val="24"/>
        </w:rPr>
        <w:t xml:space="preserve">New in V7 — </w:t>
      </w:r>
      <w:r>
        <w:rPr>
          <w:rFonts w:ascii="Arial" w:cs="Arial" w:eastAsia="Arial" w:hAnsi="Arial"/>
          <w:i/>
          <w:iCs/>
          <w:color w:val="555555"/>
          <w:sz w:val="24"/>
          <w:szCs w:val="24"/>
        </w:rPr>
        <w:t xml:space="preserve">Formalising the signal propagation research agenda opened by Ashish Nagar's second communication and connected to Ross Wirth's inquiry into why signals are ignored. This subsection positions VITAL's 20 named L3 rules as the first empirical test of organisational signal propagation hypotheses.</w:t>
      </w:r>
    </w:p>
    <w:p>
      <w:pPr>
        <w:spacing w:after="80" w:before="80"/>
      </w:pPr>
      <w:r>
        <w:rPr>
          <w:rFonts w:ascii="Arial" w:cs="Arial" w:eastAsia="Arial" w:hAnsi="Arial"/>
          <w:sz w:val="28"/>
          <w:szCs w:val="28"/>
        </w:rPr>
        <w:t xml:space="preserve">Understanding how signals travel between functions is the next frontier of VITAL's intelligence architecture. VITAL's 20 named Level 3 correlation rules capture the most reliably observed propagation patterns: when cash runway deteriorates simultaneously with decision latency rising, the CASH-LEADERSHIP PARALYSIS rule activates — not because either signal alone is diagnostic, but because their co-occurrence confirms a specific systemic condition. Each named rule embeds a propagation hypothesis: this signal, from this function, reaching this function within this timeframe, indicates this condition.</w:t>
      </w:r>
    </w:p>
    <w:p>
      <w:pPr>
        <w:spacing w:after="80" w:before="80"/>
      </w:pPr>
      <w:r>
        <w:rPr>
          <w:rFonts w:ascii="Arial" w:cs="Arial" w:eastAsia="Arial" w:hAnsi="Arial"/>
          <w:sz w:val="28"/>
          <w:szCs w:val="28"/>
        </w:rPr>
        <w:t xml:space="preserve">The deeper research question — whether signal propagation follows predictable statistical patterns across organisations and sectors — is the formal research programme connecting VITAL to IIM Kozhikode and to Ross Wirth's inquiry into the organisational conditions that produce signal responsiveness.</w:t>
      </w:r>
    </w:p>
    <w:p>
      <w:pPr>
        <w:spacing w:after="40" w:before="60"/>
      </w:pPr>
      <w:r>
        <w:t xml:space="preserve"/>
      </w:r>
    </w:p>
    <w:p>
      <w:pPr>
        <w:spacing w:after="60" w:before="180"/>
      </w:pPr>
      <w:r>
        <w:rPr>
          <w:rFonts w:ascii="Arial" w:cs="Arial" w:eastAsia="Arial" w:hAnsi="Arial"/>
          <w:b/>
          <w:bCs/>
          <w:color w:val="1F3B60"/>
          <w:sz w:val="26"/>
          <w:szCs w:val="26"/>
        </w:rPr>
        <w:t xml:space="preserve">Hypothesised Propagation Sequences — For Pilot Validation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3666"/>
      </w:tblGrid>
      <w:tr>
        <w:tc>
          <w:tcPr>
            <w:tcW w:type="dxa" w:w="3200"/>
            <w:gridSpan w:val="1"/>
            <w:tcBorders>
              <w:top w:val="single" w:color="1F3B60" w:sz="1"/>
              <w:left w:val="single" w:color="1F3B60" w:sz="1"/>
              <w:bottom w:val="single" w:color="1F3B60" w:sz="1"/>
              <w:right w:val="single" w:color="1F3B60" w:sz="1"/>
            </w:tcBorders>
            <w:shd w:fill="1F3B6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Propagation Sequence</w:t>
            </w:r>
          </w:p>
        </w:tc>
        <w:tc>
          <w:tcPr>
            <w:tcW w:type="dxa" w:w="3600"/>
            <w:gridSpan w:val="1"/>
            <w:tcBorders>
              <w:top w:val="single" w:color="1F3B60" w:sz="1"/>
              <w:left w:val="single" w:color="1F3B60" w:sz="1"/>
              <w:bottom w:val="single" w:color="1F3B60" w:sz="1"/>
              <w:right w:val="single" w:color="1F3B60" w:sz="1"/>
            </w:tcBorders>
            <w:shd w:fill="1F3B6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Hypothesised Lead Time</w:t>
            </w:r>
          </w:p>
        </w:tc>
        <w:tc>
          <w:tcPr>
            <w:tcW w:type="dxa" w:w="3666"/>
            <w:gridSpan w:val="1"/>
            <w:tcBorders>
              <w:top w:val="single" w:color="1F3B60" w:sz="1"/>
              <w:left w:val="single" w:color="1F3B60" w:sz="1"/>
              <w:bottom w:val="single" w:color="1F3B60" w:sz="1"/>
              <w:right w:val="single" w:color="1F3B60" w:sz="1"/>
            </w:tcBorders>
            <w:shd w:fill="1F3B6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Research Question</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CF2 (leadership) + CF3 (people) signals preceding CF1 (financial) + CF4 (delivery) consequences</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4–8 weeks</w:t>
            </w:r>
          </w:p>
        </w:tc>
        <w:tc>
          <w:tcPr>
            <w:tcW w:type="dxa" w:w="366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Do leadership and people signals reliably lead financial and delivery consequences — and with what consistency across sectors?</w:t>
            </w:r>
          </w:p>
        </w:tc>
      </w:tr>
      <w:tr>
        <w:tc>
          <w:tcPr>
            <w:tcW w:type="dxa" w:w="32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FF2 (knowledge) + FF3 (infrastructure) signals preceding CF3 (people) + CF4 (delivery) symptoms</w:t>
            </w:r>
          </w:p>
        </w:tc>
        <w:tc>
          <w:tcPr>
            <w:tcW w:type="dxa" w:w="36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8–16 weeks</w:t>
            </w:r>
          </w:p>
        </w:tc>
        <w:tc>
          <w:tcPr>
            <w:tcW w:type="dxa" w:w="3666"/>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Does foundation deterioration produce identifiable operational symptoms within a predictable window?</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E1 (culture) decline preceding CF7 (revenue) pipeline contraction</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8–12 weeks</w:t>
            </w:r>
          </w:p>
        </w:tc>
        <w:tc>
          <w:tcPr>
            <w:tcW w:type="dxa" w:w="366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Does the MARKET-INTERNAL REFLECTION propagation sequence hold empirically — and what is its typical lead time?</w:t>
            </w:r>
          </w:p>
        </w:tc>
      </w:tr>
      <w:tr>
        <w:tc>
          <w:tcPr>
            <w:tcW w:type="dxa" w:w="32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RF depletion amplifying CF stress consequences</w:t>
            </w:r>
          </w:p>
        </w:tc>
        <w:tc>
          <w:tcPr>
            <w:tcW w:type="dxa" w:w="36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Not a lead time — a severity amplifier</w:t>
            </w:r>
          </w:p>
        </w:tc>
        <w:tc>
          <w:tcPr>
            <w:tcW w:type="dxa" w:w="3666"/>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Does RF depletion systematically produce worse outcomes for the same CF stress event — quantifiable across pilot organisations?</w:t>
            </w:r>
          </w:p>
        </w:tc>
      </w:tr>
    </w:tbl>
    <w:p>
      <w:pPr>
        <w:spacing w:after="40" w:before="60"/>
      </w:pPr>
      <w:r>
        <w:t xml:space="preserve"/>
      </w:r>
    </w:p>
    <w:p>
      <w:pPr>
        <w:spacing w:after="80" w:before="80"/>
      </w:pPr>
      <w:r>
        <w:rPr>
          <w:rFonts w:ascii="Arial" w:cs="Arial" w:eastAsia="Arial" w:hAnsi="Arial"/>
          <w:sz w:val="28"/>
          <w:szCs w:val="28"/>
        </w:rPr>
        <w:t xml:space="preserve">These are falsifiable hypotheses. Pilot deployment data will test whether they hold, with what lead times, and whether sector affects timing. The result will be an organisational signal propagation model — converting VITAL's structured hypotheses into a validated intelligence architecture.</w:t>
      </w:r>
    </w:p>
    <w:p>
      <w:pPr>
        <w:spacing w:after="40" w:before="120"/>
      </w:pPr>
      <w:r>
        <w:t xml:space="preserve"/>
      </w:r>
    </w:p>
    <w:p>
      <w:pPr>
        <w:pBdr>
          <w:bottom w:val="single" w:color="1F3B60" w:sz="8" w:space="4"/>
        </w:pBdr>
        <w:spacing w:after="120" w:before="320"/>
      </w:pPr>
      <w:r>
        <w:rPr>
          <w:rFonts w:ascii="Arial" w:cs="Arial" w:eastAsia="Arial" w:hAnsi="Arial"/>
          <w:b/>
          <w:bCs/>
          <w:color w:val="1F3B60"/>
          <w:sz w:val="32"/>
          <w:szCs w:val="32"/>
        </w:rPr>
        <w:t xml:space="preserve">IX.  The Human Sensing Architecture</w:t>
      </w:r>
    </w:p>
    <w:p>
      <w:pPr>
        <w:spacing w:after="60" w:before="0"/>
      </w:pPr>
      <w:r>
        <w:rPr>
          <w:rFonts w:ascii="Arial" w:cs="Arial" w:eastAsia="Arial" w:hAnsi="Arial"/>
          <w:b/>
          <w:bCs/>
          <w:color w:val="8B0000"/>
          <w:sz w:val="24"/>
          <w:szCs w:val="24"/>
        </w:rPr>
        <w:t xml:space="preserve">Revised in V7: </w:t>
      </w:r>
      <w:r>
        <w:rPr>
          <w:rFonts w:ascii="Arial" w:cs="Arial" w:eastAsia="Arial" w:hAnsi="Arial"/>
          <w:i/>
          <w:iCs/>
          <w:color w:val="555555"/>
          <w:sz w:val="24"/>
          <w:szCs w:val="24"/>
        </w:rPr>
        <w:t xml:space="preserve">Three-category sensing split formalised (60%/15%/25%). Activity-as-mini-project four trigger points defined. Activity Declaration mechanism added.</w:t>
      </w:r>
    </w:p>
    <w:p>
      <w:pPr>
        <w:spacing w:after="80" w:before="80"/>
      </w:pPr>
      <w:r>
        <w:rPr>
          <w:rFonts w:ascii="Arial" w:cs="Arial" w:eastAsia="Arial" w:hAnsi="Arial"/>
          <w:sz w:val="28"/>
          <w:szCs w:val="28"/>
        </w:rPr>
        <w:t xml:space="preserve">25% of VITAL's intelligence comes from structured human sensing — questions put to people who carry knowledge no system can capture: informal signals, relationship quality, ethical discomfort, strategic misalignment, psychological safety. These are precisely the signals that precede crises and that conventional analytics systems fail to capture.</w:t>
      </w:r>
    </w:p>
    <w:p>
      <w:pPr>
        <w:spacing w:after="60" w:before="80"/>
      </w:pPr>
      <w:r>
        <w:t xml:space="preserve"/>
      </w:r>
    </w:p>
    <w:p>
      <w:pPr>
        <w:spacing w:after="80" w:before="240"/>
      </w:pPr>
      <w:r>
        <w:rPr>
          <w:rFonts w:ascii="Arial" w:cs="Arial" w:eastAsia="Arial" w:hAnsi="Arial"/>
          <w:b/>
          <w:bCs/>
          <w:color w:val="2E5F9A"/>
          <w:sz w:val="28"/>
          <w:szCs w:val="28"/>
        </w:rPr>
        <w:t xml:space="preserve">Three-Category Sensing Architecture</w:t>
      </w:r>
    </w:p>
    <w:p>
      <w:pPr>
        <w:spacing w:after="80" w:before="80"/>
      </w:pPr>
      <w:r>
        <w:rPr>
          <w:rFonts w:ascii="Arial" w:cs="Arial" w:eastAsia="Arial" w:hAnsi="Arial"/>
          <w:sz w:val="28"/>
          <w:szCs w:val="28"/>
        </w:rPr>
        <w:t xml:space="preserve">VITAL's sensing signals arrive from three distinct source categories:</w:t>
      </w:r>
    </w:p>
    <w:p>
      <w:pPr>
        <w:spacing w:after="40" w:before="60"/>
      </w:pPr>
      <w: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6666"/>
      </w:tblGrid>
      <w:tr>
        <w:tc>
          <w:tcPr>
            <w:tcW w:type="dxa" w:w="2600"/>
            <w:gridSpan w:val="1"/>
            <w:tcBorders>
              <w:top w:val="single" w:color="1F3B60" w:sz="1"/>
              <w:left w:val="single" w:color="1F3B60" w:sz="1"/>
              <w:bottom w:val="single" w:color="1F3B60" w:sz="1"/>
              <w:right w:val="single" w:color="1F3B60" w:sz="1"/>
            </w:tcBorders>
            <w:shd w:fill="1F3B6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Source Category</w:t>
            </w:r>
          </w:p>
        </w:tc>
        <w:tc>
          <w:tcPr>
            <w:tcW w:type="dxa" w:w="1200"/>
            <w:gridSpan w:val="1"/>
            <w:tcBorders>
              <w:top w:val="single" w:color="1F3B60" w:sz="1"/>
              <w:left w:val="single" w:color="1F3B60" w:sz="1"/>
              <w:bottom w:val="single" w:color="1F3B60" w:sz="1"/>
              <w:right w:val="single" w:color="1F3B60" w:sz="1"/>
            </w:tcBorders>
            <w:shd w:fill="1F3B6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Approx. Share</w:t>
            </w:r>
          </w:p>
        </w:tc>
        <w:tc>
          <w:tcPr>
            <w:tcW w:type="dxa" w:w="6666"/>
            <w:gridSpan w:val="1"/>
            <w:tcBorders>
              <w:top w:val="single" w:color="1F3B60" w:sz="1"/>
              <w:left w:val="single" w:color="1F3B60" w:sz="1"/>
              <w:bottom w:val="single" w:color="1F3B60" w:sz="1"/>
              <w:right w:val="single" w:color="1F3B60" w:sz="1"/>
            </w:tcBorders>
            <w:shd w:fill="1F3B6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Description and Characteristics</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4"/>
                <w:szCs w:val="24"/>
              </w:rPr>
              <w:t xml:space="preserve">Automated System Signals</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~60%</w:t>
            </w:r>
          </w:p>
        </w:tc>
        <w:tc>
          <w:tcPr>
            <w:tcW w:type="dxa" w:w="666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AI reads continuously from connected systems — ERP, HRMS, CRM, project management, procurement, compliance, knowledge management. No human action required. Extracted, computed, and compared against threshold automatically on every data refresh. These are not periodic — they are continuous.</w:t>
            </w:r>
          </w:p>
        </w:tc>
      </w:tr>
      <w:tr>
        <w:tc>
          <w:tcPr>
            <w:tcW w:type="dxa" w:w="26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b/>
                <w:bCs/>
                <w:sz w:val="24"/>
                <w:szCs w:val="24"/>
              </w:rPr>
              <w:t xml:space="preserve">Activity-Triggered Questions</w:t>
            </w:r>
          </w:p>
        </w:tc>
        <w:tc>
          <w:tcPr>
            <w:tcW w:type="dxa" w:w="12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~15%</w:t>
            </w:r>
          </w:p>
        </w:tc>
        <w:tc>
          <w:tcPr>
            <w:tcW w:type="dxa" w:w="6666"/>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Questions fired at natural work activity trigger points — project kickoff, milestone completion, sprint retrospective, project closure. The activity is the trigger; the question is embedded within it. These are not periodic — they occur when the relevant activity occurs. The 15% is not a fixed proportion but an architectural estimate: it increases for project-intensive organisations.</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4"/>
                <w:szCs w:val="24"/>
              </w:rPr>
              <w:t xml:space="preserve">Standing Organisational Questions</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~25%</w:t>
            </w:r>
          </w:p>
        </w:tc>
        <w:tc>
          <w:tcPr>
            <w:tcW w:type="dxa" w:w="666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Periodic pulse questions operating on a calendar rhythm, not an activity rhythm: weekly Private Digital Pulse (3 questions, 2 minutes), quarterly Relational Health Survey, quarterly Appraisal Integration. These capture ambient organisational conditions — psychological safety, values integrity, engagement — that do not change at the pace of specific activities.</w:t>
            </w:r>
          </w:p>
        </w:tc>
      </w:tr>
    </w:tbl>
    <w:p>
      <w:pPr>
        <w:spacing w:after="60" w:before="80"/>
      </w:pPr>
      <w: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Borders>
              <w:top w:val="single" w:color="2E75B6" w:sz="6"/>
              <w:left w:val="single" w:color="2E75B6" w:sz="6"/>
              <w:bottom w:val="single" w:color="2E75B6" w:sz="6"/>
              <w:right w:val="single" w:color="2E75B6" w:sz="6"/>
            </w:tcBorders>
            <w:shd w:fill="EBF3FA" w:val="clear"/>
            <w:tcMar>
              <w:top w:type="dxa" w:w="120"/>
              <w:left w:type="dxa" w:w="160"/>
              <w:bottom w:type="dxa" w:w="120"/>
              <w:right w:type="dxa" w:w="160"/>
            </w:tcMar>
          </w:tcPr>
          <w:p>
            <w:r>
              <w:rPr>
                <w:rFonts w:ascii="Arial" w:cs="Arial" w:eastAsia="Arial" w:hAnsi="Arial"/>
                <w:i/>
                <w:iCs/>
                <w:color w:val="1F3B60"/>
                <w:sz w:val="26"/>
                <w:szCs w:val="26"/>
              </w:rPr>
              <w:t xml:space="preserve">The 60/15/25 split reflects the target architecture for a mature VITAL deployment with full system connectivity. Each organisation's actual split is determined by the Data Availability Mapping exercise: an organisation with full ERP, HRMS, and CRM integration may reach 70–75% automated. An organisation with minimal connected systems may operate at 40% automated with a corresponding increase in human sensing — a valid deployment, not a gap.</w:t>
            </w:r>
          </w:p>
        </w:tc>
      </w:tr>
    </w:tbl>
    <w:p>
      <w:pPr>
        <w:spacing w:after="60" w:before="80"/>
      </w:pPr>
      <w:r>
        <w:t xml:space="preserve"/>
      </w:r>
    </w:p>
    <w:p>
      <w:pPr>
        <w:spacing w:after="80" w:before="240"/>
      </w:pPr>
      <w:r>
        <w:rPr>
          <w:rFonts w:ascii="Arial" w:cs="Arial" w:eastAsia="Arial" w:hAnsi="Arial"/>
          <w:b/>
          <w:bCs/>
          <w:color w:val="2E5F9A"/>
          <w:sz w:val="28"/>
          <w:szCs w:val="28"/>
        </w:rPr>
        <w:t xml:space="preserve">Activity-as-Mini-Project: Four Named Trigger Points</w:t>
      </w:r>
    </w:p>
    <w:p>
      <w:pPr>
        <w:spacing w:after="80" w:before="80"/>
      </w:pPr>
      <w:r>
        <w:rPr>
          <w:rFonts w:ascii="Arial" w:cs="Arial" w:eastAsia="Arial" w:hAnsi="Arial"/>
          <w:sz w:val="28"/>
          <w:szCs w:val="28"/>
        </w:rPr>
        <w:t xml:space="preserve">For activity-triggered questions, four natural trigger points are defined. Every significant work activity — a project, a programme phase, a sprint, a client engagement — passes through all four:</w:t>
      </w:r>
    </w:p>
    <w:p>
      <w:pPr>
        <w:spacing w:after="40" w:before="60"/>
      </w:pPr>
      <w: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4666"/>
      </w:tblGrid>
      <w:tr>
        <w:tc>
          <w:tcPr>
            <w:tcW w:type="dxa" w:w="1800"/>
            <w:gridSpan w:val="1"/>
            <w:tcBorders>
              <w:top w:val="single" w:color="1F3B60" w:sz="1"/>
              <w:left w:val="single" w:color="1F3B60" w:sz="1"/>
              <w:bottom w:val="single" w:color="1F3B60" w:sz="1"/>
              <w:right w:val="single" w:color="1F3B60" w:sz="1"/>
            </w:tcBorders>
            <w:shd w:fill="1F3B6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Trigger Point</w:t>
            </w:r>
          </w:p>
        </w:tc>
        <w:tc>
          <w:tcPr>
            <w:tcW w:type="dxa" w:w="4000"/>
            <w:gridSpan w:val="1"/>
            <w:tcBorders>
              <w:top w:val="single" w:color="1F3B60" w:sz="1"/>
              <w:left w:val="single" w:color="1F3B60" w:sz="1"/>
              <w:bottom w:val="single" w:color="1F3B60" w:sz="1"/>
              <w:right w:val="single" w:color="1F3B60" w:sz="1"/>
            </w:tcBorders>
            <w:shd w:fill="1F3B6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Question Focus</w:t>
            </w:r>
          </w:p>
        </w:tc>
        <w:tc>
          <w:tcPr>
            <w:tcW w:type="dxa" w:w="4666"/>
            <w:gridSpan w:val="1"/>
            <w:tcBorders>
              <w:top w:val="single" w:color="1F3B60" w:sz="1"/>
              <w:left w:val="single" w:color="1F3B60" w:sz="1"/>
              <w:bottom w:val="single" w:color="1F3B60" w:sz="1"/>
              <w:right w:val="single" w:color="1F3B60" w:sz="1"/>
            </w:tcBorders>
            <w:shd w:fill="1F3B6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Signals Produced</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4"/>
                <w:szCs w:val="24"/>
              </w:rPr>
              <w:t xml:space="preserve">Kickoff</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Scope clarity, resource readiness, role definition, dependency mapping, tool and access availability</w:t>
            </w:r>
          </w:p>
        </w:tc>
        <w:tc>
          <w:tcPr>
            <w:tcW w:type="dxa" w:w="466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CF4 commitment baseline, CF3 resource readiness, FF3 infrastructure adequacy, CF6 tool availability</w:t>
            </w:r>
          </w:p>
        </w:tc>
      </w:tr>
      <w:tr>
        <w:tc>
          <w:tcPr>
            <w:tcW w:type="dxa" w:w="18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b/>
                <w:bCs/>
                <w:sz w:val="24"/>
                <w:szCs w:val="24"/>
              </w:rPr>
              <w:t xml:space="preserve">Milestone</w:t>
            </w:r>
          </w:p>
        </w:tc>
        <w:tc>
          <w:tcPr>
            <w:tcW w:type="dxa" w:w="40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Pace assessment, process adherence, emerging friction, resource sufficiency, workaround patterns</w:t>
            </w:r>
          </w:p>
        </w:tc>
        <w:tc>
          <w:tcPr>
            <w:tcW w:type="dxa" w:w="4666"/>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CF3 sustainable pace, CF4 process adherence, CF6 platform friction (PLATFORM FRICTION SPIRAL precursor)</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4"/>
                <w:szCs w:val="24"/>
              </w:rPr>
              <w:t xml:space="preserve">Retrospective / Review</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What happened, what was learned, what was skipped, quality of execution, what remained unresolved</w:t>
            </w:r>
          </w:p>
        </w:tc>
        <w:tc>
          <w:tcPr>
            <w:tcW w:type="dxa" w:w="466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CF4 Learning Register entry, E3 learning conversion, CF5 process non-compliance detection</w:t>
            </w:r>
          </w:p>
        </w:tc>
      </w:tr>
      <w:tr>
        <w:tc>
          <w:tcPr>
            <w:tcW w:type="dxa" w:w="18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b/>
                <w:bCs/>
                <w:sz w:val="24"/>
                <w:szCs w:val="24"/>
              </w:rPr>
              <w:t xml:space="preserve">Closure</w:t>
            </w:r>
          </w:p>
        </w:tc>
        <w:tc>
          <w:tcPr>
            <w:tcW w:type="dxa" w:w="40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Knowledge capture quality, handoff completeness, what this activity revealed about organisational health</w:t>
            </w:r>
          </w:p>
        </w:tc>
        <w:tc>
          <w:tcPr>
            <w:tcW w:type="dxa" w:w="4666"/>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FF2 knowledge architecture, CF4 commitment fulfilment, CF7 customer relationship at closure</w:t>
            </w:r>
          </w:p>
        </w:tc>
      </w:tr>
    </w:tbl>
    <w:p>
      <w:pPr>
        <w:spacing w:after="60" w:before="80"/>
      </w:pPr>
      <w:r>
        <w:t xml:space="preserve"/>
      </w:r>
    </w:p>
    <w:p>
      <w:pPr>
        <w:spacing w:after="80" w:before="240"/>
      </w:pPr>
      <w:r>
        <w:rPr>
          <w:rFonts w:ascii="Arial" w:cs="Arial" w:eastAsia="Arial" w:hAnsi="Arial"/>
          <w:b/>
          <w:bCs/>
          <w:color w:val="2E5F9A"/>
          <w:sz w:val="28"/>
          <w:szCs w:val="28"/>
        </w:rPr>
        <w:t xml:space="preserve">Activity Declaration — Multitasking and Multiple Hats Signal</w:t>
      </w:r>
    </w:p>
    <w:p>
      <w:pPr>
        <w:spacing w:after="80" w:before="80"/>
      </w:pPr>
      <w:r>
        <w:rPr>
          <w:rFonts w:ascii="Arial" w:cs="Arial" w:eastAsia="Arial" w:hAnsi="Arial"/>
          <w:sz w:val="28"/>
          <w:szCs w:val="28"/>
        </w:rPr>
        <w:t xml:space="preserve">Within the weekly Private Digital Pulse, every person in the organisation answers two Activity Declaration questions: 'Are you currently working on tasks outside your primary role?' and 'Approximately what proportion of your time this week?' This produces VITAL's multitasking and multiple-hats signal — a cross-function indicator that feeds CF3 sustainable pace, CF4 capacity-commitment monitoring, and CF2 resource allocation awareness simultaneously.</w:t>
      </w:r>
    </w:p>
    <w:p>
      <w:pPr>
        <w:spacing w:after="80" w:before="80"/>
      </w:pPr>
      <w:r>
        <w:rPr>
          <w:rFonts w:ascii="Arial" w:cs="Arial" w:eastAsia="Arial" w:hAnsi="Arial"/>
          <w:sz w:val="28"/>
          <w:szCs w:val="28"/>
        </w:rPr>
        <w:t xml:space="preserve">High multitasking rates across a function are a leading indicator of unsustainable pace before any delivery metric shows deterioration. The Activity Declaration converts an invisible workload condition into a monitored parameter.</w:t>
      </w:r>
    </w:p>
    <w:p>
      <w:pPr>
        <w:spacing w:after="60" w:before="80"/>
      </w:pPr>
      <w:r>
        <w:t xml:space="preserve"/>
      </w:r>
    </w:p>
    <w:p>
      <w:pPr>
        <w:spacing w:after="80" w:before="240"/>
      </w:pPr>
      <w:r>
        <w:rPr>
          <w:rFonts w:ascii="Arial" w:cs="Arial" w:eastAsia="Arial" w:hAnsi="Arial"/>
          <w:b/>
          <w:bCs/>
          <w:color w:val="2E5F9A"/>
          <w:sz w:val="28"/>
          <w:szCs w:val="28"/>
        </w:rPr>
        <w:t xml:space="preserve">The Five Human Sensing Delivery Contexts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800"/>
        <w:gridCol w:w="3466"/>
      </w:tblGrid>
      <w:tr>
        <w:tc>
          <w:tcPr>
            <w:tcW w:type="dxa" w:w="2200"/>
            <w:gridSpan w:val="1"/>
            <w:tcBorders>
              <w:top w:val="single" w:color="1F3B60" w:sz="1"/>
              <w:left w:val="single" w:color="1F3B60" w:sz="1"/>
              <w:bottom w:val="single" w:color="1F3B60" w:sz="1"/>
              <w:right w:val="single" w:color="1F3B60" w:sz="1"/>
            </w:tcBorders>
            <w:shd w:fill="1F3B6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Context</w:t>
            </w:r>
          </w:p>
        </w:tc>
        <w:tc>
          <w:tcPr>
            <w:tcW w:type="dxa" w:w="2000"/>
            <w:gridSpan w:val="1"/>
            <w:tcBorders>
              <w:top w:val="single" w:color="1F3B60" w:sz="1"/>
              <w:left w:val="single" w:color="1F3B60" w:sz="1"/>
              <w:bottom w:val="single" w:color="1F3B60" w:sz="1"/>
              <w:right w:val="single" w:color="1F3B60" w:sz="1"/>
            </w:tcBorders>
            <w:shd w:fill="1F3B6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When Delivered</w:t>
            </w:r>
          </w:p>
        </w:tc>
        <w:tc>
          <w:tcPr>
            <w:tcW w:type="dxa" w:w="2800"/>
            <w:gridSpan w:val="1"/>
            <w:tcBorders>
              <w:top w:val="single" w:color="1F3B60" w:sz="1"/>
              <w:left w:val="single" w:color="1F3B60" w:sz="1"/>
              <w:bottom w:val="single" w:color="1F3B60" w:sz="1"/>
              <w:right w:val="single" w:color="1F3B60" w:sz="1"/>
            </w:tcBorders>
            <w:shd w:fill="1F3B6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Signal Category</w:t>
            </w:r>
          </w:p>
        </w:tc>
        <w:tc>
          <w:tcPr>
            <w:tcW w:type="dxa" w:w="3466"/>
            <w:gridSpan w:val="1"/>
            <w:tcBorders>
              <w:top w:val="single" w:color="1F3B60" w:sz="1"/>
              <w:left w:val="single" w:color="1F3B60" w:sz="1"/>
              <w:bottom w:val="single" w:color="1F3B60" w:sz="1"/>
              <w:right w:val="single" w:color="1F3B60" w:sz="1"/>
            </w:tcBorders>
            <w:shd w:fill="1F3B6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Design Constraints</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4"/>
                <w:szCs w:val="24"/>
              </w:rPr>
              <w:t xml:space="preserve">Retrospective Sensing</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End of sprint, delivery phase, or project closure</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Task and delivery experience, process adherence, tool friction, learning</w:t>
            </w:r>
          </w:p>
        </w:tc>
        <w:tc>
          <w:tcPr>
            <w:tcW w:type="dxa" w:w="346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3–5 questions. Answered immediately after the experience. Results visible to team aggregate only.</w:t>
            </w:r>
          </w:p>
        </w:tc>
      </w:tr>
      <w:tr>
        <w:tc>
          <w:tcPr>
            <w:tcW w:type="dxa" w:w="22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b/>
                <w:bCs/>
                <w:sz w:val="24"/>
                <w:szCs w:val="24"/>
              </w:rPr>
              <w:t xml:space="preserve">Town-Hall Pulse</w:t>
            </w:r>
          </w:p>
        </w:tc>
        <w:tc>
          <w:tcPr>
            <w:tcW w:type="dxa" w:w="20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End of monthly or quarterly all-hands meeting</w:t>
            </w:r>
          </w:p>
        </w:tc>
        <w:tc>
          <w:tcPr>
            <w:tcW w:type="dxa" w:w="28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Organisational environment, collective morale, strategic clarity at ground level</w:t>
            </w:r>
          </w:p>
        </w:tc>
        <w:tc>
          <w:tcPr>
            <w:tcW w:type="dxa" w:w="3466"/>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3–5 questions opened on device during the meeting. Results shown as live aggregate — making sensing visible and immediate.</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4"/>
                <w:szCs w:val="24"/>
              </w:rPr>
              <w:t xml:space="preserve">Private Digital Pulse</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Automated push to individual device — weekly or fortnightly</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Psychological safety, values integrity, concern disclosure, Activity Declaration. Most sensitive signals. Never in group settings.</w:t>
            </w:r>
          </w:p>
        </w:tc>
        <w:tc>
          <w:tcPr>
            <w:tcW w:type="dxa" w:w="346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3 questions maximum including Activity Declaration. Explicit routing statement at submission: 'Added to team aggregate. Individual responses never visible to anyone.'</w:t>
            </w:r>
          </w:p>
        </w:tc>
      </w:tr>
      <w:tr>
        <w:tc>
          <w:tcPr>
            <w:tcW w:type="dxa" w:w="22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b/>
                <w:bCs/>
                <w:sz w:val="24"/>
                <w:szCs w:val="24"/>
              </w:rPr>
              <w:t xml:space="preserve">Relational Health Survey</w:t>
            </w:r>
          </w:p>
        </w:tc>
        <w:tc>
          <w:tcPr>
            <w:tcW w:type="dxa" w:w="20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Quarterly — dedicated instrument</w:t>
            </w:r>
          </w:p>
        </w:tc>
        <w:tc>
          <w:tcPr>
            <w:tcW w:type="dxa" w:w="28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Observable relational behaviours across levels — not character judgments</w:t>
            </w:r>
          </w:p>
        </w:tc>
        <w:tc>
          <w:tcPr>
            <w:tcW w:type="dxa" w:w="3466"/>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Anonymous. Cross-level. 5–7 questions. Named purpose statement at opening.</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4"/>
                <w:szCs w:val="24"/>
              </w:rPr>
              <w:t xml:space="preserve">Appraisal Integration</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Quarterly — self-appraisal portion only, before manager review</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Individual experience, role sustainability, manager quality, mid-project sensing</w:t>
            </w:r>
          </w:p>
        </w:tc>
        <w:tc>
          <w:tcPr>
            <w:tcW w:type="dxa" w:w="346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Self-appraisal first principle. Structurally separated from performance assessment — different platform, different purpose statement.</w:t>
            </w:r>
          </w:p>
        </w:tc>
      </w:tr>
    </w:tbl>
    <w:p>
      <w:pPr>
        <w:spacing w:after="60" w:before="80"/>
      </w:pPr>
      <w:r>
        <w:t xml:space="preserve"/>
      </w:r>
    </w:p>
    <w:p>
      <w:pPr>
        <w:spacing w:after="80" w:before="240"/>
      </w:pPr>
      <w:r>
        <w:rPr>
          <w:rFonts w:ascii="Arial" w:cs="Arial" w:eastAsia="Arial" w:hAnsi="Arial"/>
          <w:b/>
          <w:bCs/>
          <w:color w:val="2E5F9A"/>
          <w:sz w:val="28"/>
          <w:szCs w:val="28"/>
        </w:rPr>
        <w:t xml:space="preserve">Structural Transparency — Making Anonymity Real</w:t>
      </w:r>
    </w:p>
    <w:p>
      <w:pPr>
        <w:spacing w:after="80" w:before="80"/>
      </w:pPr>
      <w:r>
        <w:rPr>
          <w:rFonts w:ascii="Arial" w:cs="Arial" w:eastAsia="Arial" w:hAnsi="Arial"/>
          <w:sz w:val="28"/>
          <w:szCs w:val="28"/>
        </w:rPr>
        <w:t xml:space="preserve">Stated anonymity in a policy document does not create genuine fearlessness. VITAL's sensing delivery architecture makes anonymity structurally true through differential privacy — individual responses are mathematically indistinguishable within the aggregate — and communicates this at the point of answering. The interface states explicitly at submission: 'Your response has been added to the team aggregate. Individual responses are never visible to anyone, including your manager or VITAL Monitor.'</w:t>
      </w:r>
    </w:p>
    <w:p>
      <w:pPr>
        <w:spacing w:after="80" w:before="80"/>
      </w:pPr>
      <w:r>
        <w:rPr>
          <w:rFonts w:ascii="Arial" w:cs="Arial" w:eastAsia="Arial" w:hAnsi="Arial"/>
          <w:sz w:val="28"/>
          <w:szCs w:val="28"/>
        </w:rPr>
        <w:t xml:space="preserve">The organisation's historical response to candour matters as much as the technical architecture. Where raised concerns have historically been ignored or punished, sensing will be suppressed regardless of anonymity assurances. VITAL treats persistent low response rates as a signal of E1 psychological safety deterioration — not as a data collection problem.</w:t>
      </w:r>
    </w:p>
    <w:p>
      <w:pPr>
        <w:spacing w:after="40" w:before="120"/>
      </w:pPr>
      <w:r>
        <w:t xml:space="preserve"/>
      </w:r>
    </w:p>
    <w:p>
      <w:pPr>
        <w:pBdr>
          <w:bottom w:val="single" w:color="1F3B60" w:sz="8" w:space="4"/>
        </w:pBdr>
        <w:spacing w:after="120" w:before="320"/>
      </w:pPr>
      <w:r>
        <w:rPr>
          <w:rFonts w:ascii="Arial" w:cs="Arial" w:eastAsia="Arial" w:hAnsi="Arial"/>
          <w:b/>
          <w:bCs/>
          <w:color w:val="1F3B60"/>
          <w:sz w:val="32"/>
          <w:szCs w:val="32"/>
        </w:rPr>
        <w:t xml:space="preserve">X.  The Adaptive Culture Health Index (ACHI)</w:t>
      </w:r>
    </w:p>
    <w:p>
      <w:pPr>
        <w:spacing w:after="80" w:before="80"/>
      </w:pPr>
      <w:r>
        <w:rPr>
          <w:rFonts w:ascii="Arial" w:cs="Arial" w:eastAsia="Arial" w:hAnsi="Arial"/>
          <w:sz w:val="28"/>
          <w:szCs w:val="28"/>
        </w:rPr>
        <w:t xml:space="preserve">The Adaptive Culture Health Index is a defined view of the Combined OHI — drawing specifically from the four functions whose combined health most directly reflects the organisation's adaptive culture condition. The ACHI is not a separate monitoring system. It is reported alongside the Combined OHI as a supplementary indicator.</w:t>
      </w:r>
    </w:p>
    <w:p>
      <w:pPr>
        <w:spacing w:after="60" w:before="80"/>
      </w:pPr>
      <w: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4600"/>
        <w:gridCol w:w="3066"/>
      </w:tblGrid>
      <w:tr>
        <w:tc>
          <w:tcPr>
            <w:tcW w:type="dxa" w:w="1800"/>
            <w:gridSpan w:val="1"/>
            <w:tcBorders>
              <w:top w:val="single" w:color="1F3B60" w:sz="1"/>
              <w:left w:val="single" w:color="1F3B60" w:sz="1"/>
              <w:bottom w:val="single" w:color="1F3B60" w:sz="1"/>
              <w:right w:val="single" w:color="1F3B60" w:sz="1"/>
            </w:tcBorders>
            <w:shd w:fill="1F3B6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ACHI Component</w:t>
            </w:r>
          </w:p>
        </w:tc>
        <w:tc>
          <w:tcPr>
            <w:tcW w:type="dxa" w:w="1000"/>
            <w:gridSpan w:val="1"/>
            <w:tcBorders>
              <w:top w:val="single" w:color="1F3B60" w:sz="1"/>
              <w:left w:val="single" w:color="1F3B60" w:sz="1"/>
              <w:bottom w:val="single" w:color="1F3B60" w:sz="1"/>
              <w:right w:val="single" w:color="1F3B60" w:sz="1"/>
            </w:tcBorders>
            <w:shd w:fill="1F3B6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Weight</w:t>
            </w:r>
          </w:p>
        </w:tc>
        <w:tc>
          <w:tcPr>
            <w:tcW w:type="dxa" w:w="4600"/>
            <w:gridSpan w:val="1"/>
            <w:tcBorders>
              <w:top w:val="single" w:color="1F3B60" w:sz="1"/>
              <w:left w:val="single" w:color="1F3B60" w:sz="1"/>
              <w:bottom w:val="single" w:color="1F3B60" w:sz="1"/>
              <w:right w:val="single" w:color="1F3B60" w:sz="1"/>
            </w:tcBorders>
            <w:shd w:fill="1F3B6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What It Measures</w:t>
            </w:r>
          </w:p>
        </w:tc>
        <w:tc>
          <w:tcPr>
            <w:tcW w:type="dxa" w:w="3066"/>
            <w:gridSpan w:val="1"/>
            <w:tcBorders>
              <w:top w:val="single" w:color="1F3B60" w:sz="1"/>
              <w:left w:val="single" w:color="1F3B60" w:sz="1"/>
              <w:bottom w:val="single" w:color="1F3B60" w:sz="1"/>
              <w:right w:val="single" w:color="1F3B60" w:sz="1"/>
            </w:tcBorders>
            <w:shd w:fill="1F3B6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Why It Belongs in ACHI</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4"/>
                <w:szCs w:val="24"/>
              </w:rPr>
              <w:t xml:space="preserve">CF2 — Leadership Effectiveness</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30%  [INITIAL]</w:t>
            </w:r>
          </w:p>
        </w:tc>
        <w:tc>
          <w:tcPr>
            <w:tcW w:type="dxa" w:w="4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Decision velocity, co-creation quality, strategic clarity, honest communication culture</w:t>
            </w:r>
          </w:p>
        </w:tc>
        <w:tc>
          <w:tcPr>
            <w:tcW w:type="dxa" w:w="306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Leadership is the primary driver of adaptive culture — slow decisions and non-co-creation produce an organisation that cannot adapt.</w:t>
            </w:r>
          </w:p>
        </w:tc>
      </w:tr>
      <w:tr>
        <w:tc>
          <w:tcPr>
            <w:tcW w:type="dxa" w:w="18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b/>
                <w:bCs/>
                <w:sz w:val="24"/>
                <w:szCs w:val="24"/>
              </w:rPr>
              <w:t xml:space="preserve">E1 — Culture &amp; Psychological Safety</w:t>
            </w:r>
          </w:p>
        </w:tc>
        <w:tc>
          <w:tcPr>
            <w:tcW w:type="dxa" w:w="10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30%  [INITIAL]</w:t>
            </w:r>
          </w:p>
        </w:tc>
        <w:tc>
          <w:tcPr>
            <w:tcW w:type="dxa" w:w="46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Psychological safety index, values integrity, inclusion and belonging, collective morale</w:t>
            </w:r>
          </w:p>
        </w:tc>
        <w:tc>
          <w:tcPr>
            <w:tcW w:type="dxa" w:w="3066"/>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Psychological safety is the foundational condition for adaptive culture — without it, people cannot speak up, experiment, or acknowledge failure.</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4"/>
                <w:szCs w:val="24"/>
              </w:rPr>
              <w:t xml:space="preserve">E3 — Learning &amp; Knowledge Management</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25%  [INITIAL]</w:t>
            </w:r>
          </w:p>
        </w:tc>
        <w:tc>
          <w:tcPr>
            <w:tcW w:type="dxa" w:w="4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Learning conversion rate, knowledge sharing participation, triple-loop governance</w:t>
            </w:r>
          </w:p>
        </w:tc>
        <w:tc>
          <w:tcPr>
            <w:tcW w:type="dxa" w:w="306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Adaptive culture is defined by its ability to learn from experience and convert learning into improved practice.</w:t>
            </w:r>
          </w:p>
        </w:tc>
      </w:tr>
      <w:tr>
        <w:tc>
          <w:tcPr>
            <w:tcW w:type="dxa" w:w="18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b/>
                <w:bCs/>
                <w:sz w:val="24"/>
                <w:szCs w:val="24"/>
              </w:rPr>
              <w:t xml:space="preserve">E5 — Strategy &amp; Direction</w:t>
            </w:r>
          </w:p>
        </w:tc>
        <w:tc>
          <w:tcPr>
            <w:tcW w:type="dxa" w:w="10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15%  [INITIAL]</w:t>
            </w:r>
          </w:p>
        </w:tc>
        <w:tc>
          <w:tcPr>
            <w:tcW w:type="dxa" w:w="46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Strategic cascade clarity, adaptive response quality, structure-reality alignment, operating rule simplicity</w:t>
            </w:r>
          </w:p>
        </w:tc>
        <w:tc>
          <w:tcPr>
            <w:tcW w:type="dxa" w:w="3066"/>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Adaptive culture requires strategic direction understood at every level and updatable when conditions change.</w:t>
            </w:r>
          </w:p>
        </w:tc>
      </w:tr>
    </w:tbl>
    <w:p>
      <w:pPr>
        <w:spacing w:after="60" w:before="80"/>
      </w:pPr>
      <w: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Borders>
              <w:top w:val="single" w:color="2E75B6" w:sz="6"/>
              <w:left w:val="single" w:color="2E75B6" w:sz="6"/>
              <w:bottom w:val="single" w:color="2E75B6" w:sz="6"/>
              <w:right w:val="single" w:color="2E75B6" w:sz="6"/>
            </w:tcBorders>
            <w:shd w:fill="EBF3FA" w:val="clear"/>
            <w:tcMar>
              <w:top w:type="dxa" w:w="120"/>
              <w:left w:type="dxa" w:w="160"/>
              <w:bottom w:type="dxa" w:w="120"/>
              <w:right w:type="dxa" w:w="160"/>
            </w:tcMar>
          </w:tcPr>
          <w:p>
            <w:r>
              <w:rPr>
                <w:rFonts w:ascii="Arial" w:cs="Arial" w:eastAsia="Arial" w:hAnsi="Arial"/>
                <w:i/>
                <w:iCs/>
                <w:color w:val="1F3B60"/>
                <w:sz w:val="26"/>
                <w:szCs w:val="26"/>
              </w:rPr>
              <w:t xml:space="preserve">ACHI Formula: ACHI = (CF2 × 0.30) + (E1 × 0.30) + (E3 × 0.25) + (E5 × 0.15)  [INITIAL — pilot calibration required]   ACHI Banding: Green (75–100) / Watch (60–74) / Amber (45–59) / Red (below 45).   Most useful as a trend indicator across quarterly reporting. A healthy Combined OHI with a declining ACHI signals an organisation performing today while degrading the conditions that enable it to adapt tomorrow.</w:t>
            </w:r>
          </w:p>
        </w:tc>
      </w:tr>
    </w:tbl>
    <w:p>
      <w:pPr>
        <w:spacing w:after="40" w:before="120"/>
      </w:pPr>
      <w:r>
        <w:t xml:space="preserve"/>
      </w:r>
    </w:p>
    <w:p>
      <w:pPr>
        <w:pBdr>
          <w:bottom w:val="single" w:color="1F3B60" w:sz="8" w:space="4"/>
        </w:pBdr>
        <w:spacing w:after="120" w:before="320"/>
      </w:pPr>
      <w:r>
        <w:rPr>
          <w:rFonts w:ascii="Arial" w:cs="Arial" w:eastAsia="Arial" w:hAnsi="Arial"/>
          <w:b/>
          <w:bCs/>
          <w:color w:val="1F3B60"/>
          <w:sz w:val="32"/>
          <w:szCs w:val="32"/>
        </w:rPr>
        <w:t xml:space="preserve">XI.  The Learning Register — Three-Loop Organisational Learning</w:t>
      </w:r>
    </w:p>
    <w:p>
      <w:pPr>
        <w:spacing w:after="60" w:before="0"/>
      </w:pPr>
      <w:r>
        <w:rPr>
          <w:rFonts w:ascii="Arial" w:cs="Arial" w:eastAsia="Arial" w:hAnsi="Arial"/>
          <w:b/>
          <w:bCs/>
          <w:color w:val="8B0000"/>
          <w:sz w:val="24"/>
          <w:szCs w:val="24"/>
        </w:rPr>
        <w:t xml:space="preserve">Revised in V7: </w:t>
      </w:r>
      <w:r>
        <w:rPr>
          <w:rFonts w:ascii="Arial" w:cs="Arial" w:eastAsia="Arial" w:hAnsi="Arial"/>
          <w:i/>
          <w:iCs/>
          <w:color w:val="555555"/>
          <w:sz w:val="24"/>
          <w:szCs w:val="24"/>
        </w:rPr>
        <w:t xml:space="preserve">Triple-loop governance enriched with Ross Wirth's (OrgChange Activator) framing — the board-level inquiry into what recurring patterns reveal about organisational assumptions.</w:t>
      </w:r>
    </w:p>
    <w:p>
      <w:pPr>
        <w:spacing w:after="80" w:before="80"/>
      </w:pPr>
      <w:r>
        <w:rPr>
          <w:rFonts w:ascii="Arial" w:cs="Arial" w:eastAsia="Arial" w:hAnsi="Arial"/>
          <w:sz w:val="28"/>
          <w:szCs w:val="28"/>
        </w:rPr>
        <w:t xml:space="preserve">Most monitoring systems detect problems and trigger interventions. VITAL goes further: every resolved alert produces a Learning Register entry that converts the resolution into permanent institutional improvement. The architecture operates at three loops, each addressing a deeper level of organisational learning.</w:t>
      </w:r>
    </w:p>
    <w:p>
      <w:pPr>
        <w:spacing w:after="60" w:before="80"/>
      </w:pPr>
      <w: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300"/>
        <w:gridCol w:w="3166"/>
      </w:tblGrid>
      <w:tr>
        <w:tc>
          <w:tcPr>
            <w:tcW w:type="dxa" w:w="1200"/>
            <w:gridSpan w:val="1"/>
            <w:tcBorders>
              <w:top w:val="single" w:color="1F3B60" w:sz="1"/>
              <w:left w:val="single" w:color="1F3B60" w:sz="1"/>
              <w:bottom w:val="single" w:color="1F3B60" w:sz="1"/>
              <w:right w:val="single" w:color="1F3B60" w:sz="1"/>
            </w:tcBorders>
            <w:shd w:fill="1F3B6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Loop</w:t>
            </w:r>
          </w:p>
        </w:tc>
        <w:tc>
          <w:tcPr>
            <w:tcW w:type="dxa" w:w="1800"/>
            <w:gridSpan w:val="1"/>
            <w:tcBorders>
              <w:top w:val="single" w:color="1F3B60" w:sz="1"/>
              <w:left w:val="single" w:color="1F3B60" w:sz="1"/>
              <w:bottom w:val="single" w:color="1F3B60" w:sz="1"/>
              <w:right w:val="single" w:color="1F3B60" w:sz="1"/>
            </w:tcBorders>
            <w:shd w:fill="1F3B6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Name</w:t>
            </w:r>
          </w:p>
        </w:tc>
        <w:tc>
          <w:tcPr>
            <w:tcW w:type="dxa" w:w="4300"/>
            <w:gridSpan w:val="1"/>
            <w:tcBorders>
              <w:top w:val="single" w:color="1F3B60" w:sz="1"/>
              <w:left w:val="single" w:color="1F3B60" w:sz="1"/>
              <w:bottom w:val="single" w:color="1F3B60" w:sz="1"/>
              <w:right w:val="single" w:color="1F3B60" w:sz="1"/>
            </w:tcBorders>
            <w:shd w:fill="1F3B6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Mechanism</w:t>
            </w:r>
          </w:p>
        </w:tc>
        <w:tc>
          <w:tcPr>
            <w:tcW w:type="dxa" w:w="3166"/>
            <w:gridSpan w:val="1"/>
            <w:tcBorders>
              <w:top w:val="single" w:color="1F3B60" w:sz="1"/>
              <w:left w:val="single" w:color="1F3B60" w:sz="1"/>
              <w:bottom w:val="single" w:color="1F3B60" w:sz="1"/>
              <w:right w:val="single" w:color="1F3B60" w:sz="1"/>
            </w:tcBorders>
            <w:shd w:fill="1F3B6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What It Produces</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4"/>
                <w:szCs w:val="24"/>
              </w:rPr>
              <w:t xml:space="preserve">Single Loop</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Alert Response</w:t>
            </w:r>
          </w:p>
        </w:tc>
        <w:tc>
          <w:tcPr>
            <w:tcW w:type="dxa" w:w="4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Alert fires. Named owner assigned. Response deadline set. Root cause investigation begins. Problem resolved.</w:t>
            </w:r>
          </w:p>
        </w:tc>
        <w:tc>
          <w:tcPr>
            <w:tcW w:type="dxa" w:w="316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The specific problem is fixed. Organisational state returns to Green for this parameter.</w:t>
            </w:r>
          </w:p>
        </w:tc>
      </w:tr>
      <w:tr>
        <w:tc>
          <w:tcPr>
            <w:tcW w:type="dxa" w:w="12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b/>
                <w:bCs/>
                <w:sz w:val="24"/>
                <w:szCs w:val="24"/>
              </w:rPr>
              <w:t xml:space="preserve">Double Loop</w:t>
            </w:r>
          </w:p>
        </w:tc>
        <w:tc>
          <w:tcPr>
            <w:tcW w:type="dxa" w:w="18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b/>
                <w:bCs/>
                <w:sz w:val="24"/>
                <w:szCs w:val="24"/>
              </w:rPr>
              <w:t xml:space="preserve">Learning Register</w:t>
            </w:r>
          </w:p>
        </w:tc>
        <w:tc>
          <w:tcPr>
            <w:tcW w:type="dxa" w:w="43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Monitor: alert fires with named owner and deadline. Sprint: 2–4 week focused improvement cycle — root cause addressed, process amendment implemented. Verify: parameter data — not self-reporting — confirms the improvement. Oscillation Flag: parameter oscillating between Amber and Green 3+ times in 90 days without a verified amendment is flagged immediately.</w:t>
            </w:r>
          </w:p>
        </w:tc>
        <w:tc>
          <w:tcPr>
            <w:tcW w:type="dxa" w:w="3166"/>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Permanent process amendment. Institutional memory created. Oscillation Flag is the accountability mechanism — the same root cause cannot keep producing the same problem unnoticed.</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4"/>
                <w:szCs w:val="24"/>
              </w:rPr>
              <w:t xml:space="preserve">Triple Loop</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4"/>
                <w:szCs w:val="24"/>
              </w:rPr>
              <w:t xml:space="preserve">Governance Reflection</w:t>
            </w:r>
          </w:p>
        </w:tc>
        <w:tc>
          <w:tcPr>
            <w:tcW w:type="dxa" w:w="4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At the Annual Recalibration and Board Vitality Review, the board reviews the pattern of recurring alerts across the year. The question is not only 'what kept going Amber?' but 'what does the pattern of recurring problems tell us about how we think and decide?' — questioning the mental models and assumptions that keep producing the same categories of problem, not just the operational interventions that address their symptoms.</w:t>
            </w:r>
          </w:p>
        </w:tc>
        <w:tc>
          <w:tcPr>
            <w:tcW w:type="dxa" w:w="316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Changed governance assumptions and mental models. The organisation learns not just from individual problems but from the systemic pattern of what kinds of problems recur and why.</w:t>
            </w:r>
          </w:p>
        </w:tc>
      </w:tr>
    </w:tbl>
    <w:p>
      <w:pPr>
        <w:spacing w:after="60" w:before="80"/>
      </w:pPr>
      <w: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Borders>
              <w:top w:val="single" w:color="2E75B6" w:sz="6"/>
              <w:left w:val="single" w:color="2E75B6" w:sz="6"/>
              <w:bottom w:val="single" w:color="2E75B6" w:sz="6"/>
              <w:right w:val="single" w:color="2E75B6" w:sz="6"/>
            </w:tcBorders>
            <w:shd w:fill="EBF3FA" w:val="clear"/>
            <w:tcMar>
              <w:top w:type="dxa" w:w="120"/>
              <w:left w:type="dxa" w:w="160"/>
              <w:bottom w:type="dxa" w:w="120"/>
              <w:right w:type="dxa" w:w="160"/>
            </w:tcMar>
          </w:tcPr>
          <w:p>
            <w:r>
              <w:rPr>
                <w:rFonts w:ascii="Arial" w:cs="Arial" w:eastAsia="Arial" w:hAnsi="Arial"/>
                <w:i/>
                <w:iCs/>
                <w:color w:val="1F3B60"/>
                <w:sz w:val="26"/>
                <w:szCs w:val="26"/>
              </w:rPr>
              <w:t xml:space="preserve">The triple loop is the governance layer that distinguishes a learning organisation from an organisation that merely manages incidents. Single loop: fix the problem. Double loop: fix the assumption that produced it. Triple loop: question the organisational thinking that keeps producing that category of assumption. An organisation running VITAL for 24 months that has never engaged the triple loop has used VITAL as an alert system, not as an intelligence infrastructure.</w:t>
            </w:r>
          </w:p>
        </w:tc>
      </w:tr>
    </w:tbl>
    <w:p>
      <w:pPr>
        <w:spacing w:after="40" w:before="120"/>
      </w:pPr>
      <w:r>
        <w:t xml:space="preserve"/>
      </w:r>
    </w:p>
    <w:p>
      <w:pPr>
        <w:pBdr>
          <w:bottom w:val="single" w:color="1F3B60" w:sz="8" w:space="4"/>
        </w:pBdr>
        <w:spacing w:after="120" w:before="320"/>
      </w:pPr>
      <w:r>
        <w:rPr>
          <w:rFonts w:ascii="Arial" w:cs="Arial" w:eastAsia="Arial" w:hAnsi="Arial"/>
          <w:b/>
          <w:bCs/>
          <w:color w:val="1F3B60"/>
          <w:sz w:val="32"/>
          <w:szCs w:val="32"/>
        </w:rPr>
        <w:t xml:space="preserve">XII.  Recovery and Stability Index</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4066"/>
      </w:tblGrid>
      <w:tr>
        <w:tc>
          <w:tcPr>
            <w:tcW w:type="dxa" w:w="2400"/>
            <w:gridSpan w:val="1"/>
            <w:tcBorders>
              <w:top w:val="single" w:color="1F3B60" w:sz="1"/>
              <w:left w:val="single" w:color="1F3B60" w:sz="1"/>
              <w:bottom w:val="single" w:color="1F3B60" w:sz="1"/>
              <w:right w:val="single" w:color="1F3B60" w:sz="1"/>
            </w:tcBorders>
            <w:shd w:fill="1F3B6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RSI Component</w:t>
            </w:r>
          </w:p>
        </w:tc>
        <w:tc>
          <w:tcPr>
            <w:tcW w:type="dxa" w:w="4000"/>
            <w:gridSpan w:val="1"/>
            <w:tcBorders>
              <w:top w:val="single" w:color="1F3B60" w:sz="1"/>
              <w:left w:val="single" w:color="1F3B60" w:sz="1"/>
              <w:bottom w:val="single" w:color="1F3B60" w:sz="1"/>
              <w:right w:val="single" w:color="1F3B60" w:sz="1"/>
            </w:tcBorders>
            <w:shd w:fill="1F3B6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What It Measures</w:t>
            </w:r>
          </w:p>
        </w:tc>
        <w:tc>
          <w:tcPr>
            <w:tcW w:type="dxa" w:w="4066"/>
            <w:gridSpan w:val="1"/>
            <w:tcBorders>
              <w:top w:val="single" w:color="1F3B60" w:sz="1"/>
              <w:left w:val="single" w:color="1F3B60" w:sz="1"/>
              <w:bottom w:val="single" w:color="1F3B60" w:sz="1"/>
              <w:right w:val="single" w:color="1F3B60" w:sz="1"/>
            </w:tcBorders>
            <w:shd w:fill="1F3B6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Alert Logic</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4"/>
                <w:szCs w:val="24"/>
              </w:rPr>
              <w:t xml:space="preserve">Time to Recovery</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How long a parameter takes to return to Green after an alert fires</w:t>
            </w:r>
          </w:p>
        </w:tc>
        <w:tc>
          <w:tcPr>
            <w:tcW w:type="dxa" w:w="406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Trending upward over consecutive alerts = structural deterioration signal. Not just slow recovery — faster deterioration than recovery.</w:t>
            </w:r>
          </w:p>
        </w:tc>
      </w:tr>
      <w:tr>
        <w:tc>
          <w:tcPr>
            <w:tcW w:type="dxa" w:w="24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b/>
                <w:bCs/>
                <w:sz w:val="24"/>
                <w:szCs w:val="24"/>
              </w:rPr>
              <w:t xml:space="preserve">Oscillation Frequency</w:t>
            </w:r>
          </w:p>
        </w:tc>
        <w:tc>
          <w:tcPr>
            <w:tcW w:type="dxa" w:w="40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How often a parameter moves between Amber and Green within a rolling 90-day window</w:t>
            </w:r>
          </w:p>
        </w:tc>
        <w:tc>
          <w:tcPr>
            <w:tcW w:type="dxa" w:w="4066"/>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3 or more oscillations without a verified Learning Register amendment triggers Oscillation Flag review. Root cause is not being addressed.</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4"/>
                <w:szCs w:val="24"/>
              </w:rPr>
              <w:t xml:space="preserve">Oscillation Flag</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Triggered when 3+ oscillations occur without a verified process amendment</w:t>
            </w:r>
          </w:p>
        </w:tc>
        <w:tc>
          <w:tcPr>
            <w:tcW w:type="dxa" w:w="406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Immediate Learning Register entry mandatory. If 10 working days pass without verified amendment, board attention item in Monthly Board Report.</w:t>
            </w:r>
          </w:p>
        </w:tc>
      </w:tr>
      <w:tr>
        <w:tc>
          <w:tcPr>
            <w:tcW w:type="dxa" w:w="24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b/>
                <w:bCs/>
                <w:sz w:val="24"/>
                <w:szCs w:val="24"/>
              </w:rPr>
              <w:t xml:space="preserve">Stability Score</w:t>
            </w:r>
          </w:p>
        </w:tc>
        <w:tc>
          <w:tcPr>
            <w:tcW w:type="dxa" w:w="40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Composite of recovery time and oscillation frequency for each monitored parameter</w:t>
            </w:r>
          </w:p>
        </w:tc>
        <w:tc>
          <w:tcPr>
            <w:tcW w:type="dxa" w:w="4066"/>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Low stability score = board attention item. Three or more simultaneous Oscillation Flags across different functions = SUSTAINABILITY CASCADE diagnostic initiated.</w:t>
            </w:r>
          </w:p>
        </w:tc>
      </w:tr>
    </w:tbl>
    <w:p>
      <w:pPr>
        <w:spacing w:after="40" w:before="120"/>
      </w:pPr>
      <w:r>
        <w:t xml:space="preserve"/>
      </w:r>
    </w:p>
    <w:p>
      <w:pPr>
        <w:pBdr>
          <w:bottom w:val="single" w:color="1F3B60" w:sz="8" w:space="4"/>
        </w:pBdr>
        <w:spacing w:after="120" w:before="320"/>
      </w:pPr>
      <w:r>
        <w:rPr>
          <w:rFonts w:ascii="Arial" w:cs="Arial" w:eastAsia="Arial" w:hAnsi="Arial"/>
          <w:b/>
          <w:bCs/>
          <w:color w:val="1F3B60"/>
          <w:sz w:val="32"/>
          <w:szCs w:val="32"/>
        </w:rPr>
        <w:t xml:space="preserve">XIII.  Board Escalation Protocol</w:t>
      </w:r>
    </w:p>
    <w:p>
      <w:pPr>
        <w:spacing w:after="80" w:before="80"/>
      </w:pPr>
      <w:r>
        <w:rPr>
          <w:rFonts w:ascii="Arial" w:cs="Arial" w:eastAsia="Arial" w:hAnsi="Arial"/>
          <w:sz w:val="28"/>
          <w:szCs w:val="28"/>
        </w:rPr>
        <w:t xml:space="preserve">VITAL defines explicit escalation thresholds requiring CEO communication to the board outside the normal governance rhythm.</w:t>
      </w:r>
    </w:p>
    <w:p>
      <w:pPr>
        <w:spacing w:after="60" w:before="80"/>
      </w:pPr>
      <w: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4200"/>
        <w:gridCol w:w="3400"/>
        <w:gridCol w:w="2866"/>
      </w:tblGrid>
      <w:tr>
        <w:tc>
          <w:tcPr>
            <w:tcW w:type="dxa" w:w="4200"/>
            <w:gridSpan w:val="1"/>
            <w:tcBorders>
              <w:top w:val="single" w:color="1F3B60" w:sz="1"/>
              <w:left w:val="single" w:color="1F3B60" w:sz="1"/>
              <w:bottom w:val="single" w:color="1F3B60" w:sz="1"/>
              <w:right w:val="single" w:color="1F3B60" w:sz="1"/>
            </w:tcBorders>
            <w:shd w:fill="1F3B6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Condition</w:t>
            </w:r>
          </w:p>
        </w:tc>
        <w:tc>
          <w:tcPr>
            <w:tcW w:type="dxa" w:w="3400"/>
            <w:gridSpan w:val="1"/>
            <w:tcBorders>
              <w:top w:val="single" w:color="1F3B60" w:sz="1"/>
              <w:left w:val="single" w:color="1F3B60" w:sz="1"/>
              <w:bottom w:val="single" w:color="1F3B60" w:sz="1"/>
              <w:right w:val="single" w:color="1F3B60" w:sz="1"/>
            </w:tcBorders>
            <w:shd w:fill="1F3B6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Required CEO Action</w:t>
            </w:r>
          </w:p>
        </w:tc>
        <w:tc>
          <w:tcPr>
            <w:tcW w:type="dxa" w:w="2866"/>
            <w:gridSpan w:val="1"/>
            <w:tcBorders>
              <w:top w:val="single" w:color="1F3B60" w:sz="1"/>
              <w:left w:val="single" w:color="1F3B60" w:sz="1"/>
              <w:bottom w:val="single" w:color="1F3B60" w:sz="1"/>
              <w:right w:val="single" w:color="1F3B60" w:sz="1"/>
            </w:tcBorders>
            <w:shd w:fill="1F3B6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Timeframe</w:t>
            </w:r>
          </w:p>
        </w:tc>
      </w:tr>
      <w:tr>
        <w:tc>
          <w:tcPr>
            <w:tcW w:type="dxa" w:w="4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Any Tier 1 parameter at Red for more than 48 hours without confirmed recovery trajectory</w:t>
            </w:r>
          </w:p>
        </w:tc>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Direct CEO briefing to Board Chair — verbal or written. Full board notification within 5 working days.</w:t>
            </w:r>
          </w:p>
        </w:tc>
        <w:tc>
          <w:tcPr>
            <w:tcW w:type="dxa" w:w="286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48 hours of Red confirmation</w:t>
            </w:r>
          </w:p>
        </w:tc>
      </w:tr>
      <w:tr>
        <w:tc>
          <w:tcPr>
            <w:tcW w:type="dxa" w:w="42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Any named Level 3 Correlation Rule activated (SUSTAINABILITY CASCADE, CASH-LEADERSHIP PARALYSIS, etc.)</w:t>
            </w:r>
          </w:p>
        </w:tc>
        <w:tc>
          <w:tcPr>
            <w:tcW w:type="dxa" w:w="34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Immediate board notification — these rules indicate systemic distress, not isolated function problems.</w:t>
            </w:r>
          </w:p>
        </w:tc>
        <w:tc>
          <w:tcPr>
            <w:tcW w:type="dxa" w:w="2866"/>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Within 24 hours of rule activation</w:t>
            </w:r>
          </w:p>
        </w:tc>
      </w:tr>
      <w:tr>
        <w:tc>
          <w:tcPr>
            <w:tcW w:type="dxa" w:w="4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VITAL SENSING DEGRADATION alert active (E1 or E6 compromised)</w:t>
            </w:r>
          </w:p>
        </w:tc>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Board notification that VITAL's human sensing layer is unreliable — all human-sensing-dependent readings treated with caution.</w:t>
            </w:r>
          </w:p>
        </w:tc>
        <w:tc>
          <w:tcPr>
            <w:tcW w:type="dxa" w:w="286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Within 48 hours</w:t>
            </w:r>
          </w:p>
        </w:tc>
      </w:tr>
      <w:tr>
        <w:tc>
          <w:tcPr>
            <w:tcW w:type="dxa" w:w="42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Any Tier 3 Foundation Function at Red (substitutional correlation confirmed)</w:t>
            </w:r>
          </w:p>
        </w:tc>
        <w:tc>
          <w:tcPr>
            <w:tcW w:type="dxa" w:w="34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Board briefing on root cause condition and CF symptoms it is producing — CF-level interventions alone will not resolve it.</w:t>
            </w:r>
          </w:p>
        </w:tc>
        <w:tc>
          <w:tcPr>
            <w:tcW w:type="dxa" w:w="2866"/>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At next Monthly Board Report or earlier if CF symptoms are Red</w:t>
            </w:r>
          </w:p>
        </w:tc>
      </w:tr>
      <w:tr>
        <w:tc>
          <w:tcPr>
            <w:tcW w:type="dxa" w:w="4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RF4 Financial Scenario Resilience at Amber or Red during active CF1 stress event</w:t>
            </w:r>
          </w:p>
        </w:tc>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Immediate board briefing — combination of financial stress and depleted resilience requires board-level strategic decision-making.</w:t>
            </w:r>
          </w:p>
        </w:tc>
        <w:tc>
          <w:tcPr>
            <w:tcW w:type="dxa" w:w="286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Within 24 hours of combination confirmed</w:t>
            </w:r>
          </w:p>
        </w:tc>
      </w:tr>
      <w:tr>
        <w:tc>
          <w:tcPr>
            <w:tcW w:type="dxa" w:w="42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CF4 Delivery commitment fulfilment below 85% for two consecutive weekly periods</w:t>
            </w:r>
          </w:p>
        </w:tc>
        <w:tc>
          <w:tcPr>
            <w:tcW w:type="dxa" w:w="34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Board notification that sustained delivery failure is likely to affect customer relationships and revenue.</w:t>
            </w:r>
          </w:p>
        </w:tc>
        <w:tc>
          <w:tcPr>
            <w:tcW w:type="dxa" w:w="2866"/>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At next Monthly Board Report if no recovery in 10 working days</w:t>
            </w:r>
          </w:p>
        </w:tc>
      </w:tr>
      <w:tr>
        <w:tc>
          <w:tcPr>
            <w:tcW w:type="dxa" w:w="4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CF5 Compliance breach confirmed OR forensic concern raised through accounts team channel without management action</w:t>
            </w:r>
          </w:p>
        </w:tc>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Immediate board notification. Independent legal and compliance counsel engaged.</w:t>
            </w:r>
          </w:p>
        </w:tc>
        <w:tc>
          <w:tcPr>
            <w:tcW w:type="dxa" w:w="286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Within 24 hours of confirmation</w:t>
            </w:r>
          </w:p>
        </w:tc>
      </w:tr>
      <w:tr>
        <w:tc>
          <w:tcPr>
            <w:tcW w:type="dxa" w:w="42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Payroll delay of any kind — any instance</w:t>
            </w:r>
          </w:p>
        </w:tc>
        <w:tc>
          <w:tcPr>
            <w:tcW w:type="dxa" w:w="34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Board escalation mandatory regardless of all other parameter status. Most severe combined signal in VITAL.</w:t>
            </w:r>
          </w:p>
        </w:tc>
        <w:tc>
          <w:tcPr>
            <w:tcW w:type="dxa" w:w="2866"/>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Immediate — same day</w:t>
            </w:r>
          </w:p>
        </w:tc>
      </w:tr>
    </w:tbl>
    <w:p>
      <w:pPr>
        <w:spacing w:after="40" w:before="120"/>
      </w:pPr>
      <w:r>
        <w:t xml:space="preserve"/>
      </w:r>
    </w:p>
    <w:p>
      <w:pPr>
        <w:pBdr>
          <w:bottom w:val="single" w:color="1F3B60" w:sz="8" w:space="4"/>
        </w:pBdr>
        <w:spacing w:after="120" w:before="320"/>
      </w:pPr>
      <w:r>
        <w:rPr>
          <w:rFonts w:ascii="Arial" w:cs="Arial" w:eastAsia="Arial" w:hAnsi="Arial"/>
          <w:b/>
          <w:bCs/>
          <w:color w:val="1F3B60"/>
          <w:sz w:val="32"/>
          <w:szCs w:val="32"/>
        </w:rPr>
        <w:t xml:space="preserve">XIV.  VITAL and Existing Management Roles</w:t>
      </w:r>
    </w:p>
    <w:p>
      <w:pPr>
        <w:spacing w:after="60" w:before="0"/>
      </w:pPr>
      <w:r>
        <w:rPr>
          <w:rFonts w:ascii="Arial" w:cs="Arial" w:eastAsia="Arial" w:hAnsi="Arial"/>
          <w:b/>
          <w:bCs/>
          <w:color w:val="8B0000"/>
          <w:sz w:val="24"/>
          <w:szCs w:val="24"/>
        </w:rPr>
        <w:t xml:space="preserve">New in V7 — </w:t>
      </w:r>
      <w:r>
        <w:rPr>
          <w:rFonts w:ascii="Arial" w:cs="Arial" w:eastAsia="Arial" w:hAnsi="Arial"/>
          <w:i/>
          <w:iCs/>
          <w:color w:val="555555"/>
          <w:sz w:val="24"/>
          <w:szCs w:val="24"/>
        </w:rPr>
        <w:t xml:space="preserve">Sources: Rakesh Chandra Goyal (PMO insight from Datamatics experience) | v18 items B10 and B11.</w:t>
      </w:r>
    </w:p>
    <w:p>
      <w:pPr>
        <w:spacing w:after="80" w:before="80"/>
      </w:pPr>
      <w:r>
        <w:rPr>
          <w:rFonts w:ascii="Arial" w:cs="Arial" w:eastAsia="Arial" w:hAnsi="Arial"/>
          <w:sz w:val="28"/>
          <w:szCs w:val="28"/>
        </w:rPr>
        <w:t xml:space="preserve">VITAL is not a new management layer. It is the intelligence infrastructure that makes existing management roles more effective. A PMO Head who previously depended on weekly status meetings and informal escalations now has continuous, correlated, parameter-level intelligence across the entire delivery portfolio — seeing capacity-commitment mismatches forming four weeks before they produce missed deadlines. A Programme Manager who previously discovered commitment risk at a steering committee now receives an automated early warning when CF4 delivery signals and CF3 capacity signals converge. An Account Manager who previously inferred customer dissatisfaction from declining response rates now receives CF7 customer health and CF4 delivery-to-approval alerts in real time, enabling relationship intervention before the client articulates a problem.</w:t>
      </w:r>
    </w:p>
    <w:p>
      <w:pPr>
        <w:spacing w:after="80" w:before="80"/>
      </w:pPr>
      <w:r>
        <w:rPr>
          <w:rFonts w:ascii="Arial" w:cs="Arial" w:eastAsia="Arial" w:hAnsi="Arial"/>
          <w:sz w:val="28"/>
          <w:szCs w:val="28"/>
        </w:rPr>
        <w:t xml:space="preserve">The intelligence does not change the management role. It changes the earliness and accuracy of the information those roles work with. VITAL's adoption argument to a CEO is not 'add this system.' It is: 'give your PMO, your programme managers, and your account managers the intelligence they need to do their existing jobs better.'</w:t>
      </w:r>
    </w:p>
    <w:p>
      <w:pPr>
        <w:spacing w:after="60" w:before="80"/>
      </w:pPr>
      <w:r>
        <w:t xml:space="preserve"/>
      </w:r>
    </w:p>
    <w:p>
      <w:pPr>
        <w:spacing w:after="80" w:before="240"/>
      </w:pPr>
      <w:r>
        <w:rPr>
          <w:rFonts w:ascii="Arial" w:cs="Arial" w:eastAsia="Arial" w:hAnsi="Arial"/>
          <w:b/>
          <w:bCs/>
          <w:color w:val="2E5F9A"/>
          <w:sz w:val="28"/>
          <w:szCs w:val="28"/>
        </w:rPr>
        <w:t xml:space="preserve">Named Alert Recipients — Extended Architecture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3866"/>
      </w:tblGrid>
      <w:tr>
        <w:tc>
          <w:tcPr>
            <w:tcW w:type="dxa" w:w="2400"/>
            <w:gridSpan w:val="1"/>
            <w:tcBorders>
              <w:top w:val="single" w:color="1F3B60" w:sz="1"/>
              <w:left w:val="single" w:color="1F3B60" w:sz="1"/>
              <w:bottom w:val="single" w:color="1F3B60" w:sz="1"/>
              <w:right w:val="single" w:color="1F3B60" w:sz="1"/>
            </w:tcBorders>
            <w:shd w:fill="1F3B6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Role</w:t>
            </w:r>
          </w:p>
        </w:tc>
        <w:tc>
          <w:tcPr>
            <w:tcW w:type="dxa" w:w="4200"/>
            <w:gridSpan w:val="1"/>
            <w:tcBorders>
              <w:top w:val="single" w:color="1F3B60" w:sz="1"/>
              <w:left w:val="single" w:color="1F3B60" w:sz="1"/>
              <w:bottom w:val="single" w:color="1F3B60" w:sz="1"/>
              <w:right w:val="single" w:color="1F3B60" w:sz="1"/>
            </w:tcBorders>
            <w:shd w:fill="1F3B6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Alert Scope</w:t>
            </w:r>
          </w:p>
        </w:tc>
        <w:tc>
          <w:tcPr>
            <w:tcW w:type="dxa" w:w="3866"/>
            <w:gridSpan w:val="1"/>
            <w:tcBorders>
              <w:top w:val="single" w:color="1F3B60" w:sz="1"/>
              <w:left w:val="single" w:color="1F3B60" w:sz="1"/>
              <w:bottom w:val="single" w:color="1F3B60" w:sz="1"/>
              <w:right w:val="single" w:color="1F3B60" w:sz="1"/>
            </w:tcBorders>
            <w:shd w:fill="1F3B6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Rationale</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4"/>
                <w:szCs w:val="24"/>
              </w:rPr>
              <w:t xml:space="preserve">Board / CEO</w:t>
            </w:r>
          </w:p>
        </w:tc>
        <w:tc>
          <w:tcPr>
            <w:tcW w:type="dxa" w:w="4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Combined OHI, all active Red alerts, L3 correlation rules activated, Governance Multiplier status, Resilience confidence band</w:t>
            </w:r>
          </w:p>
        </w:tc>
        <w:tc>
          <w:tcPr>
            <w:tcW w:type="dxa" w:w="386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Full organisational picture — strategic oversight. Weekly private CEO reflection: named intelligence, not aggregated.</w:t>
            </w:r>
          </w:p>
        </w:tc>
      </w:tr>
      <w:tr>
        <w:tc>
          <w:tcPr>
            <w:tcW w:type="dxa" w:w="24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b/>
                <w:bCs/>
                <w:sz w:val="24"/>
                <w:szCs w:val="24"/>
              </w:rPr>
              <w:t xml:space="preserve">Function Heads / VPs</w:t>
            </w:r>
          </w:p>
        </w:tc>
        <w:tc>
          <w:tcPr>
            <w:tcW w:type="dxa" w:w="42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Function OHI, parameter-level readings, cross-function correlation signals involving their function, named response actions with deadlines</w:t>
            </w:r>
          </w:p>
        </w:tc>
        <w:tc>
          <w:tcPr>
            <w:tcW w:type="dxa" w:w="3866"/>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Function and cross-function — operational leadership level.</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4"/>
                <w:szCs w:val="24"/>
              </w:rPr>
              <w:t xml:space="preserve">Managers / Team Leaders</w:t>
            </w:r>
          </w:p>
        </w:tc>
        <w:tc>
          <w:tcPr>
            <w:tcW w:type="dxa" w:w="4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Team-level parameter readings, open Learning Register actions, human sensing trends for their team, active Amber alerts affecting their work</w:t>
            </w:r>
          </w:p>
        </w:tc>
        <w:tc>
          <w:tcPr>
            <w:tcW w:type="dxa" w:w="386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Team-level — daily management level.</w:t>
            </w:r>
          </w:p>
        </w:tc>
      </w:tr>
      <w:tr>
        <w:tc>
          <w:tcPr>
            <w:tcW w:type="dxa" w:w="24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b/>
                <w:bCs/>
                <w:sz w:val="24"/>
                <w:szCs w:val="24"/>
              </w:rPr>
              <w:t xml:space="preserve">VITAL Monitor</w:t>
            </w:r>
          </w:p>
        </w:tc>
        <w:tc>
          <w:tcPr>
            <w:tcW w:type="dxa" w:w="42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All alerts across all functions, pending validation flags, sensing reliability status, Oscillation Flags, governance response tracking</w:t>
            </w:r>
          </w:p>
        </w:tc>
        <w:tc>
          <w:tcPr>
            <w:tcW w:type="dxa" w:w="3866"/>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The orchestrating role — monitors the monitors.</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4"/>
                <w:szCs w:val="24"/>
              </w:rPr>
              <w:t xml:space="preserve">PMO Head</w:t>
            </w:r>
          </w:p>
        </w:tc>
        <w:tc>
          <w:tcPr>
            <w:tcW w:type="dxa" w:w="4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Portfolio-level CF4 alerts, cross-project Oscillation Flags, CAPACITY-COMMITMENT MISMATCH signals across programmes, CF3 resource alerts at portfolio level</w:t>
            </w:r>
          </w:p>
        </w:tc>
        <w:tc>
          <w:tcPr>
            <w:tcW w:type="dxa" w:w="386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Portfolio intelligence — sees commitment risk before individual programme managers see it in their domain.</w:t>
            </w:r>
          </w:p>
        </w:tc>
      </w:tr>
      <w:tr>
        <w:tc>
          <w:tcPr>
            <w:tcW w:type="dxa" w:w="24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b/>
                <w:bCs/>
                <w:sz w:val="24"/>
                <w:szCs w:val="24"/>
              </w:rPr>
              <w:t xml:space="preserve">Programme Manager</w:t>
            </w:r>
          </w:p>
        </w:tc>
        <w:tc>
          <w:tcPr>
            <w:tcW w:type="dxa" w:w="42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Commitment-level CF4 alerts, CF3 resource alerts for programmes under management, CF7 customer satisfaction signals for relevant accounts</w:t>
            </w:r>
          </w:p>
        </w:tc>
        <w:tc>
          <w:tcPr>
            <w:tcW w:type="dxa" w:w="3866"/>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Programme intelligence — sees the earliest signals affecting their specific programme.</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4"/>
                <w:szCs w:val="24"/>
              </w:rPr>
              <w:t xml:space="preserve">Account Manager</w:t>
            </w:r>
          </w:p>
        </w:tc>
        <w:tc>
          <w:tcPr>
            <w:tcW w:type="dxa" w:w="4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CF7 customer health signals, CF4 delivery-to-approval alerts, CF7 pipeline velocity for their accounts, relationship deterioration warnings</w:t>
            </w:r>
          </w:p>
        </w:tc>
        <w:tc>
          <w:tcPr>
            <w:tcW w:type="dxa" w:w="386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Account intelligence — sees customer signals before they become customer conversations.</w:t>
            </w:r>
          </w:p>
        </w:tc>
      </w:tr>
    </w:tbl>
    <w:p>
      <w:pPr>
        <w:spacing w:after="40" w:before="120"/>
      </w:pPr>
      <w:r>
        <w:t xml:space="preserve"/>
      </w:r>
    </w:p>
    <w:p>
      <w:pPr>
        <w:pBdr>
          <w:bottom w:val="single" w:color="1F3B60" w:sz="8" w:space="4"/>
        </w:pBdr>
        <w:spacing w:after="120" w:before="320"/>
      </w:pPr>
      <w:r>
        <w:rPr>
          <w:rFonts w:ascii="Arial" w:cs="Arial" w:eastAsia="Arial" w:hAnsi="Arial"/>
          <w:b/>
          <w:bCs/>
          <w:color w:val="1F3B60"/>
          <w:sz w:val="32"/>
          <w:szCs w:val="32"/>
        </w:rPr>
        <w:t xml:space="preserve">XV.  Technology Stack — Integration Over Replacement</w:t>
      </w:r>
    </w:p>
    <w:p>
      <w:pPr>
        <w:spacing w:after="80" w:before="80"/>
      </w:pPr>
      <w:r>
        <w:rPr>
          <w:rFonts w:ascii="Arial" w:cs="Arial" w:eastAsia="Arial" w:hAnsi="Arial"/>
          <w:sz w:val="28"/>
          <w:szCs w:val="28"/>
        </w:rPr>
        <w:t xml:space="preserve">VITAL reads from systems the organisation already uses. No existing system is replaced. No operational process is modified. The only technology addition visible to staff is the human sensing platform — which delivers questions to the device they already use at moments triggered by activities already in their normal rhythm.</w:t>
      </w:r>
    </w:p>
    <w:p>
      <w:pPr>
        <w:spacing w:after="60" w:before="80"/>
      </w:pPr>
      <w: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3666"/>
      </w:tblGrid>
      <w:tr>
        <w:tc>
          <w:tcPr>
            <w:tcW w:type="dxa" w:w="2400"/>
            <w:gridSpan w:val="1"/>
            <w:tcBorders>
              <w:top w:val="single" w:color="1F3B60" w:sz="1"/>
              <w:left w:val="single" w:color="1F3B60" w:sz="1"/>
              <w:bottom w:val="single" w:color="1F3B60" w:sz="1"/>
              <w:right w:val="single" w:color="1F3B60" w:sz="1"/>
            </w:tcBorders>
            <w:shd w:fill="1F3B6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System Category</w:t>
            </w:r>
          </w:p>
        </w:tc>
        <w:tc>
          <w:tcPr>
            <w:tcW w:type="dxa" w:w="4400"/>
            <w:gridSpan w:val="1"/>
            <w:tcBorders>
              <w:top w:val="single" w:color="1F3B60" w:sz="1"/>
              <w:left w:val="single" w:color="1F3B60" w:sz="1"/>
              <w:bottom w:val="single" w:color="1F3B60" w:sz="1"/>
              <w:right w:val="single" w:color="1F3B60" w:sz="1"/>
            </w:tcBorders>
            <w:shd w:fill="1F3B6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Data VITAL Reads</w:t>
            </w:r>
          </w:p>
        </w:tc>
        <w:tc>
          <w:tcPr>
            <w:tcW w:type="dxa" w:w="3666"/>
            <w:gridSpan w:val="1"/>
            <w:tcBorders>
              <w:top w:val="single" w:color="1F3B60" w:sz="1"/>
              <w:left w:val="single" w:color="1F3B60" w:sz="1"/>
              <w:bottom w:val="single" w:color="1F3B60" w:sz="1"/>
              <w:right w:val="single" w:color="1F3B60" w:sz="1"/>
            </w:tcBorders>
            <w:shd w:fill="1F3B6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Connection Method</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4"/>
                <w:szCs w:val="24"/>
              </w:rPr>
              <w:t xml:space="preserve">Financial System (ERP)</w:t>
            </w:r>
          </w:p>
        </w:tc>
        <w:tc>
          <w:tcPr>
            <w:tcW w:type="dxa" w:w="4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Cash position, receivables ageing, payables, margin, covenant data, non-standard commitment register, statutory payment compliance</w:t>
            </w:r>
          </w:p>
        </w:tc>
        <w:tc>
          <w:tcPr>
            <w:tcW w:type="dxa" w:w="366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API connection to ERP reporting layer</w:t>
            </w:r>
          </w:p>
        </w:tc>
      </w:tr>
      <w:tr>
        <w:tc>
          <w:tcPr>
            <w:tcW w:type="dxa" w:w="24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b/>
                <w:bCs/>
                <w:sz w:val="24"/>
                <w:szCs w:val="24"/>
              </w:rPr>
              <w:t xml:space="preserve">HR Management System</w:t>
            </w:r>
          </w:p>
        </w:tc>
        <w:tc>
          <w:tcPr>
            <w:tcW w:type="dxa" w:w="44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Attrition signals, engagement data, capability records, onboarding metrics, appraisal data, multitasking/Activity Declaration aggregates</w:t>
            </w:r>
          </w:p>
        </w:tc>
        <w:tc>
          <w:tcPr>
            <w:tcW w:type="dxa" w:w="3666"/>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API connection to HRMS analytics layer</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4"/>
                <w:szCs w:val="24"/>
              </w:rPr>
              <w:t xml:space="preserve">CRM / Sales Platform</w:t>
            </w:r>
          </w:p>
        </w:tc>
        <w:tc>
          <w:tcPr>
            <w:tcW w:type="dxa" w:w="4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Pipeline data, customer satisfaction, account health, sold margin at point of sale, pipeline velocity by stage</w:t>
            </w:r>
          </w:p>
        </w:tc>
        <w:tc>
          <w:tcPr>
            <w:tcW w:type="dxa" w:w="366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API connection to CRM reporting layer</w:t>
            </w:r>
          </w:p>
        </w:tc>
      </w:tr>
      <w:tr>
        <w:tc>
          <w:tcPr>
            <w:tcW w:type="dxa" w:w="24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b/>
                <w:bCs/>
                <w:sz w:val="24"/>
                <w:szCs w:val="24"/>
              </w:rPr>
              <w:t xml:space="preserve">Project / Delivery Management</w:t>
            </w:r>
          </w:p>
        </w:tc>
        <w:tc>
          <w:tcPr>
            <w:tcW w:type="dxa" w:w="44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Commitment status, milestone adherence, capacity utilisation, process steps, contract cost actuals, workaround frequency, schedule variance, cost-at-completion</w:t>
            </w:r>
          </w:p>
        </w:tc>
        <w:tc>
          <w:tcPr>
            <w:tcW w:type="dxa" w:w="3666"/>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API + event log connection to project platform. Primavera P6 and equivalent project controls platforms for EPCM and construction sector.</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4"/>
                <w:szCs w:val="24"/>
              </w:rPr>
              <w:t xml:space="preserve">Procurement Management</w:t>
            </w:r>
          </w:p>
        </w:tc>
        <w:tc>
          <w:tcPr>
            <w:tcW w:type="dxa" w:w="4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Supplier delivery performance, lead times, quality defect rates, payment terms compliance, single-source dependency flags</w:t>
            </w:r>
          </w:p>
        </w:tc>
        <w:tc>
          <w:tcPr>
            <w:tcW w:type="dxa" w:w="366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API connection to procurement system</w:t>
            </w:r>
          </w:p>
        </w:tc>
      </w:tr>
      <w:tr>
        <w:tc>
          <w:tcPr>
            <w:tcW w:type="dxa" w:w="24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b/>
                <w:bCs/>
                <w:sz w:val="24"/>
                <w:szCs w:val="24"/>
              </w:rPr>
              <w:t xml:space="preserve">Compliance and Risk Platform</w:t>
            </w:r>
          </w:p>
        </w:tc>
        <w:tc>
          <w:tcPr>
            <w:tcW w:type="dxa" w:w="44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Regulatory obligation status, risk register, concern disclosures, accounts team forensic flags, statutory payment records</w:t>
            </w:r>
          </w:p>
        </w:tc>
        <w:tc>
          <w:tcPr>
            <w:tcW w:type="dxa" w:w="3666"/>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API connection to GRC platform</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4"/>
                <w:szCs w:val="24"/>
              </w:rPr>
              <w:t xml:space="preserve">Technology Monitoring</w:t>
            </w:r>
          </w:p>
        </w:tc>
        <w:tc>
          <w:tcPr>
            <w:tcW w:type="dxa" w:w="4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System uptime, security events, data feed health, vulnerability status, project controls connectivity status</w:t>
            </w:r>
          </w:p>
        </w:tc>
        <w:tc>
          <w:tcPr>
            <w:tcW w:type="dxa" w:w="366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API connection to monitoring platform and SIEM</w:t>
            </w:r>
          </w:p>
        </w:tc>
      </w:tr>
      <w:tr>
        <w:tc>
          <w:tcPr>
            <w:tcW w:type="dxa" w:w="24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b/>
                <w:bCs/>
                <w:sz w:val="24"/>
                <w:szCs w:val="24"/>
              </w:rPr>
              <w:t xml:space="preserve">Knowledge Management Platform</w:t>
            </w:r>
          </w:p>
        </w:tc>
        <w:tc>
          <w:tcPr>
            <w:tcW w:type="dxa" w:w="44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Knowledge base contributions, utilisation rate, innovation collection register, deliberation forum outputs</w:t>
            </w:r>
          </w:p>
        </w:tc>
        <w:tc>
          <w:tcPr>
            <w:tcW w:type="dxa" w:w="3666"/>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API connection to KM platform</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4"/>
                <w:szCs w:val="24"/>
              </w:rPr>
              <w:t xml:space="preserve">Human Sensing Platform</w:t>
            </w:r>
          </w:p>
        </w:tc>
        <w:tc>
          <w:tcPr>
            <w:tcW w:type="dxa" w:w="4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Five delivery contexts — retrospective, town-hall, private digital pulse (including Activity Declaration), relational health, appraisal integration</w:t>
            </w:r>
          </w:p>
        </w:tc>
        <w:tc>
          <w:tcPr>
            <w:tcW w:type="dxa" w:w="366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Purpose-built sensing platform with differential privacy architecture and automated event-triggered push</w:t>
            </w:r>
          </w:p>
        </w:tc>
      </w:tr>
    </w:tbl>
    <w:p>
      <w:pPr>
        <w:spacing w:after="60" w:before="80"/>
      </w:pPr>
      <w:r>
        <w:t xml:space="preserve"/>
      </w:r>
    </w:p>
    <w:p>
      <w:pPr>
        <w:spacing w:after="80" w:before="240"/>
      </w:pPr>
      <w:r>
        <w:rPr>
          <w:rFonts w:ascii="Arial" w:cs="Arial" w:eastAsia="Arial" w:hAnsi="Arial"/>
          <w:b/>
          <w:bCs/>
          <w:color w:val="2E5F9A"/>
          <w:sz w:val="28"/>
          <w:szCs w:val="28"/>
        </w:rPr>
        <w:t xml:space="preserve">VITAL System Integrity — Self-Monitoring Protocol</w:t>
      </w:r>
    </w:p>
    <w:p>
      <w:pPr>
        <w:spacing w:after="80" w:before="80"/>
      </w:pPr>
      <w:r>
        <w:rPr>
          <w:rFonts w:ascii="Arial" w:cs="Arial" w:eastAsia="Arial" w:hAnsi="Arial"/>
          <w:sz w:val="28"/>
          <w:szCs w:val="28"/>
        </w:rPr>
        <w:t xml:space="preserve">CF6 Technology Infrastructure includes VITAL's self-monitoring layer. When a connected system's data feed becomes stale, interrupted, or shows integrity anomalies, affected parameters automatically move to Human Sensing Mode — all AI-tracked readings revert to human declaration by named owners until connectivity and data integrity are confirmed restored.</w:t>
      </w:r>
    </w:p>
    <w:p>
      <w:pPr>
        <w:spacing w:after="40" w:before="120"/>
      </w:pPr>
      <w:r>
        <w:t xml:space="preserve"/>
      </w:r>
    </w:p>
    <w:p>
      <w:pPr>
        <w:pBdr>
          <w:bottom w:val="single" w:color="1F3B60" w:sz="8" w:space="4"/>
        </w:pBdr>
        <w:spacing w:after="120" w:before="320"/>
      </w:pPr>
      <w:r>
        <w:rPr>
          <w:rFonts w:ascii="Arial" w:cs="Arial" w:eastAsia="Arial" w:hAnsi="Arial"/>
          <w:b/>
          <w:bCs/>
          <w:color w:val="1F3B60"/>
          <w:sz w:val="32"/>
          <w:szCs w:val="32"/>
        </w:rPr>
        <w:t xml:space="preserve">XVI.  Governance — The Operating Rhythm</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200"/>
        <w:gridCol w:w="2600"/>
        <w:gridCol w:w="2266"/>
      </w:tblGrid>
      <w:tr>
        <w:tc>
          <w:tcPr>
            <w:tcW w:type="dxa" w:w="2000"/>
            <w:gridSpan w:val="1"/>
            <w:tcBorders>
              <w:top w:val="single" w:color="1F3B60" w:sz="1"/>
              <w:left w:val="single" w:color="1F3B60" w:sz="1"/>
              <w:bottom w:val="single" w:color="1F3B60" w:sz="1"/>
              <w:right w:val="single" w:color="1F3B60" w:sz="1"/>
            </w:tcBorders>
            <w:shd w:fill="1F3B6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Review Cadence</w:t>
            </w:r>
          </w:p>
        </w:tc>
        <w:tc>
          <w:tcPr>
            <w:tcW w:type="dxa" w:w="1400"/>
            <w:gridSpan w:val="1"/>
            <w:tcBorders>
              <w:top w:val="single" w:color="1F3B60" w:sz="1"/>
              <w:left w:val="single" w:color="1F3B60" w:sz="1"/>
              <w:bottom w:val="single" w:color="1F3B60" w:sz="1"/>
              <w:right w:val="single" w:color="1F3B60" w:sz="1"/>
            </w:tcBorders>
            <w:shd w:fill="1F3B6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Frequency</w:t>
            </w:r>
          </w:p>
        </w:tc>
        <w:tc>
          <w:tcPr>
            <w:tcW w:type="dxa" w:w="2200"/>
            <w:gridSpan w:val="1"/>
            <w:tcBorders>
              <w:top w:val="single" w:color="1F3B60" w:sz="1"/>
              <w:left w:val="single" w:color="1F3B60" w:sz="1"/>
              <w:bottom w:val="single" w:color="1F3B60" w:sz="1"/>
              <w:right w:val="single" w:color="1F3B60" w:sz="1"/>
            </w:tcBorders>
            <w:shd w:fill="1F3B6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Participants</w:t>
            </w:r>
          </w:p>
        </w:tc>
        <w:tc>
          <w:tcPr>
            <w:tcW w:type="dxa" w:w="2600"/>
            <w:gridSpan w:val="1"/>
            <w:tcBorders>
              <w:top w:val="single" w:color="1F3B60" w:sz="1"/>
              <w:left w:val="single" w:color="1F3B60" w:sz="1"/>
              <w:bottom w:val="single" w:color="1F3B60" w:sz="1"/>
              <w:right w:val="single" w:color="1F3B60" w:sz="1"/>
            </w:tcBorders>
            <w:shd w:fill="1F3B6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Content</w:t>
            </w:r>
          </w:p>
        </w:tc>
        <w:tc>
          <w:tcPr>
            <w:tcW w:type="dxa" w:w="2266"/>
            <w:gridSpan w:val="1"/>
            <w:tcBorders>
              <w:top w:val="single" w:color="1F3B60" w:sz="1"/>
              <w:left w:val="single" w:color="1F3B60" w:sz="1"/>
              <w:bottom w:val="single" w:color="1F3B60" w:sz="1"/>
              <w:right w:val="single" w:color="1F3B60" w:sz="1"/>
            </w:tcBorders>
            <w:shd w:fill="1F3B6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Output</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4"/>
                <w:szCs w:val="24"/>
              </w:rPr>
              <w:t xml:space="preserve">Daily Vitals</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Daily</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VITAL Monitor</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Red alert status. Active Oscillation Flags. Pending validation reviews.</w:t>
            </w:r>
          </w:p>
        </w:tc>
        <w:tc>
          <w:tcPr>
            <w:tcW w:type="dxa" w:w="226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Alert log updated. Escalations initiated if required.</w:t>
            </w:r>
          </w:p>
        </w:tc>
      </w:tr>
      <w:tr>
        <w:tc>
          <w:tcPr>
            <w:tcW w:type="dxa" w:w="20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b/>
                <w:bCs/>
                <w:sz w:val="24"/>
                <w:szCs w:val="24"/>
              </w:rPr>
              <w:t xml:space="preserve">Weekly Health Review</w:t>
            </w:r>
          </w:p>
        </w:tc>
        <w:tc>
          <w:tcPr>
            <w:tcW w:type="dxa" w:w="14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Weekly</w:t>
            </w:r>
          </w:p>
        </w:tc>
        <w:tc>
          <w:tcPr>
            <w:tcW w:type="dxa" w:w="22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VITAL Monitor + CEO</w:t>
            </w:r>
          </w:p>
        </w:tc>
        <w:tc>
          <w:tcPr>
            <w:tcW w:type="dxa" w:w="26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Combined OHI. Function-level status. New Amber alerts. Learning Register updates. CEO private reflection inputs.</w:t>
            </w:r>
          </w:p>
        </w:tc>
        <w:tc>
          <w:tcPr>
            <w:tcW w:type="dxa" w:w="2266"/>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Weekly OHI report. Named actions with owners and deadlines.</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4"/>
                <w:szCs w:val="24"/>
              </w:rPr>
              <w:t xml:space="preserve">Monthly Board Report</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Monthly</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Board / CEO + Function Heads</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Combined OHI trend. ACHI reading. Active correlation rule alerts. Learning Register verification status. Resilience confidence band.</w:t>
            </w:r>
          </w:p>
        </w:tc>
        <w:tc>
          <w:tcPr>
            <w:tcW w:type="dxa" w:w="226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Board record. Strategic decisions on persistent Amber conditions.</w:t>
            </w:r>
          </w:p>
        </w:tc>
      </w:tr>
      <w:tr>
        <w:tc>
          <w:tcPr>
            <w:tcW w:type="dxa" w:w="20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b/>
                <w:bCs/>
                <w:sz w:val="24"/>
                <w:szCs w:val="24"/>
              </w:rPr>
              <w:t xml:space="preserve">Quarterly Vitality Review</w:t>
            </w:r>
          </w:p>
        </w:tc>
        <w:tc>
          <w:tcPr>
            <w:tcW w:type="dxa" w:w="14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Quarterly</w:t>
            </w:r>
          </w:p>
        </w:tc>
        <w:tc>
          <w:tcPr>
            <w:tcW w:type="dxa" w:w="22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Board + Executive Team</w:t>
            </w:r>
          </w:p>
        </w:tc>
        <w:tc>
          <w:tcPr>
            <w:tcW w:type="dxa" w:w="26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Tier 2 and 3 function health trends. ACHI 90-day trend. Foundation conditions. Resilience investment decisions.</w:t>
            </w:r>
          </w:p>
        </w:tc>
        <w:tc>
          <w:tcPr>
            <w:tcW w:type="dxa" w:w="2266"/>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Strategic health assessment. Board-approved interventions for structural conditions.</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4"/>
                <w:szCs w:val="24"/>
              </w:rPr>
              <w:t xml:space="preserve">Annual Recalibration</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Annual</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Board + Executive Team + VITAL Monitor</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Triple-loop reflection — what recurring patterns tell us about our thinking. Threshold recalibration. Weighting review. Framework evolution.</w:t>
            </w:r>
          </w:p>
        </w:tc>
        <w:tc>
          <w:tcPr>
            <w:tcW w:type="dxa" w:w="226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Calibrated framework version for the year ahead. Board-approved assumption review.</w:t>
            </w:r>
          </w:p>
        </w:tc>
      </w:tr>
    </w:tbl>
    <w:p>
      <w:pPr>
        <w:spacing w:after="40" w:before="120"/>
      </w:pPr>
      <w:r>
        <w:t xml:space="preserve"/>
      </w:r>
    </w:p>
    <w:p>
      <w:pPr>
        <w:pBdr>
          <w:bottom w:val="single" w:color="1F3B60" w:sz="8" w:space="4"/>
        </w:pBdr>
        <w:spacing w:after="120" w:before="320"/>
      </w:pPr>
      <w:r>
        <w:rPr>
          <w:rFonts w:ascii="Arial" w:cs="Arial" w:eastAsia="Arial" w:hAnsi="Arial"/>
          <w:b/>
          <w:bCs/>
          <w:color w:val="1F3B60"/>
          <w:sz w:val="32"/>
          <w:szCs w:val="32"/>
        </w:rPr>
        <w:t xml:space="preserve">XVII.  Domain Calibration Layer</w:t>
      </w:r>
    </w:p>
    <w:p>
      <w:pPr>
        <w:spacing w:after="60" w:before="0"/>
      </w:pPr>
      <w:r>
        <w:rPr>
          <w:rFonts w:ascii="Arial" w:cs="Arial" w:eastAsia="Arial" w:hAnsi="Arial"/>
          <w:b/>
          <w:bCs/>
          <w:color w:val="8B0000"/>
          <w:sz w:val="24"/>
          <w:szCs w:val="24"/>
        </w:rPr>
        <w:t xml:space="preserve">Revised in V7: </w:t>
      </w:r>
      <w:r>
        <w:rPr>
          <w:rFonts w:ascii="Arial" w:cs="Arial" w:eastAsia="Arial" w:hAnsi="Arial"/>
          <w:i/>
          <w:iCs/>
          <w:color w:val="555555"/>
          <w:sz w:val="24"/>
          <w:szCs w:val="24"/>
        </w:rPr>
        <w:t xml:space="preserve">Sector pain-point column added (Dhruv Nijhawan — adopters must see their own world in the framework).</w:t>
      </w:r>
    </w:p>
    <w:p>
      <w:pPr>
        <w:spacing w:after="80" w:before="80"/>
      </w:pPr>
      <w:r>
        <w:rPr>
          <w:rFonts w:ascii="Arial" w:cs="Arial" w:eastAsia="Arial" w:hAnsi="Arial"/>
          <w:sz w:val="28"/>
          <w:szCs w:val="28"/>
        </w:rPr>
        <w:t xml:space="preserve">All 22 functions across four tiers apply universally to every organisation. The Domain Calibration Layer adds only three thin adaptations: sector-specific thresholds, question text adjustments, and existential parameters — the one or two parameters in each sector whose breach threatens the organisation's fundamental reason for existence.</w:t>
      </w:r>
    </w:p>
    <w:p>
      <w:pPr>
        <w:spacing w:after="60" w:before="80"/>
      </w:pPr>
      <w: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3666"/>
      </w:tblGrid>
      <w:tr>
        <w:tc>
          <w:tcPr>
            <w:tcW w:type="dxa" w:w="1800"/>
            <w:gridSpan w:val="1"/>
            <w:tcBorders>
              <w:top w:val="single" w:color="1F3B60" w:sz="1"/>
              <w:left w:val="single" w:color="1F3B60" w:sz="1"/>
              <w:bottom w:val="single" w:color="1F3B60" w:sz="1"/>
              <w:right w:val="single" w:color="1F3B60" w:sz="1"/>
            </w:tcBorders>
            <w:shd w:fill="1F3B6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Sector</w:t>
            </w:r>
          </w:p>
        </w:tc>
        <w:tc>
          <w:tcPr>
            <w:tcW w:type="dxa" w:w="2200"/>
            <w:gridSpan w:val="1"/>
            <w:tcBorders>
              <w:top w:val="single" w:color="1F3B60" w:sz="1"/>
              <w:left w:val="single" w:color="1F3B60" w:sz="1"/>
              <w:bottom w:val="single" w:color="1F3B60" w:sz="1"/>
              <w:right w:val="single" w:color="1F3B60" w:sz="1"/>
            </w:tcBorders>
            <w:shd w:fill="1F3B6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Primary Entry Pain
(What the CXO feels first)</w:t>
            </w:r>
          </w:p>
        </w:tc>
        <w:tc>
          <w:tcPr>
            <w:tcW w:type="dxa" w:w="2800"/>
            <w:gridSpan w:val="1"/>
            <w:tcBorders>
              <w:top w:val="single" w:color="1F3B60" w:sz="1"/>
              <w:left w:val="single" w:color="1F3B60" w:sz="1"/>
              <w:bottom w:val="single" w:color="1F3B60" w:sz="1"/>
              <w:right w:val="single" w:color="1F3B60" w:sz="1"/>
            </w:tcBorders>
            <w:shd w:fill="1F3B6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Existential Parameter</w:t>
            </w:r>
          </w:p>
        </w:tc>
        <w:tc>
          <w:tcPr>
            <w:tcW w:type="dxa" w:w="3666"/>
            <w:gridSpan w:val="1"/>
            <w:tcBorders>
              <w:top w:val="single" w:color="1F3B60" w:sz="1"/>
              <w:left w:val="single" w:color="1F3B60" w:sz="1"/>
              <w:bottom w:val="single" w:color="1F3B60" w:sz="1"/>
              <w:right w:val="single" w:color="1F3B60" w:sz="1"/>
            </w:tcBorders>
            <w:shd w:fill="1F3B6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Why It Is Existential</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4"/>
                <w:szCs w:val="24"/>
              </w:rPr>
              <w:t xml:space="preserve">Professional Services / IT / Consulting</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Key client loss risk not visible until after the relationship breaks</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4"/>
                <w:szCs w:val="24"/>
              </w:rPr>
              <w:t xml:space="preserve">Client concentration &amp; key account health</w:t>
            </w:r>
          </w:p>
        </w:tc>
        <w:tc>
          <w:tcPr>
            <w:tcW w:type="dxa" w:w="366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Loss of one major client can remove 30–50% of revenue overnight</w:t>
            </w:r>
          </w:p>
        </w:tc>
      </w:tr>
      <w:tr>
        <w:tc>
          <w:tcPr>
            <w:tcW w:type="dxa" w:w="18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b/>
                <w:bCs/>
                <w:sz w:val="24"/>
                <w:szCs w:val="24"/>
              </w:rPr>
              <w:t xml:space="preserve">Manufacturing</w:t>
            </w:r>
          </w:p>
        </w:tc>
        <w:tc>
          <w:tcPr>
            <w:tcW w:type="dxa" w:w="22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Quality escapes discovered too late — cost and reputation simultaneously</w:t>
            </w:r>
          </w:p>
        </w:tc>
        <w:tc>
          <w:tcPr>
            <w:tcW w:type="dxa" w:w="28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b/>
                <w:bCs/>
                <w:sz w:val="24"/>
                <w:szCs w:val="24"/>
              </w:rPr>
              <w:t xml:space="preserve">Capacity utilisation &amp; quality escape rate</w:t>
            </w:r>
          </w:p>
        </w:tc>
        <w:tc>
          <w:tcPr>
            <w:tcW w:type="dxa" w:w="3666"/>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A significant quality failure stops revenue while costs continue</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4"/>
                <w:szCs w:val="24"/>
              </w:rPr>
              <w:t xml:space="preserve">NBFC / Financial Services</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Asset quality deteriorating before provisioning reflects it</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4"/>
                <w:szCs w:val="24"/>
              </w:rPr>
              <w:t xml:space="preserve">Asset quality &amp; regulatory capital adequacy</w:t>
            </w:r>
          </w:p>
        </w:tc>
        <w:tc>
          <w:tcPr>
            <w:tcW w:type="dxa" w:w="366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Capital breach triggers mandatory regulatory action</w:t>
            </w:r>
          </w:p>
        </w:tc>
      </w:tr>
      <w:tr>
        <w:tc>
          <w:tcPr>
            <w:tcW w:type="dxa" w:w="18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b/>
                <w:bCs/>
                <w:sz w:val="24"/>
                <w:szCs w:val="24"/>
              </w:rPr>
              <w:t xml:space="preserve">Healthcare</w:t>
            </w:r>
          </w:p>
        </w:tc>
        <w:tc>
          <w:tcPr>
            <w:tcW w:type="dxa" w:w="22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Clinical risk signals not visible to management until incident</w:t>
            </w:r>
          </w:p>
        </w:tc>
        <w:tc>
          <w:tcPr>
            <w:tcW w:type="dxa" w:w="28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b/>
                <w:bCs/>
                <w:sz w:val="24"/>
                <w:szCs w:val="24"/>
              </w:rPr>
              <w:t xml:space="preserve">Patient safety &amp; clinical compliance</w:t>
            </w:r>
          </w:p>
        </w:tc>
        <w:tc>
          <w:tcPr>
            <w:tcW w:type="dxa" w:w="3666"/>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One serious adverse event can trigger immediate shutdown</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4"/>
                <w:szCs w:val="24"/>
              </w:rPr>
              <w:t xml:space="preserve">Retail / Consumer</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Same-store decline masking as category mix shift</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4"/>
                <w:szCs w:val="24"/>
              </w:rPr>
              <w:t xml:space="preserve">Same-store sales trend &amp; inventory health</w:t>
            </w:r>
          </w:p>
        </w:tc>
        <w:tc>
          <w:tcPr>
            <w:tcW w:type="dxa" w:w="366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Sustained negative same-store sales signals fundamental value proposition failure</w:t>
            </w:r>
          </w:p>
        </w:tc>
      </w:tr>
      <w:tr>
        <w:tc>
          <w:tcPr>
            <w:tcW w:type="dxa" w:w="18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b/>
                <w:bCs/>
                <w:sz w:val="24"/>
                <w:szCs w:val="24"/>
              </w:rPr>
              <w:t xml:space="preserve">Education</w:t>
            </w:r>
          </w:p>
        </w:tc>
        <w:tc>
          <w:tcPr>
            <w:tcW w:type="dxa" w:w="22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Enrolment trend diverging from delivery investment</w:t>
            </w:r>
          </w:p>
        </w:tc>
        <w:tc>
          <w:tcPr>
            <w:tcW w:type="dxa" w:w="28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b/>
                <w:bCs/>
                <w:sz w:val="24"/>
                <w:szCs w:val="24"/>
              </w:rPr>
              <w:t xml:space="preserve">Enrolment trend &amp; accreditation status</w:t>
            </w:r>
          </w:p>
        </w:tc>
        <w:tc>
          <w:tcPr>
            <w:tcW w:type="dxa" w:w="3666"/>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Declining enrolment plus accreditation risk creates a death spiral</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4"/>
                <w:szCs w:val="24"/>
              </w:rPr>
              <w:t xml:space="preserve">Logistics</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SLA breach pattern not aggregated across clients</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4"/>
                <w:szCs w:val="24"/>
              </w:rPr>
              <w:t xml:space="preserve">On-time delivery rate &amp; network reliability</w:t>
            </w:r>
          </w:p>
        </w:tc>
        <w:tc>
          <w:tcPr>
            <w:tcW w:type="dxa" w:w="366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One large client SLA breach triggers contract termination clauses</w:t>
            </w:r>
          </w:p>
        </w:tc>
      </w:tr>
      <w:tr>
        <w:tc>
          <w:tcPr>
            <w:tcW w:type="dxa" w:w="18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b/>
                <w:bCs/>
                <w:sz w:val="24"/>
                <w:szCs w:val="24"/>
              </w:rPr>
              <w:t xml:space="preserve">EPCM / EPC / Construction</w:t>
            </w:r>
          </w:p>
        </w:tc>
        <w:tc>
          <w:tcPr>
            <w:tcW w:type="dxa" w:w="22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Project overrun signals arriving too late for corrective action</w:t>
            </w:r>
          </w:p>
        </w:tc>
        <w:tc>
          <w:tcPr>
            <w:tcW w:type="dxa" w:w="28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b/>
                <w:bCs/>
                <w:sz w:val="24"/>
                <w:szCs w:val="24"/>
              </w:rPr>
              <w:t xml:space="preserve">Project schedule variance &amp; cost-at-completion</w:t>
            </w:r>
          </w:p>
        </w:tc>
        <w:tc>
          <w:tcPr>
            <w:tcW w:type="dxa" w:w="3666"/>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A significant overrun triggers contractual penalties (CF5), client damage (CF7), and cash impact (CF1) simultaneously. Primavera P6 and equivalent project controls platforms are the primary CF4 data source.</w:t>
            </w:r>
          </w:p>
        </w:tc>
      </w:tr>
    </w:tbl>
    <w:p>
      <w:pPr>
        <w:spacing w:after="40" w:before="120"/>
      </w:pPr>
      <w:r>
        <w:t xml:space="preserve"/>
      </w:r>
    </w:p>
    <w:p>
      <w:pPr>
        <w:pBdr>
          <w:bottom w:val="single" w:color="1F3B60" w:sz="8" w:space="4"/>
        </w:pBdr>
        <w:spacing w:after="120" w:before="320"/>
      </w:pPr>
      <w:r>
        <w:rPr>
          <w:rFonts w:ascii="Arial" w:cs="Arial" w:eastAsia="Arial" w:hAnsi="Arial"/>
          <w:b/>
          <w:bCs/>
          <w:color w:val="1F3B60"/>
          <w:sz w:val="32"/>
          <w:szCs w:val="32"/>
        </w:rPr>
        <w:t xml:space="preserve">XVIII.  The Signal Discovery Questionnaire — Pre-Deployment Instrument</w:t>
      </w:r>
    </w:p>
    <w:p>
      <w:pPr>
        <w:spacing w:after="60" w:before="0"/>
      </w:pPr>
      <w:r>
        <w:rPr>
          <w:rFonts w:ascii="Arial" w:cs="Arial" w:eastAsia="Arial" w:hAnsi="Arial"/>
          <w:b/>
          <w:bCs/>
          <w:color w:val="8B0000"/>
          <w:sz w:val="24"/>
          <w:szCs w:val="24"/>
        </w:rPr>
        <w:t xml:space="preserve">New in V7 — </w:t>
      </w:r>
      <w:r>
        <w:rPr>
          <w:rFonts w:ascii="Arial" w:cs="Arial" w:eastAsia="Arial" w:hAnsi="Arial"/>
          <w:i/>
          <w:iCs/>
          <w:color w:val="555555"/>
          <w:sz w:val="24"/>
          <w:szCs w:val="24"/>
        </w:rPr>
        <w:t xml:space="preserve">The Signal Discovery Questionnaire is a named VITAL instrument produced during this development phase.</w:t>
      </w:r>
    </w:p>
    <w:p>
      <w:pPr>
        <w:spacing w:after="80" w:before="80"/>
      </w:pPr>
      <w:r>
        <w:rPr>
          <w:rFonts w:ascii="Arial" w:cs="Arial" w:eastAsia="Arial" w:hAnsi="Arial"/>
          <w:sz w:val="28"/>
          <w:szCs w:val="28"/>
        </w:rPr>
        <w:t xml:space="preserve">Before Data Availability Mapping begins, the Signal Discovery Questionnaire is completed with the relevant function heads and department owners. For each of the 22 functions across all four tiers, it presents plain-language activity statements and asks the organisation to declare how the result of each activity is currently captured: automatically from a connected system, in a document or report produced periodically, by asking people directly, or not currently captured at all.</w:t>
      </w:r>
    </w:p>
    <w:p>
      <w:pPr>
        <w:spacing w:after="80" w:before="80"/>
      </w:pPr>
      <w:r>
        <w:rPr>
          <w:rFonts w:ascii="Arial" w:cs="Arial" w:eastAsia="Arial" w:hAnsi="Arial"/>
          <w:sz w:val="28"/>
          <w:szCs w:val="28"/>
        </w:rPr>
        <w:t xml:space="preserve">The questionnaire produces two immediate outputs: the monitoring gap map that drives Phase 1 connectivity planning, and the sector existential parameter declaration that initiates the domain calibration conversation. It incorporates insights from all six engaged reviewers — Ashish Nagar, Dhruv Nijhawan, Pierre Neis, Ross Wirth, Satish Doiphode, and Lohit Krishnappa — and is maintained as a standalone document within the VITAL document suite.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Borders>
              <w:top w:val="single" w:color="2E75B6" w:sz="6"/>
              <w:left w:val="single" w:color="2E75B6" w:sz="6"/>
              <w:bottom w:val="single" w:color="2E75B6" w:sz="6"/>
              <w:right w:val="single" w:color="2E75B6" w:sz="6"/>
            </w:tcBorders>
            <w:shd w:fill="EBF3FA" w:val="clear"/>
            <w:tcMar>
              <w:top w:type="dxa" w:w="120"/>
              <w:left w:type="dxa" w:w="160"/>
              <w:bottom w:type="dxa" w:w="120"/>
              <w:right w:type="dxa" w:w="160"/>
            </w:tcMar>
          </w:tcPr>
          <w:p>
            <w:r>
              <w:rPr>
                <w:rFonts w:ascii="Arial" w:cs="Arial" w:eastAsia="Arial" w:hAnsi="Arial"/>
                <w:i/>
                <w:iCs/>
                <w:color w:val="1F3B60"/>
                <w:sz w:val="26"/>
                <w:szCs w:val="26"/>
              </w:rPr>
              <w:t xml:space="preserve">The Signal Discovery Questionnaire is not a readiness assessment. It does not judge the organisation against a standard. It maps what the organisation already captures against what VITAL needs to see — producing the deployment plan that is realistic for this specific organisation rather than generically optimistic.</w:t>
            </w:r>
          </w:p>
        </w:tc>
      </w:tr>
    </w:tbl>
    <w:p>
      <w:pPr>
        <w:spacing w:after="40" w:before="120"/>
      </w:pPr>
      <w:r>
        <w:t xml:space="preserve"/>
      </w:r>
    </w:p>
    <w:p>
      <w:pPr>
        <w:pBdr>
          <w:bottom w:val="single" w:color="1F3B60" w:sz="8" w:space="4"/>
        </w:pBdr>
        <w:spacing w:after="120" w:before="320"/>
      </w:pPr>
      <w:r>
        <w:rPr>
          <w:rFonts w:ascii="Arial" w:cs="Arial" w:eastAsia="Arial" w:hAnsi="Arial"/>
          <w:b/>
          <w:bCs/>
          <w:color w:val="1F3B60"/>
          <w:sz w:val="32"/>
          <w:szCs w:val="32"/>
        </w:rPr>
        <w:t xml:space="preserve">XIX.  Future AI Coding Roadmap — From Framework to Engine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400"/>
        <w:gridCol w:w="3466"/>
      </w:tblGrid>
      <w:tr>
        <w:tc>
          <w:tcPr>
            <w:tcW w:type="dxa" w:w="1400"/>
            <w:gridSpan w:val="1"/>
            <w:tcBorders>
              <w:top w:val="single" w:color="1F3B60" w:sz="1"/>
              <w:left w:val="single" w:color="1F3B60" w:sz="1"/>
              <w:bottom w:val="single" w:color="1F3B60" w:sz="1"/>
              <w:right w:val="single" w:color="1F3B60" w:sz="1"/>
            </w:tcBorders>
            <w:shd w:fill="1F3B6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Stage</w:t>
            </w:r>
          </w:p>
        </w:tc>
        <w:tc>
          <w:tcPr>
            <w:tcW w:type="dxa" w:w="2200"/>
            <w:gridSpan w:val="1"/>
            <w:tcBorders>
              <w:top w:val="single" w:color="1F3B60" w:sz="1"/>
              <w:left w:val="single" w:color="1F3B60" w:sz="1"/>
              <w:bottom w:val="single" w:color="1F3B60" w:sz="1"/>
              <w:right w:val="single" w:color="1F3B60" w:sz="1"/>
            </w:tcBorders>
            <w:shd w:fill="1F3B6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Depends On</w:t>
            </w:r>
          </w:p>
        </w:tc>
        <w:tc>
          <w:tcPr>
            <w:tcW w:type="dxa" w:w="3400"/>
            <w:gridSpan w:val="1"/>
            <w:tcBorders>
              <w:top w:val="single" w:color="1F3B60" w:sz="1"/>
              <w:left w:val="single" w:color="1F3B60" w:sz="1"/>
              <w:bottom w:val="single" w:color="1F3B60" w:sz="1"/>
              <w:right w:val="single" w:color="1F3B60" w:sz="1"/>
            </w:tcBorders>
            <w:shd w:fill="1F3B6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Delivers</w:t>
            </w:r>
          </w:p>
        </w:tc>
        <w:tc>
          <w:tcPr>
            <w:tcW w:type="dxa" w:w="3466"/>
            <w:gridSpan w:val="1"/>
            <w:tcBorders>
              <w:top w:val="single" w:color="1F3B60" w:sz="1"/>
              <w:left w:val="single" w:color="1F3B60" w:sz="1"/>
              <w:bottom w:val="single" w:color="1F3B60" w:sz="1"/>
              <w:right w:val="single" w:color="1F3B60" w:sz="1"/>
            </w:tcBorders>
            <w:shd w:fill="1F3B6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Technology Requirement</w:t>
            </w:r>
          </w:p>
        </w:tc>
      </w:tr>
      <w:tr>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4"/>
                <w:szCs w:val="24"/>
              </w:rPr>
              <w:t xml:space="preserve">Stage 0: Historical Intelligence</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Access to 2-3 years of historical records: board reports, QA logs, issue registers, post-mortems</w:t>
            </w:r>
          </w:p>
        </w:tc>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Historical Health Profile. Baseline patterns. Recurring failure mode registry. Initial threshold hypotheses grounded in organisational history.</w:t>
            </w:r>
          </w:p>
        </w:tc>
        <w:tc>
          <w:tcPr>
            <w:tcW w:type="dxa" w:w="346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NLP document processing. Time-series extraction from historical records. Locally deployed AI model for data security.</w:t>
            </w:r>
          </w:p>
        </w:tc>
      </w:tr>
      <w:tr>
        <w:tc>
          <w:tcPr>
            <w:tcW w:type="dxa" w:w="14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b/>
                <w:bCs/>
                <w:sz w:val="24"/>
                <w:szCs w:val="24"/>
              </w:rPr>
              <w:t xml:space="preserve">Stage 1: Baseline Calibration</w:t>
            </w:r>
          </w:p>
        </w:tc>
        <w:tc>
          <w:tcPr>
            <w:tcW w:type="dxa" w:w="22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8-12 weeks of real organisational data from live deployment</w:t>
            </w:r>
          </w:p>
        </w:tc>
        <w:tc>
          <w:tcPr>
            <w:tcW w:type="dxa" w:w="34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Threshold calibration. Anomaly detection baselines. Function health score computation validated. L1 and L2 AI active.</w:t>
            </w:r>
          </w:p>
        </w:tc>
        <w:tc>
          <w:tcPr>
            <w:tcW w:type="dxa" w:w="3466"/>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API connections to existing platforms. Time-series database. Parameter monitoring engine. Human sensing platform with differential privacy.</w:t>
            </w:r>
          </w:p>
        </w:tc>
      </w:tr>
      <w:tr>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4"/>
                <w:szCs w:val="24"/>
              </w:rPr>
              <w:t xml:space="preserve">Stage 2: Correlation Engine</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6+ months of alert history. Validated signal timing data.</w:t>
            </w:r>
          </w:p>
        </w:tc>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L3 correlation engine operational. 20 named rules encoded. Signal propagation timing models validated against real data.</w:t>
            </w:r>
          </w:p>
        </w:tc>
        <w:tc>
          <w:tcPr>
            <w:tcW w:type="dxa" w:w="346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4"/>
                <w:szCs w:val="24"/>
              </w:rPr>
              <w:t xml:space="preserve">Rules engine overlay on L1/L2 stack. Machine learning training on named correlation rules.</w:t>
            </w:r>
          </w:p>
        </w:tc>
      </w:tr>
      <w:tr>
        <w:tc>
          <w:tcPr>
            <w:tcW w:type="dxa" w:w="14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b/>
                <w:bCs/>
                <w:sz w:val="24"/>
                <w:szCs w:val="24"/>
              </w:rPr>
              <w:t xml:space="preserve">Stage 3: Full OHI Automation</w:t>
            </w:r>
          </w:p>
        </w:tc>
        <w:tc>
          <w:tcPr>
            <w:tcW w:type="dxa" w:w="22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12+ months of monitoring data. Confirmed correlation timing.</w:t>
            </w:r>
          </w:p>
        </w:tc>
        <w:tc>
          <w:tcPr>
            <w:tcW w:type="dxa" w:w="3400"/>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L4 forward simulation operational. Full four-tier OHI automation with all modifiers. Three-level stakeholder reporting automated.</w:t>
            </w:r>
          </w:p>
        </w:tc>
        <w:tc>
          <w:tcPr>
            <w:tcW w:type="dxa" w:w="3466"/>
            <w:gridSpan w:val="1"/>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vAlign w:val="top"/>
          </w:tcPr>
          <w:p>
            <w:r>
              <w:rPr>
                <w:rFonts w:ascii="Arial" w:cs="Arial" w:eastAsia="Arial" w:hAnsi="Arial"/>
                <w:sz w:val="24"/>
                <w:szCs w:val="24"/>
              </w:rPr>
              <w:t xml:space="preserve">Trajectory projection engine. OHI aggregation layer. Role-based dashboard. Board reporting automation.</w:t>
            </w:r>
          </w:p>
        </w:tc>
      </w:tr>
    </w:tbl>
    <w:p>
      <w:pPr>
        <w:spacing w:after="80" w:before="200"/>
      </w:pPr>
      <w: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Borders>
              <w:top w:val="single" w:color="2E75B6" w:sz="6"/>
              <w:left w:val="single" w:color="2E75B6" w:sz="6"/>
              <w:bottom w:val="single" w:color="2E75B6" w:sz="6"/>
              <w:right w:val="single" w:color="2E75B6" w:sz="6"/>
            </w:tcBorders>
            <w:shd w:fill="EBF3FA" w:val="clear"/>
            <w:tcMar>
              <w:top w:type="dxa" w:w="120"/>
              <w:left w:type="dxa" w:w="160"/>
              <w:bottom w:type="dxa" w:w="120"/>
              <w:right w:type="dxa" w:w="160"/>
            </w:tcMar>
          </w:tcPr>
          <w:p>
            <w:r>
              <w:rPr>
                <w:rFonts w:ascii="Arial" w:cs="Arial" w:eastAsia="Arial" w:hAnsi="Arial"/>
                <w:i/>
                <w:iCs/>
                <w:color w:val="1F3B60"/>
                <w:sz w:val="26"/>
                <w:szCs w:val="26"/>
              </w:rPr>
              <w:t xml:space="preserve">PROJECT VITAL is a living framework — every pilot deployment, every alert cycle, and every Learning Register entry generates empirical data that feeds back into the framework's calibration. An organisation running VITAL for 24 months has a framework calibrated to its specific operational pattern — more accurate and more predictive than the generic framework it started with.</w:t>
            </w:r>
          </w:p>
        </w:tc>
      </w:tr>
    </w:tbl>
    <w:p>
      <w:pPr>
        <w:spacing w:after="60" w:before="120"/>
      </w:pPr>
      <w:r>
        <w:t xml:space="preserve"/>
      </w:r>
    </w:p>
    <w:p>
      <w:pPr>
        <w:spacing w:after="40" w:before="160"/>
        <w:jc w:val="center"/>
      </w:pPr>
      <w:r>
        <w:rPr>
          <w:rFonts w:ascii="Arial" w:cs="Arial" w:eastAsia="Arial" w:hAnsi="Arial"/>
          <w:i/>
          <w:iCs/>
          <w:color w:val="1F3B60"/>
          <w:sz w:val="24"/>
          <w:szCs w:val="24"/>
        </w:rPr>
        <w:t xml:space="preserve">Developed by Rakesh Chandra Goyal</w:t>
      </w:r>
    </w:p>
    <w:p>
      <w:pPr>
        <w:spacing w:after="40" w:before="0"/>
        <w:jc w:val="center"/>
      </w:pPr>
      <w:r>
        <w:rPr>
          <w:rFonts w:ascii="Arial" w:cs="Arial" w:eastAsia="Arial" w:hAnsi="Arial"/>
          <w:i/>
          <w:iCs/>
          <w:color w:val="1F3B60"/>
          <w:sz w:val="24"/>
          <w:szCs w:val="24"/>
        </w:rPr>
        <w:t xml:space="preserve">in collaboration with Claude (Anthropic) as AI research and documentation partner</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B60" w:sz="6" w:space="4"/>
      </w:pBdr>
      <w:spacing w:before="80"/>
    </w:pPr>
    <w:r>
      <w:rPr>
        <w:rFonts w:ascii="Arial" w:cs="Arial" w:eastAsia="Arial" w:hAnsi="Arial"/>
        <w:i/>
        <w:iCs/>
        <w:color w:val="1F3B60"/>
        <w:sz w:val="16"/>
        <w:szCs w:val="16"/>
      </w:rPr>
      <w:t xml:space="preserve">Developed by Rakesh Chandra Goyal, in collaboration with Claude (Anthropic) as AI research and documentation partner  |  No commercial intent — adoption under any name constitutes success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B60" w:sz="6" w:space="4"/>
      </w:pBdr>
      <w:spacing w:after="80"/>
    </w:pPr>
    <w:r>
      <w:rPr>
        <w:rFonts w:ascii="Arial" w:cs="Arial" w:eastAsia="Arial" w:hAnsi="Arial"/>
        <w:color w:val="1F3B60"/>
        <w:sz w:val="18"/>
        <w:szCs w:val="18"/>
      </w:rPr>
      <w:t xml:space="preserve">PROJECT VITAL  |  Framework Description  |  V7.0  |  April 2026  |  22 Functions  |  4 Tiers  |  20 Named L3 Rules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2026-04-28T07:18:32.805Z</dcterms:created>
  <dcterms:modified xsi:type="dcterms:W3CDTF">2026-04-28T07:18:32.806Z</dcterms:modified>
</cp:coreProperties>
</file>

<file path=docProps/custom.xml><?xml version="1.0" encoding="utf-8"?>
<Properties xmlns="http://schemas.openxmlformats.org/officeDocument/2006/custom-properties" xmlns:vt="http://schemas.openxmlformats.org/officeDocument/2006/docPropsVTypes"/>
</file>