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1F2632" w14:textId="77777777" w:rsidR="00A63D1B" w:rsidRPr="00502F26" w:rsidRDefault="0018149E">
      <w:pPr>
        <w:spacing w:before="72"/>
        <w:ind w:left="796" w:right="799"/>
        <w:jc w:val="center"/>
        <w:rPr>
          <w:b/>
          <w:bCs/>
          <w:color w:val="000000" w:themeColor="text1"/>
          <w:sz w:val="24"/>
          <w:szCs w:val="24"/>
        </w:rPr>
      </w:pPr>
      <w:bookmarkStart w:id="0" w:name="_GoBack"/>
      <w:bookmarkEnd w:id="0"/>
      <w:r w:rsidRPr="00502F26">
        <w:rPr>
          <w:b/>
          <w:bCs/>
          <w:color w:val="000000" w:themeColor="text1"/>
          <w:sz w:val="24"/>
          <w:szCs w:val="24"/>
        </w:rPr>
        <w:t>Федеральное государственное бюджетное образовательное учреждение высшего образования</w:t>
      </w:r>
    </w:p>
    <w:p w14:paraId="1C1F2633" w14:textId="77777777" w:rsidR="00A63D1B" w:rsidRPr="00502F26" w:rsidRDefault="0018149E">
      <w:pPr>
        <w:ind w:left="1826" w:right="1828"/>
        <w:jc w:val="center"/>
        <w:rPr>
          <w:b/>
          <w:bCs/>
          <w:color w:val="000000" w:themeColor="text1"/>
          <w:sz w:val="24"/>
          <w:szCs w:val="24"/>
        </w:rPr>
      </w:pPr>
      <w:r w:rsidRPr="00502F26">
        <w:rPr>
          <w:b/>
          <w:bCs/>
          <w:color w:val="000000" w:themeColor="text1"/>
          <w:sz w:val="24"/>
          <w:szCs w:val="24"/>
        </w:rPr>
        <w:t>РОССИЙСКАЯ АКАДЕМИЯ НАРОДНОГО ХОЗЯЙСТВА И ГОСУДАРСТВЕННОЙ СЛУЖБЫ</w:t>
      </w:r>
    </w:p>
    <w:p w14:paraId="1C1F2634" w14:textId="77777777" w:rsidR="00A63D1B" w:rsidRPr="00502F26" w:rsidRDefault="0018149E">
      <w:pPr>
        <w:spacing w:before="1"/>
        <w:ind w:left="796" w:right="803"/>
        <w:jc w:val="center"/>
        <w:rPr>
          <w:b/>
          <w:bCs/>
          <w:color w:val="000000" w:themeColor="text1"/>
          <w:sz w:val="24"/>
          <w:szCs w:val="24"/>
        </w:rPr>
      </w:pPr>
      <w:r w:rsidRPr="00502F26">
        <w:rPr>
          <w:b/>
          <w:bCs/>
          <w:color w:val="000000" w:themeColor="text1"/>
          <w:sz w:val="24"/>
          <w:szCs w:val="24"/>
        </w:rPr>
        <w:t>ПРИ ПРЕЗИДЕНТЕ РОССИЙСКОЙ ФЕДЕРАЦИИ</w:t>
      </w:r>
    </w:p>
    <w:p w14:paraId="1C1F2635" w14:textId="77777777" w:rsidR="00A63D1B" w:rsidRPr="00502F26" w:rsidRDefault="00A63D1B">
      <w:pPr>
        <w:pBdr>
          <w:top w:val="nil"/>
          <w:left w:val="nil"/>
          <w:bottom w:val="nil"/>
          <w:right w:val="nil"/>
          <w:between w:val="nil"/>
        </w:pBdr>
        <w:rPr>
          <w:b/>
          <w:bCs/>
          <w:color w:val="000000" w:themeColor="text1"/>
          <w:sz w:val="24"/>
          <w:szCs w:val="24"/>
        </w:rPr>
      </w:pPr>
    </w:p>
    <w:p w14:paraId="1C1F2636" w14:textId="77777777" w:rsidR="00A63D1B" w:rsidRPr="00502F26" w:rsidRDefault="00A63D1B">
      <w:pPr>
        <w:pBdr>
          <w:top w:val="nil"/>
          <w:left w:val="nil"/>
          <w:bottom w:val="nil"/>
          <w:right w:val="nil"/>
          <w:between w:val="nil"/>
        </w:pBdr>
        <w:spacing w:before="133"/>
        <w:rPr>
          <w:b/>
          <w:bCs/>
          <w:color w:val="000000" w:themeColor="text1"/>
          <w:sz w:val="24"/>
          <w:szCs w:val="24"/>
        </w:rPr>
      </w:pPr>
    </w:p>
    <w:p w14:paraId="1C1F2637" w14:textId="77777777" w:rsidR="00A63D1B" w:rsidRPr="00502F26" w:rsidRDefault="0018149E">
      <w:pPr>
        <w:pStyle w:val="1"/>
        <w:ind w:left="797" w:right="799"/>
        <w:jc w:val="center"/>
        <w:rPr>
          <w:color w:val="000000" w:themeColor="text1"/>
        </w:rPr>
      </w:pPr>
      <w:r w:rsidRPr="00502F26">
        <w:rPr>
          <w:color w:val="000000" w:themeColor="text1"/>
        </w:rPr>
        <w:t>КОНЦЕПЦИЯ ДИССЕРТАЦИИ</w:t>
      </w:r>
    </w:p>
    <w:p w14:paraId="1C1F2638" w14:textId="77777777" w:rsidR="00A63D1B" w:rsidRPr="00502F26" w:rsidRDefault="00A63D1B">
      <w:pPr>
        <w:pBdr>
          <w:top w:val="nil"/>
          <w:left w:val="nil"/>
          <w:bottom w:val="nil"/>
          <w:right w:val="nil"/>
          <w:between w:val="nil"/>
        </w:pBdr>
        <w:spacing w:before="38"/>
        <w:rPr>
          <w:b/>
          <w:bCs/>
          <w:color w:val="000000" w:themeColor="text1"/>
          <w:sz w:val="28"/>
          <w:szCs w:val="28"/>
        </w:rPr>
      </w:pPr>
    </w:p>
    <w:p w14:paraId="1C1F2639" w14:textId="77777777" w:rsidR="00A63D1B" w:rsidRPr="008A5A4A" w:rsidRDefault="0018149E">
      <w:pPr>
        <w:pBdr>
          <w:top w:val="nil"/>
          <w:left w:val="nil"/>
          <w:bottom w:val="nil"/>
          <w:right w:val="nil"/>
          <w:between w:val="nil"/>
        </w:pBdr>
        <w:ind w:left="140"/>
        <w:rPr>
          <w:color w:val="EE0000"/>
          <w:sz w:val="28"/>
          <w:szCs w:val="28"/>
        </w:rPr>
      </w:pPr>
      <w:r w:rsidRPr="008A5A4A">
        <w:rPr>
          <w:color w:val="EE0000"/>
          <w:sz w:val="28"/>
          <w:szCs w:val="28"/>
        </w:rPr>
        <w:t>Группа научных специальностей:</w:t>
      </w:r>
    </w:p>
    <w:p w14:paraId="1C1F263A" w14:textId="22612D13" w:rsidR="00A63D1B" w:rsidRPr="0028137D" w:rsidRDefault="0018149E">
      <w:pPr>
        <w:pBdr>
          <w:top w:val="nil"/>
          <w:left w:val="nil"/>
          <w:bottom w:val="nil"/>
          <w:right w:val="nil"/>
          <w:between w:val="nil"/>
        </w:pBdr>
        <w:spacing w:before="321"/>
        <w:ind w:left="140"/>
        <w:rPr>
          <w:color w:val="EE0000"/>
          <w:sz w:val="28"/>
          <w:szCs w:val="28"/>
          <w:lang w:val="ru-RU"/>
        </w:rPr>
      </w:pPr>
      <w:r w:rsidRPr="008A5A4A">
        <w:rPr>
          <w:color w:val="EE0000"/>
          <w:sz w:val="28"/>
          <w:szCs w:val="28"/>
        </w:rPr>
        <w:t>5.2.</w:t>
      </w:r>
      <w:r w:rsidR="008A5A4A" w:rsidRPr="0028137D">
        <w:rPr>
          <w:color w:val="EE0000"/>
          <w:sz w:val="28"/>
          <w:szCs w:val="28"/>
          <w:lang w:val="ru-RU"/>
        </w:rPr>
        <w:t>4</w:t>
      </w:r>
    </w:p>
    <w:p w14:paraId="1C1F263B" w14:textId="77777777" w:rsidR="00A63D1B" w:rsidRPr="008A5A4A" w:rsidRDefault="0018149E">
      <w:pPr>
        <w:pBdr>
          <w:top w:val="nil"/>
          <w:left w:val="nil"/>
          <w:bottom w:val="nil"/>
          <w:right w:val="nil"/>
          <w:between w:val="nil"/>
        </w:pBdr>
        <w:spacing w:before="321"/>
        <w:ind w:left="140"/>
        <w:rPr>
          <w:color w:val="EE0000"/>
          <w:sz w:val="28"/>
          <w:szCs w:val="28"/>
        </w:rPr>
      </w:pPr>
      <w:r w:rsidRPr="008A5A4A">
        <w:rPr>
          <w:color w:val="EE0000"/>
          <w:sz w:val="28"/>
          <w:szCs w:val="28"/>
        </w:rPr>
        <w:t>Научная специальность:</w:t>
      </w:r>
    </w:p>
    <w:p w14:paraId="1C1F263C" w14:textId="77777777" w:rsidR="00A63D1B" w:rsidRPr="008A5A4A" w:rsidRDefault="00A63D1B">
      <w:pPr>
        <w:pBdr>
          <w:top w:val="nil"/>
          <w:left w:val="nil"/>
          <w:bottom w:val="nil"/>
          <w:right w:val="nil"/>
          <w:between w:val="nil"/>
        </w:pBdr>
        <w:spacing w:before="2"/>
        <w:rPr>
          <w:color w:val="EE0000"/>
          <w:sz w:val="28"/>
          <w:szCs w:val="28"/>
        </w:rPr>
      </w:pPr>
    </w:p>
    <w:p w14:paraId="1C1F263D" w14:textId="31C8675F" w:rsidR="00A63D1B" w:rsidRPr="008A5A4A" w:rsidRDefault="008A5A4A">
      <w:pPr>
        <w:pBdr>
          <w:top w:val="nil"/>
          <w:left w:val="nil"/>
          <w:bottom w:val="nil"/>
          <w:right w:val="nil"/>
          <w:between w:val="nil"/>
        </w:pBdr>
        <w:ind w:left="140"/>
        <w:rPr>
          <w:color w:val="EE0000"/>
          <w:sz w:val="28"/>
          <w:szCs w:val="28"/>
          <w:lang w:val="ru-RU"/>
        </w:rPr>
      </w:pPr>
      <w:r w:rsidRPr="008A5A4A">
        <w:rPr>
          <w:color w:val="EE0000"/>
          <w:sz w:val="28"/>
          <w:szCs w:val="28"/>
          <w:lang w:val="ru-RU"/>
        </w:rPr>
        <w:t>ФИНАНСЫ</w:t>
      </w:r>
    </w:p>
    <w:p w14:paraId="1C1F263E" w14:textId="77777777" w:rsidR="00A63D1B" w:rsidRPr="00502F26" w:rsidRDefault="00A63D1B">
      <w:pPr>
        <w:pBdr>
          <w:top w:val="nil"/>
          <w:left w:val="nil"/>
          <w:bottom w:val="nil"/>
          <w:right w:val="nil"/>
          <w:between w:val="nil"/>
        </w:pBdr>
        <w:rPr>
          <w:color w:val="000000" w:themeColor="text1"/>
          <w:sz w:val="28"/>
          <w:szCs w:val="28"/>
        </w:rPr>
      </w:pPr>
    </w:p>
    <w:p w14:paraId="1C1F263F" w14:textId="77777777" w:rsidR="00A63D1B" w:rsidRPr="00502F26" w:rsidRDefault="00A63D1B">
      <w:pPr>
        <w:pBdr>
          <w:top w:val="nil"/>
          <w:left w:val="nil"/>
          <w:bottom w:val="nil"/>
          <w:right w:val="nil"/>
          <w:between w:val="nil"/>
        </w:pBdr>
        <w:spacing w:before="40"/>
        <w:rPr>
          <w:color w:val="000000" w:themeColor="text1"/>
          <w:sz w:val="28"/>
          <w:szCs w:val="28"/>
        </w:rPr>
      </w:pPr>
    </w:p>
    <w:p w14:paraId="1C1F2640" w14:textId="77777777" w:rsidR="00A63D1B" w:rsidRPr="00502F26" w:rsidRDefault="0018149E">
      <w:pPr>
        <w:pStyle w:val="1"/>
        <w:ind w:left="797" w:right="799"/>
        <w:jc w:val="center"/>
        <w:rPr>
          <w:color w:val="000000" w:themeColor="text1"/>
        </w:rPr>
      </w:pPr>
      <w:r w:rsidRPr="00502F26">
        <w:rPr>
          <w:color w:val="000000" w:themeColor="text1"/>
        </w:rPr>
        <w:t>ТЕМА ДИССЕРТАЦИИ</w:t>
      </w:r>
    </w:p>
    <w:p w14:paraId="1C1F2641" w14:textId="77777777" w:rsidR="00A63D1B" w:rsidRPr="00502F26" w:rsidRDefault="00A63D1B">
      <w:pPr>
        <w:pBdr>
          <w:top w:val="nil"/>
          <w:left w:val="nil"/>
          <w:bottom w:val="nil"/>
          <w:right w:val="nil"/>
          <w:between w:val="nil"/>
        </w:pBdr>
        <w:rPr>
          <w:b/>
          <w:bCs/>
          <w:color w:val="000000" w:themeColor="text1"/>
          <w:sz w:val="28"/>
          <w:szCs w:val="28"/>
        </w:rPr>
      </w:pPr>
    </w:p>
    <w:p w14:paraId="1C1F2642" w14:textId="77777777" w:rsidR="00A63D1B" w:rsidRPr="00502F26" w:rsidRDefault="00A63D1B">
      <w:pPr>
        <w:pBdr>
          <w:top w:val="nil"/>
          <w:left w:val="nil"/>
          <w:bottom w:val="nil"/>
          <w:right w:val="nil"/>
          <w:between w:val="nil"/>
        </w:pBdr>
        <w:rPr>
          <w:b/>
          <w:bCs/>
          <w:color w:val="000000" w:themeColor="text1"/>
          <w:sz w:val="28"/>
          <w:szCs w:val="28"/>
        </w:rPr>
      </w:pPr>
    </w:p>
    <w:p w14:paraId="1C1F2643" w14:textId="77777777" w:rsidR="00A63D1B" w:rsidRPr="00502F26" w:rsidRDefault="00A63D1B">
      <w:pPr>
        <w:pBdr>
          <w:top w:val="nil"/>
          <w:left w:val="nil"/>
          <w:bottom w:val="nil"/>
          <w:right w:val="nil"/>
          <w:between w:val="nil"/>
        </w:pBdr>
        <w:spacing w:before="8"/>
        <w:rPr>
          <w:b/>
          <w:bCs/>
          <w:color w:val="000000" w:themeColor="text1"/>
          <w:sz w:val="28"/>
          <w:szCs w:val="28"/>
        </w:rPr>
      </w:pPr>
    </w:p>
    <w:p w14:paraId="1C1F2644" w14:textId="116A86F6" w:rsidR="00A63D1B" w:rsidRPr="00502F26" w:rsidRDefault="0018149E">
      <w:pPr>
        <w:pBdr>
          <w:top w:val="nil"/>
          <w:left w:val="nil"/>
          <w:bottom w:val="nil"/>
          <w:right w:val="nil"/>
          <w:between w:val="nil"/>
        </w:pBdr>
        <w:spacing w:line="360" w:lineRule="auto"/>
        <w:ind w:left="249" w:right="256" w:firstLine="5"/>
        <w:jc w:val="center"/>
        <w:rPr>
          <w:color w:val="000000" w:themeColor="text1"/>
          <w:sz w:val="28"/>
          <w:szCs w:val="28"/>
        </w:rPr>
      </w:pPr>
      <w:r w:rsidRPr="00986688">
        <w:rPr>
          <w:color w:val="000000" w:themeColor="text1"/>
          <w:sz w:val="28"/>
          <w:szCs w:val="28"/>
          <w:highlight w:val="cyan"/>
        </w:rPr>
        <w:t>«</w:t>
      </w:r>
      <w:r w:rsidR="00A93C1A" w:rsidRPr="00986688">
        <w:rPr>
          <w:color w:val="000000" w:themeColor="text1"/>
          <w:sz w:val="28"/>
          <w:szCs w:val="28"/>
          <w:highlight w:val="cyan"/>
        </w:rPr>
        <w:t>Комплексная диагностика инвестиционной готовности компании на ключевых этапах привлечения капитала с помощью DCF-оценки стоимости</w:t>
      </w:r>
      <w:r w:rsidRPr="00986688">
        <w:rPr>
          <w:color w:val="000000" w:themeColor="text1"/>
          <w:sz w:val="28"/>
          <w:szCs w:val="28"/>
          <w:highlight w:val="cyan"/>
        </w:rPr>
        <w:t>»</w:t>
      </w:r>
    </w:p>
    <w:p w14:paraId="1C1F2645" w14:textId="77777777" w:rsidR="00A63D1B" w:rsidRPr="00502F26" w:rsidRDefault="00A63D1B">
      <w:pPr>
        <w:pBdr>
          <w:top w:val="nil"/>
          <w:left w:val="nil"/>
          <w:bottom w:val="nil"/>
          <w:right w:val="nil"/>
          <w:between w:val="nil"/>
        </w:pBdr>
        <w:rPr>
          <w:color w:val="000000" w:themeColor="text1"/>
          <w:sz w:val="28"/>
          <w:szCs w:val="28"/>
        </w:rPr>
      </w:pPr>
    </w:p>
    <w:p w14:paraId="1C1F2646" w14:textId="77777777" w:rsidR="00A63D1B" w:rsidRPr="00502F26" w:rsidRDefault="00A63D1B">
      <w:pPr>
        <w:pBdr>
          <w:top w:val="nil"/>
          <w:left w:val="nil"/>
          <w:bottom w:val="nil"/>
          <w:right w:val="nil"/>
          <w:between w:val="nil"/>
        </w:pBdr>
        <w:rPr>
          <w:color w:val="000000" w:themeColor="text1"/>
          <w:sz w:val="28"/>
          <w:szCs w:val="28"/>
        </w:rPr>
      </w:pPr>
    </w:p>
    <w:p w14:paraId="1C1F2647" w14:textId="77777777" w:rsidR="00A63D1B" w:rsidRPr="00502F26" w:rsidRDefault="00A63D1B">
      <w:pPr>
        <w:pBdr>
          <w:top w:val="nil"/>
          <w:left w:val="nil"/>
          <w:bottom w:val="nil"/>
          <w:right w:val="nil"/>
          <w:between w:val="nil"/>
        </w:pBdr>
        <w:rPr>
          <w:color w:val="000000" w:themeColor="text1"/>
          <w:sz w:val="28"/>
          <w:szCs w:val="28"/>
        </w:rPr>
      </w:pPr>
    </w:p>
    <w:p w14:paraId="1C1F2648" w14:textId="77777777" w:rsidR="00A63D1B" w:rsidRPr="00502F26" w:rsidRDefault="00A63D1B">
      <w:pPr>
        <w:pBdr>
          <w:top w:val="nil"/>
          <w:left w:val="nil"/>
          <w:bottom w:val="nil"/>
          <w:right w:val="nil"/>
          <w:between w:val="nil"/>
        </w:pBdr>
        <w:spacing w:before="280"/>
        <w:rPr>
          <w:color w:val="000000" w:themeColor="text1"/>
          <w:sz w:val="28"/>
          <w:szCs w:val="28"/>
        </w:rPr>
      </w:pPr>
    </w:p>
    <w:p w14:paraId="1C1F2649" w14:textId="77777777" w:rsidR="00A63D1B" w:rsidRPr="00502F26" w:rsidRDefault="0018149E">
      <w:pPr>
        <w:spacing w:before="1"/>
        <w:ind w:left="2054"/>
        <w:jc w:val="right"/>
        <w:rPr>
          <w:b/>
          <w:bCs/>
          <w:color w:val="000000" w:themeColor="text1"/>
          <w:sz w:val="28"/>
          <w:szCs w:val="28"/>
        </w:rPr>
      </w:pPr>
      <w:r w:rsidRPr="00502F26">
        <w:rPr>
          <w:b/>
          <w:bCs/>
          <w:color w:val="000000" w:themeColor="text1"/>
          <w:sz w:val="28"/>
          <w:szCs w:val="28"/>
        </w:rPr>
        <w:t>Соискатель: Адамян Людмила Олеговна</w:t>
      </w:r>
    </w:p>
    <w:p w14:paraId="1C1F264A" w14:textId="77777777" w:rsidR="00A63D1B" w:rsidRPr="00502F26" w:rsidRDefault="00A63D1B">
      <w:pPr>
        <w:pBdr>
          <w:top w:val="nil"/>
          <w:left w:val="nil"/>
          <w:bottom w:val="nil"/>
          <w:right w:val="nil"/>
          <w:between w:val="nil"/>
        </w:pBdr>
        <w:spacing w:before="35"/>
        <w:rPr>
          <w:b/>
          <w:bCs/>
          <w:color w:val="000000" w:themeColor="text1"/>
          <w:sz w:val="28"/>
          <w:szCs w:val="28"/>
        </w:rPr>
      </w:pPr>
    </w:p>
    <w:p w14:paraId="1C1F264B" w14:textId="77777777" w:rsidR="00A63D1B" w:rsidRPr="00502F26" w:rsidRDefault="0018149E">
      <w:pPr>
        <w:spacing w:line="362" w:lineRule="auto"/>
        <w:ind w:left="546" w:right="144" w:firstLine="1507"/>
        <w:jc w:val="right"/>
        <w:rPr>
          <w:b/>
          <w:bCs/>
          <w:color w:val="000000" w:themeColor="text1"/>
          <w:sz w:val="28"/>
          <w:szCs w:val="28"/>
        </w:rPr>
      </w:pPr>
      <w:r w:rsidRPr="00502F26">
        <w:rPr>
          <w:b/>
          <w:bCs/>
          <w:color w:val="000000" w:themeColor="text1"/>
          <w:sz w:val="28"/>
          <w:szCs w:val="28"/>
        </w:rPr>
        <w:t xml:space="preserve">Научный руководитель: д.э.н., профессор, заведующая кафедрой международного бизнеса Института управления </w:t>
      </w:r>
    </w:p>
    <w:p w14:paraId="1C1F264C" w14:textId="77777777" w:rsidR="00A63D1B" w:rsidRPr="00502F26" w:rsidRDefault="0018149E">
      <w:pPr>
        <w:spacing w:line="362" w:lineRule="auto"/>
        <w:ind w:left="546" w:right="144" w:firstLine="1507"/>
        <w:jc w:val="right"/>
        <w:rPr>
          <w:b/>
          <w:bCs/>
          <w:color w:val="000000" w:themeColor="text1"/>
          <w:sz w:val="28"/>
          <w:szCs w:val="28"/>
        </w:rPr>
      </w:pPr>
      <w:r w:rsidRPr="00502F26">
        <w:rPr>
          <w:b/>
          <w:bCs/>
          <w:color w:val="000000" w:themeColor="text1"/>
          <w:sz w:val="28"/>
          <w:szCs w:val="28"/>
        </w:rPr>
        <w:t>Арабян Кнарик Карапетовна</w:t>
      </w:r>
    </w:p>
    <w:p w14:paraId="1C1F264D" w14:textId="77777777" w:rsidR="00A63D1B" w:rsidRPr="00502F26" w:rsidRDefault="00A63D1B">
      <w:pPr>
        <w:spacing w:line="362" w:lineRule="auto"/>
        <w:ind w:left="546" w:right="144" w:firstLine="1507"/>
        <w:jc w:val="right"/>
        <w:rPr>
          <w:b/>
          <w:bCs/>
          <w:color w:val="000000" w:themeColor="text1"/>
          <w:sz w:val="28"/>
          <w:szCs w:val="28"/>
        </w:rPr>
      </w:pPr>
    </w:p>
    <w:p w14:paraId="1C1F264E" w14:textId="77777777" w:rsidR="00A63D1B" w:rsidRPr="00502F26" w:rsidRDefault="00A63D1B">
      <w:pPr>
        <w:spacing w:line="320" w:lineRule="auto"/>
        <w:ind w:right="140"/>
        <w:jc w:val="right"/>
        <w:rPr>
          <w:b/>
          <w:bCs/>
          <w:color w:val="000000" w:themeColor="text1"/>
          <w:sz w:val="28"/>
          <w:szCs w:val="28"/>
        </w:rPr>
      </w:pPr>
    </w:p>
    <w:p w14:paraId="1C1F264F" w14:textId="77777777" w:rsidR="00A63D1B" w:rsidRPr="00502F26" w:rsidRDefault="00A63D1B">
      <w:pPr>
        <w:pBdr>
          <w:top w:val="nil"/>
          <w:left w:val="nil"/>
          <w:bottom w:val="nil"/>
          <w:right w:val="nil"/>
          <w:between w:val="nil"/>
        </w:pBdr>
        <w:rPr>
          <w:b/>
          <w:bCs/>
          <w:color w:val="000000" w:themeColor="text1"/>
          <w:sz w:val="28"/>
          <w:szCs w:val="28"/>
        </w:rPr>
      </w:pPr>
    </w:p>
    <w:p w14:paraId="1C1F2650" w14:textId="77777777" w:rsidR="00A63D1B" w:rsidRPr="00502F26" w:rsidRDefault="00A63D1B">
      <w:pPr>
        <w:pBdr>
          <w:top w:val="nil"/>
          <w:left w:val="nil"/>
          <w:bottom w:val="nil"/>
          <w:right w:val="nil"/>
          <w:between w:val="nil"/>
        </w:pBdr>
        <w:rPr>
          <w:b/>
          <w:bCs/>
          <w:color w:val="000000" w:themeColor="text1"/>
          <w:sz w:val="28"/>
          <w:szCs w:val="28"/>
        </w:rPr>
      </w:pPr>
    </w:p>
    <w:p w14:paraId="1C1F2651" w14:textId="77777777" w:rsidR="00A63D1B" w:rsidRPr="00502F26" w:rsidRDefault="00A63D1B">
      <w:pPr>
        <w:pBdr>
          <w:top w:val="nil"/>
          <w:left w:val="nil"/>
          <w:bottom w:val="nil"/>
          <w:right w:val="nil"/>
          <w:between w:val="nil"/>
        </w:pBdr>
        <w:rPr>
          <w:b/>
          <w:bCs/>
          <w:color w:val="000000" w:themeColor="text1"/>
          <w:sz w:val="28"/>
          <w:szCs w:val="28"/>
        </w:rPr>
      </w:pPr>
    </w:p>
    <w:p w14:paraId="1C1F2652" w14:textId="77777777" w:rsidR="00A63D1B" w:rsidRPr="00502F26" w:rsidRDefault="00A63D1B">
      <w:pPr>
        <w:pBdr>
          <w:top w:val="nil"/>
          <w:left w:val="nil"/>
          <w:bottom w:val="nil"/>
          <w:right w:val="nil"/>
          <w:between w:val="nil"/>
        </w:pBdr>
        <w:rPr>
          <w:b/>
          <w:bCs/>
          <w:color w:val="000000" w:themeColor="text1"/>
          <w:sz w:val="28"/>
          <w:szCs w:val="28"/>
        </w:rPr>
      </w:pPr>
    </w:p>
    <w:p w14:paraId="1C1F2653" w14:textId="77777777" w:rsidR="00A63D1B" w:rsidRPr="00502F26" w:rsidRDefault="00A63D1B">
      <w:pPr>
        <w:pBdr>
          <w:top w:val="nil"/>
          <w:left w:val="nil"/>
          <w:bottom w:val="nil"/>
          <w:right w:val="nil"/>
          <w:between w:val="nil"/>
        </w:pBdr>
        <w:spacing w:before="155"/>
        <w:rPr>
          <w:b/>
          <w:bCs/>
          <w:color w:val="000000" w:themeColor="text1"/>
          <w:sz w:val="28"/>
          <w:szCs w:val="28"/>
        </w:rPr>
      </w:pPr>
    </w:p>
    <w:p w14:paraId="1C1F2654" w14:textId="77777777" w:rsidR="00A63D1B" w:rsidRPr="00502F26" w:rsidRDefault="0018149E">
      <w:pPr>
        <w:pBdr>
          <w:top w:val="nil"/>
          <w:left w:val="nil"/>
          <w:bottom w:val="nil"/>
          <w:right w:val="nil"/>
          <w:between w:val="nil"/>
        </w:pBdr>
        <w:ind w:left="798" w:right="799"/>
        <w:jc w:val="center"/>
        <w:rPr>
          <w:color w:val="000000" w:themeColor="text1"/>
          <w:sz w:val="28"/>
          <w:szCs w:val="28"/>
        </w:rPr>
        <w:sectPr w:rsidR="00A63D1B" w:rsidRPr="00502F26">
          <w:pgSz w:w="11910" w:h="16840"/>
          <w:pgMar w:top="760" w:right="708" w:bottom="280" w:left="992" w:header="720" w:footer="720" w:gutter="0"/>
          <w:pgNumType w:start="1"/>
          <w:cols w:space="720"/>
        </w:sectPr>
      </w:pPr>
      <w:r w:rsidRPr="00502F26">
        <w:rPr>
          <w:color w:val="000000" w:themeColor="text1"/>
          <w:sz w:val="28"/>
          <w:szCs w:val="28"/>
        </w:rPr>
        <w:t>Москва 2026</w:t>
      </w:r>
    </w:p>
    <w:p w14:paraId="1C1F2655" w14:textId="77777777" w:rsidR="00A63D1B" w:rsidRPr="00BD4F9E" w:rsidRDefault="0018149E">
      <w:pPr>
        <w:pStyle w:val="1"/>
        <w:spacing w:before="73"/>
        <w:ind w:firstLine="140"/>
        <w:rPr>
          <w:color w:val="808080" w:themeColor="background1" w:themeShade="80"/>
        </w:rPr>
      </w:pPr>
      <w:r w:rsidRPr="00502F26">
        <w:rPr>
          <w:color w:val="000000" w:themeColor="text1"/>
        </w:rPr>
        <w:lastRenderedPageBreak/>
        <w:t>Актуальность темы диссертационного исследования.</w:t>
      </w:r>
    </w:p>
    <w:p w14:paraId="1C1F2656" w14:textId="77777777" w:rsidR="00A63D1B" w:rsidRPr="00BD4F9E" w:rsidRDefault="00A63D1B">
      <w:pPr>
        <w:pBdr>
          <w:top w:val="nil"/>
          <w:left w:val="nil"/>
          <w:bottom w:val="nil"/>
          <w:right w:val="nil"/>
          <w:between w:val="nil"/>
        </w:pBdr>
        <w:spacing w:before="161"/>
        <w:jc w:val="both"/>
        <w:rPr>
          <w:b/>
          <w:bCs/>
          <w:color w:val="808080" w:themeColor="background1" w:themeShade="80"/>
          <w:sz w:val="28"/>
          <w:szCs w:val="28"/>
        </w:rPr>
      </w:pPr>
    </w:p>
    <w:p w14:paraId="46AFB4CE" w14:textId="69AD0A4A"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 xml:space="preserve">Указом Президента Российской Федерации №309 от 07.05.2024 «О национальных целях развития Российской Федерации на период до 2030 года и на перспективу до 2036 года» поставлена задача </w:t>
      </w:r>
      <w:r w:rsidRPr="00986688">
        <w:rPr>
          <w:color w:val="000000" w:themeColor="text1"/>
          <w:sz w:val="28"/>
          <w:szCs w:val="28"/>
          <w:highlight w:val="cyan"/>
          <w:lang w:val="ru-RU"/>
        </w:rPr>
        <w:t>увеличения капитализации фондового рынка не менее чем до 66% ВВП к 2030 году и до 75% ВВП к 2036 году</w:t>
      </w:r>
      <w:r w:rsidRPr="00986688">
        <w:rPr>
          <w:rStyle w:val="a7"/>
          <w:color w:val="000000" w:themeColor="text1"/>
          <w:sz w:val="28"/>
          <w:szCs w:val="28"/>
          <w:highlight w:val="cyan"/>
          <w:lang w:val="ru-RU"/>
        </w:rPr>
        <w:footnoteReference w:id="1"/>
      </w:r>
      <w:r w:rsidRPr="00986688">
        <w:rPr>
          <w:color w:val="000000" w:themeColor="text1"/>
          <w:sz w:val="28"/>
          <w:szCs w:val="28"/>
          <w:highlight w:val="cyan"/>
          <w:lang w:val="ru-RU"/>
        </w:rPr>
        <w:t>. По оценке НАУФОР, для достижения национальной цели необходимо привлечь</w:t>
      </w:r>
      <w:r w:rsidRPr="00502F26">
        <w:rPr>
          <w:color w:val="000000" w:themeColor="text1"/>
          <w:sz w:val="28"/>
          <w:szCs w:val="28"/>
          <w:lang w:val="ru-RU"/>
        </w:rPr>
        <w:t xml:space="preserve"> через IPO порядка 6,7 трлн рублей за пять лет </w:t>
      </w:r>
      <w:r w:rsidRPr="00502F26">
        <w:rPr>
          <w:color w:val="000000" w:themeColor="text1"/>
          <w:sz w:val="28"/>
          <w:szCs w:val="28"/>
        </w:rPr>
        <w:t>— против исторического уровня около 300–400 млрд рублей в год</w:t>
      </w:r>
      <w:r w:rsidRPr="00502F26">
        <w:rPr>
          <w:rStyle w:val="a7"/>
          <w:color w:val="000000" w:themeColor="text1"/>
          <w:sz w:val="28"/>
          <w:szCs w:val="28"/>
          <w:lang w:val="ru-RU"/>
        </w:rPr>
        <w:t xml:space="preserve"> </w:t>
      </w:r>
      <w:r>
        <w:rPr>
          <w:rStyle w:val="a7"/>
          <w:color w:val="000000" w:themeColor="text1"/>
          <w:sz w:val="28"/>
          <w:szCs w:val="28"/>
          <w:lang w:val="ru-RU"/>
        </w:rPr>
        <w:footnoteReference w:id="2"/>
      </w:r>
      <w:r w:rsidRPr="00502F26">
        <w:rPr>
          <w:color w:val="000000" w:themeColor="text1"/>
          <w:sz w:val="28"/>
          <w:szCs w:val="28"/>
          <w:lang w:val="ru-RU"/>
        </w:rPr>
        <w:t>. Масштаб стоящей задачи становится особенно очевиден при сопоставлении потенциальной базы и фактического результата: по оценке члена правления ВТБ Дмитрия Брейтенбихера, озвученной на полях ПМЭФ-2026, в России</w:t>
      </w:r>
      <w:r w:rsidR="00DA6458">
        <w:rPr>
          <w:color w:val="000000" w:themeColor="text1"/>
          <w:sz w:val="28"/>
          <w:szCs w:val="28"/>
          <w:lang w:val="ru-RU"/>
        </w:rPr>
        <w:t xml:space="preserve"> в 2026 </w:t>
      </w:r>
      <w:r w:rsidR="00DA6458" w:rsidRPr="00986688">
        <w:rPr>
          <w:color w:val="000000" w:themeColor="text1"/>
          <w:sz w:val="28"/>
          <w:szCs w:val="28"/>
          <w:highlight w:val="cyan"/>
          <w:lang w:val="ru-RU"/>
        </w:rPr>
        <w:t>году</w:t>
      </w:r>
      <w:r w:rsidRPr="00986688">
        <w:rPr>
          <w:color w:val="000000" w:themeColor="text1"/>
          <w:sz w:val="28"/>
          <w:szCs w:val="28"/>
          <w:highlight w:val="cyan"/>
          <w:lang w:val="ru-RU"/>
        </w:rPr>
        <w:t xml:space="preserve"> насчитывается свыше 35 тысяч компаний, зарабатывающих больше 1 млрд рублей в год, тогда как на бирже торгуется лишь около 260 из них</w:t>
      </w:r>
      <w:r w:rsidR="00DD692A" w:rsidRPr="00986688">
        <w:rPr>
          <w:rStyle w:val="a7"/>
          <w:color w:val="000000" w:themeColor="text1"/>
          <w:sz w:val="28"/>
          <w:szCs w:val="28"/>
          <w:highlight w:val="cyan"/>
          <w:lang w:val="ru-RU"/>
        </w:rPr>
        <w:footnoteReference w:id="3"/>
      </w:r>
      <w:r w:rsidRPr="00986688">
        <w:rPr>
          <w:color w:val="000000" w:themeColor="text1"/>
          <w:sz w:val="28"/>
          <w:szCs w:val="28"/>
          <w:highlight w:val="cyan"/>
          <w:lang w:val="ru-RU"/>
        </w:rPr>
        <w:t>.</w:t>
      </w:r>
      <w:r w:rsidRPr="00502F26">
        <w:rPr>
          <w:color w:val="000000" w:themeColor="text1"/>
          <w:sz w:val="28"/>
          <w:szCs w:val="28"/>
          <w:lang w:val="ru-RU"/>
        </w:rPr>
        <w:t xml:space="preserve"> Разрыв на два порядка между кругом компаний, теоретически способных претендовать на публичный статус, и кругом компаний, фактически его достигших, обнажает не столько дефицит потенциальных эмитентов, сколько системный барьер на пути их трансформации в публичные компании.</w:t>
      </w:r>
    </w:p>
    <w:p w14:paraId="570C0D55" w14:textId="77777777" w:rsidR="00AB384A" w:rsidRPr="00AB384A" w:rsidRDefault="00197FA5"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986688">
        <w:rPr>
          <w:color w:val="000000" w:themeColor="text1"/>
          <w:sz w:val="28"/>
          <w:szCs w:val="28"/>
          <w:highlight w:val="cyan"/>
        </w:rPr>
        <w:t>Достижение публичного статуса представляет собой не изолированное финансовое событие, а результат последовательной реализации стратегии развития компании,</w:t>
      </w:r>
      <w:r w:rsidRPr="00197FA5">
        <w:rPr>
          <w:color w:val="000000" w:themeColor="text1"/>
          <w:sz w:val="28"/>
          <w:szCs w:val="28"/>
        </w:rPr>
        <w:t xml:space="preserve"> требующей от менеджмента системного и стратегического, а не ситуативного мышления. Это мышление разворачивается на всём протяжении жизненного цикла компании — от привлечения венчурного капитала на ранних стадиях роста до подготовки к публичному размещению, — поскольку качество прохождения каждого предыдущего этапа формирует исходную базу для следующего. Форсировать этот процесс на последнем этапе невозможно в </w:t>
      </w:r>
      <w:r w:rsidRPr="00197FA5">
        <w:rPr>
          <w:color w:val="000000" w:themeColor="text1"/>
          <w:sz w:val="28"/>
          <w:szCs w:val="28"/>
        </w:rPr>
        <w:lastRenderedPageBreak/>
        <w:t xml:space="preserve">принципе, поскольку цена акции, которая формируется в момент размещения и определяет вклад компании в капитализацию рынка, — это не разовый результат подготовки к сделке, а капитализация ожидаемых будущих денежных потоков компании, накопленных годами, а нередко и десятилетиями предшествующих управленческих решений. Устойчивость выручки, предсказуемость маржи, качество корпоративного управления и прозрачность структуры собственности — всё то, что рынок в конечном счёте оценивает и закладывает в цену, — формируется постепенно, через накопленную историю, а не создаётся единовременно на этапе непосредственной подготовки к листингу. Если эта база выстраивалась в логике краткосрочной максимизации показателей — агрессивного признания выручки, отложенных инвестиций, непрозрачных сделок со связанными сторонами, — она не может быть исправлена за несколько месяцев интенсивной предпродажной подготовки: сам объект оценки, ради которого инвестор приходит в книгу заявок, к этому моменту уже сформирован, причём сформирован плохо. </w:t>
      </w:r>
    </w:p>
    <w:p w14:paraId="5718A54E" w14:textId="4D12D854" w:rsidR="00AE379D" w:rsidRPr="00AE379D" w:rsidRDefault="00AE379D" w:rsidP="00AB384A">
      <w:pPr>
        <w:pBdr>
          <w:top w:val="nil"/>
          <w:left w:val="nil"/>
          <w:bottom w:val="nil"/>
          <w:right w:val="nil"/>
          <w:between w:val="nil"/>
        </w:pBdr>
        <w:spacing w:line="360" w:lineRule="auto"/>
        <w:ind w:left="140" w:right="137" w:firstLine="708"/>
        <w:jc w:val="both"/>
        <w:rPr>
          <w:color w:val="000000" w:themeColor="text1"/>
          <w:sz w:val="28"/>
          <w:szCs w:val="28"/>
          <w:lang w:val="ru-RU"/>
        </w:rPr>
      </w:pPr>
      <w:r w:rsidRPr="00986688">
        <w:rPr>
          <w:color w:val="000000" w:themeColor="text1"/>
          <w:sz w:val="28"/>
          <w:szCs w:val="28"/>
          <w:highlight w:val="cyan"/>
        </w:rPr>
        <w:t>Показателен в этом смысле кейс KupiVIP</w:t>
      </w:r>
      <w:r w:rsidRPr="00AE379D">
        <w:rPr>
          <w:color w:val="000000" w:themeColor="text1"/>
          <w:sz w:val="28"/>
          <w:szCs w:val="28"/>
        </w:rPr>
        <w:t xml:space="preserve">: компания привлекла рекордные для российского рынка венчурные раунды от ведущих международных фондов и уже в 2012 году открыто заявляла о планах разместиться на бирже в течение трёх лет с целевой оценкой </w:t>
      </w:r>
      <w:r w:rsidR="00895001">
        <w:rPr>
          <w:color w:val="000000" w:themeColor="text1"/>
          <w:sz w:val="28"/>
          <w:szCs w:val="28"/>
          <w:lang w:val="ru-RU"/>
        </w:rPr>
        <w:t>до</w:t>
      </w:r>
      <w:r w:rsidRPr="00AE379D">
        <w:rPr>
          <w:color w:val="000000" w:themeColor="text1"/>
          <w:sz w:val="28"/>
          <w:szCs w:val="28"/>
        </w:rPr>
        <w:t xml:space="preserve"> $1 млрд</w:t>
      </w:r>
      <w:r w:rsidR="00895001">
        <w:rPr>
          <w:rStyle w:val="a7"/>
          <w:color w:val="000000" w:themeColor="text1"/>
          <w:sz w:val="28"/>
          <w:szCs w:val="28"/>
        </w:rPr>
        <w:footnoteReference w:id="4"/>
      </w:r>
      <w:r w:rsidRPr="00AE379D">
        <w:rPr>
          <w:color w:val="000000" w:themeColor="text1"/>
          <w:sz w:val="28"/>
          <w:szCs w:val="28"/>
        </w:rPr>
        <w:t xml:space="preserve"> — то есть по всем формальным признакам была сильным кандидатом на IPO, но, когда впоследствии попыталась перейти от </w:t>
      </w:r>
      <w:r w:rsidRPr="00986688">
        <w:rPr>
          <w:color w:val="000000" w:themeColor="text1"/>
          <w:sz w:val="28"/>
          <w:szCs w:val="28"/>
          <w:highlight w:val="cyan"/>
        </w:rPr>
        <w:t>агрессивного роста к устойчивой бизнес-модели, уже не смогла вернуть интерес инвесторов — короткая</w:t>
      </w:r>
      <w:r w:rsidRPr="00AE379D">
        <w:rPr>
          <w:color w:val="000000" w:themeColor="text1"/>
          <w:sz w:val="28"/>
          <w:szCs w:val="28"/>
        </w:rPr>
        <w:t xml:space="preserve"> стратегия захвата рынка, однажды выбранная, не позволила компании впоследствии перестроиться на путь, ведущий к устойчивой публичной готовности. </w:t>
      </w:r>
    </w:p>
    <w:p w14:paraId="33F22AE8" w14:textId="7D58EA12" w:rsidR="00197FA5" w:rsidRDefault="00AE379D" w:rsidP="00AB384A">
      <w:pPr>
        <w:pBdr>
          <w:top w:val="nil"/>
          <w:left w:val="nil"/>
          <w:bottom w:val="nil"/>
          <w:right w:val="nil"/>
          <w:between w:val="nil"/>
        </w:pBdr>
        <w:spacing w:line="360" w:lineRule="auto"/>
        <w:ind w:left="140" w:right="137" w:firstLine="708"/>
        <w:jc w:val="both"/>
        <w:rPr>
          <w:color w:val="000000" w:themeColor="text1"/>
          <w:sz w:val="28"/>
          <w:szCs w:val="28"/>
          <w:lang w:val="ru-RU"/>
        </w:rPr>
      </w:pPr>
      <w:r>
        <w:rPr>
          <w:color w:val="000000" w:themeColor="text1"/>
          <w:sz w:val="28"/>
          <w:szCs w:val="28"/>
          <w:lang w:val="ru-RU"/>
        </w:rPr>
        <w:t>Исходя из сказанного выше</w:t>
      </w:r>
      <w:r w:rsidR="00AB384A">
        <w:rPr>
          <w:color w:val="000000" w:themeColor="text1"/>
          <w:sz w:val="28"/>
          <w:szCs w:val="28"/>
          <w:lang w:val="ru-RU"/>
        </w:rPr>
        <w:t xml:space="preserve"> можно предположить, что</w:t>
      </w:r>
      <w:r w:rsidR="00197FA5" w:rsidRPr="00197FA5">
        <w:rPr>
          <w:color w:val="000000" w:themeColor="text1"/>
          <w:sz w:val="28"/>
          <w:szCs w:val="28"/>
        </w:rPr>
        <w:t xml:space="preserve"> компания не может выйти на IPO с короткой стратегией, компенсировав годы недостроенного управления несколькими месяцами формальной подготовки к сделке, — и именно поэтому государственная задача форсированного наращивания капитализации </w:t>
      </w:r>
      <w:r w:rsidR="00197FA5" w:rsidRPr="00986688">
        <w:rPr>
          <w:color w:val="000000" w:themeColor="text1"/>
          <w:sz w:val="28"/>
          <w:szCs w:val="28"/>
          <w:highlight w:val="cyan"/>
        </w:rPr>
        <w:lastRenderedPageBreak/>
        <w:t>рынка объективно наталкивается на предел, заданный самой природой стоимости, а не только на организационные или регуляторные барьеры.</w:t>
      </w:r>
      <w:r w:rsidR="00197FA5" w:rsidRPr="00197FA5">
        <w:rPr>
          <w:color w:val="000000" w:themeColor="text1"/>
          <w:sz w:val="28"/>
          <w:szCs w:val="28"/>
        </w:rPr>
        <w:t xml:space="preserve"> </w:t>
      </w:r>
    </w:p>
    <w:p w14:paraId="7970DA9D" w14:textId="797FB93C" w:rsidR="00197FA5" w:rsidRDefault="00197FA5"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197FA5">
        <w:rPr>
          <w:color w:val="000000" w:themeColor="text1"/>
          <w:sz w:val="28"/>
          <w:szCs w:val="28"/>
        </w:rPr>
        <w:t>Компания, ориентированная на привлечение институционального капитала на разных этапах, вынуждена выстраивать корпоративное управление, финансовую дисциплину и прозрачность бизнес-модели задолго до самой сделки — то есть готовность к капиталу является производной от качества стратегического управления компанией на всех предшествующих этапах её развития, а не техническим требованием, возникающим непосредственно перед размещением. Именно поэтому диагностика инвестиционной готовности приобретает управленческое, а не только оценочное значение: она позволяет менеджменту заблаговременно выявлять стратегические разрывы между текущим состоянием компании и требованиями рынка капитала, встраивая эту диагностику в общий контур стратегического планирования.</w:t>
      </w:r>
    </w:p>
    <w:p w14:paraId="32377C72" w14:textId="57231F33" w:rsidR="004B20A6" w:rsidRDefault="00EE1992"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EE1992">
        <w:rPr>
          <w:color w:val="000000" w:themeColor="text1"/>
          <w:sz w:val="28"/>
          <w:szCs w:val="28"/>
        </w:rPr>
        <w:t>Постепенное формирование готовности к капиталу на протяжении всего пути развития компании должно отражаться в характере конверсии между этапами привлечения капитала — от общей базы компаний к участникам венчурного рынка, далее к биржевым эмитентам и, наконец, к завершённым размещениям. Собственный анализ официальной статистики за 2023–2025 годы количественно прослеживает эту конверсию по каждому из этапов</w:t>
      </w:r>
      <w:r w:rsidR="004B20A6" w:rsidRPr="004B20A6">
        <w:rPr>
          <w:color w:val="000000" w:themeColor="text1"/>
          <w:sz w:val="28"/>
          <w:szCs w:val="28"/>
          <w:lang w:val="ru-RU"/>
        </w:rPr>
        <w:t>:</w:t>
      </w:r>
    </w:p>
    <w:p w14:paraId="0BFB70EE" w14:textId="563775CF" w:rsidR="003D6F6F" w:rsidRPr="003D6F6F" w:rsidRDefault="003D6F6F" w:rsidP="00B523E2">
      <w:pPr>
        <w:pBdr>
          <w:top w:val="nil"/>
          <w:left w:val="nil"/>
          <w:bottom w:val="nil"/>
          <w:right w:val="nil"/>
          <w:between w:val="nil"/>
        </w:pBdr>
        <w:spacing w:line="360" w:lineRule="auto"/>
        <w:ind w:left="140" w:right="137"/>
        <w:rPr>
          <w:color w:val="000000" w:themeColor="text1"/>
          <w:sz w:val="28"/>
          <w:szCs w:val="28"/>
          <w:lang w:val="ru-RU"/>
        </w:rPr>
      </w:pPr>
      <w:r w:rsidRPr="003D6F6F">
        <w:rPr>
          <w:color w:val="000000" w:themeColor="text1"/>
          <w:sz w:val="28"/>
          <w:szCs w:val="28"/>
        </w:rPr>
        <w:t>Таблица 1 – Динамика ключевых показателей воронки привлечения капитала в России, 2023–2025 гг.</w:t>
      </w:r>
    </w:p>
    <w:tbl>
      <w:tblPr>
        <w:tblStyle w:val="ab"/>
        <w:tblW w:w="0" w:type="auto"/>
        <w:tblLook w:val="04A0" w:firstRow="1" w:lastRow="0" w:firstColumn="1" w:lastColumn="0" w:noHBand="0" w:noVBand="1"/>
      </w:tblPr>
      <w:tblGrid>
        <w:gridCol w:w="2237"/>
        <w:gridCol w:w="1987"/>
        <w:gridCol w:w="2241"/>
        <w:gridCol w:w="1987"/>
        <w:gridCol w:w="1748"/>
      </w:tblGrid>
      <w:tr w:rsidR="00513EE3" w14:paraId="6E61C097" w14:textId="1AC23309" w:rsidTr="00513EE3">
        <w:tc>
          <w:tcPr>
            <w:tcW w:w="2237" w:type="dxa"/>
          </w:tcPr>
          <w:p w14:paraId="2C0A6D89" w14:textId="77777777" w:rsidR="00513EE3" w:rsidRPr="003D6F6F" w:rsidRDefault="00513EE3" w:rsidP="004B20A6">
            <w:pPr>
              <w:spacing w:line="360" w:lineRule="auto"/>
              <w:ind w:right="137"/>
              <w:jc w:val="both"/>
              <w:rPr>
                <w:color w:val="000000" w:themeColor="text1"/>
                <w:sz w:val="28"/>
                <w:szCs w:val="28"/>
                <w:lang w:val="ru-RU"/>
              </w:rPr>
            </w:pPr>
          </w:p>
        </w:tc>
        <w:tc>
          <w:tcPr>
            <w:tcW w:w="1987" w:type="dxa"/>
          </w:tcPr>
          <w:p w14:paraId="2718E8DA" w14:textId="5CD4DFA9" w:rsidR="00513EE3" w:rsidRDefault="00513EE3" w:rsidP="004B20A6">
            <w:pPr>
              <w:spacing w:line="360" w:lineRule="auto"/>
              <w:ind w:right="137"/>
              <w:jc w:val="both"/>
              <w:rPr>
                <w:color w:val="000000" w:themeColor="text1"/>
                <w:sz w:val="28"/>
                <w:szCs w:val="28"/>
                <w:lang w:val="en-US"/>
              </w:rPr>
            </w:pPr>
            <w:r>
              <w:rPr>
                <w:color w:val="000000" w:themeColor="text1"/>
                <w:sz w:val="28"/>
                <w:szCs w:val="28"/>
                <w:lang w:val="en-US"/>
              </w:rPr>
              <w:t>2023</w:t>
            </w:r>
          </w:p>
        </w:tc>
        <w:tc>
          <w:tcPr>
            <w:tcW w:w="2241" w:type="dxa"/>
          </w:tcPr>
          <w:p w14:paraId="01A9C300" w14:textId="204A8C4C" w:rsidR="00513EE3" w:rsidRDefault="00513EE3" w:rsidP="004B20A6">
            <w:pPr>
              <w:spacing w:line="360" w:lineRule="auto"/>
              <w:ind w:right="137"/>
              <w:jc w:val="both"/>
              <w:rPr>
                <w:color w:val="000000" w:themeColor="text1"/>
                <w:sz w:val="28"/>
                <w:szCs w:val="28"/>
                <w:lang w:val="en-US"/>
              </w:rPr>
            </w:pPr>
            <w:r>
              <w:rPr>
                <w:color w:val="000000" w:themeColor="text1"/>
                <w:sz w:val="28"/>
                <w:szCs w:val="28"/>
                <w:lang w:val="en-US"/>
              </w:rPr>
              <w:t>2024</w:t>
            </w:r>
          </w:p>
        </w:tc>
        <w:tc>
          <w:tcPr>
            <w:tcW w:w="1987" w:type="dxa"/>
          </w:tcPr>
          <w:p w14:paraId="68AA7545" w14:textId="3C80D20E" w:rsidR="00513EE3" w:rsidRDefault="00513EE3" w:rsidP="004B20A6">
            <w:pPr>
              <w:spacing w:line="360" w:lineRule="auto"/>
              <w:ind w:right="137"/>
              <w:jc w:val="both"/>
              <w:rPr>
                <w:color w:val="000000" w:themeColor="text1"/>
                <w:sz w:val="28"/>
                <w:szCs w:val="28"/>
                <w:lang w:val="en-US"/>
              </w:rPr>
            </w:pPr>
            <w:r>
              <w:rPr>
                <w:color w:val="000000" w:themeColor="text1"/>
                <w:sz w:val="28"/>
                <w:szCs w:val="28"/>
                <w:lang w:val="en-US"/>
              </w:rPr>
              <w:t>2025</w:t>
            </w:r>
          </w:p>
        </w:tc>
        <w:tc>
          <w:tcPr>
            <w:tcW w:w="1748" w:type="dxa"/>
          </w:tcPr>
          <w:p w14:paraId="272CA1C2" w14:textId="163E251D" w:rsidR="00513EE3" w:rsidRDefault="00513EE3" w:rsidP="004B20A6">
            <w:pPr>
              <w:spacing w:line="360" w:lineRule="auto"/>
              <w:ind w:right="137"/>
              <w:jc w:val="both"/>
              <w:rPr>
                <w:color w:val="000000" w:themeColor="text1"/>
                <w:sz w:val="28"/>
                <w:szCs w:val="28"/>
                <w:lang w:val="en-US"/>
              </w:rPr>
            </w:pPr>
            <w:r>
              <w:rPr>
                <w:color w:val="000000" w:themeColor="text1"/>
                <w:sz w:val="28"/>
                <w:szCs w:val="28"/>
                <w:lang w:val="en-US"/>
              </w:rPr>
              <w:t>2026</w:t>
            </w:r>
          </w:p>
        </w:tc>
      </w:tr>
      <w:tr w:rsidR="00513EE3" w14:paraId="07DC4A1C" w14:textId="10A4EC40" w:rsidTr="00513EE3">
        <w:tc>
          <w:tcPr>
            <w:tcW w:w="2237" w:type="dxa"/>
          </w:tcPr>
          <w:p w14:paraId="37265512" w14:textId="3C7828D0" w:rsidR="00513EE3" w:rsidRPr="004B20A6" w:rsidRDefault="00513EE3" w:rsidP="004B20A6">
            <w:pPr>
              <w:spacing w:line="360" w:lineRule="auto"/>
              <w:ind w:right="137"/>
              <w:jc w:val="both"/>
              <w:rPr>
                <w:color w:val="000000" w:themeColor="text1"/>
                <w:sz w:val="28"/>
                <w:szCs w:val="28"/>
                <w:lang w:val="ru-RU"/>
              </w:rPr>
            </w:pPr>
            <w:r w:rsidRPr="004B20A6">
              <w:rPr>
                <w:color w:val="000000" w:themeColor="text1"/>
                <w:sz w:val="28"/>
                <w:szCs w:val="28"/>
                <w:lang w:val="ru-RU"/>
              </w:rPr>
              <w:t>Всего юрлиц в России (</w:t>
            </w:r>
            <w:r>
              <w:rPr>
                <w:color w:val="000000" w:themeColor="text1"/>
                <w:sz w:val="28"/>
                <w:szCs w:val="28"/>
                <w:lang w:val="ru-RU"/>
              </w:rPr>
              <w:t>по состоянию на 1 января)</w:t>
            </w:r>
          </w:p>
        </w:tc>
        <w:tc>
          <w:tcPr>
            <w:tcW w:w="1987" w:type="dxa"/>
          </w:tcPr>
          <w:p w14:paraId="549A62E3" w14:textId="2AD64C10" w:rsidR="00513EE3" w:rsidRPr="004B20A6" w:rsidRDefault="00513EE3" w:rsidP="004B20A6">
            <w:pPr>
              <w:spacing w:line="360" w:lineRule="auto"/>
              <w:ind w:right="137"/>
              <w:jc w:val="both"/>
              <w:rPr>
                <w:color w:val="000000" w:themeColor="text1"/>
                <w:sz w:val="28"/>
                <w:szCs w:val="28"/>
                <w:lang w:val="ru-RU"/>
              </w:rPr>
            </w:pPr>
            <w:r w:rsidRPr="004B20A6">
              <w:rPr>
                <w:color w:val="000000" w:themeColor="text1"/>
                <w:sz w:val="28"/>
                <w:szCs w:val="28"/>
              </w:rPr>
              <w:t>3</w:t>
            </w:r>
            <w:r>
              <w:rPr>
                <w:color w:val="000000" w:themeColor="text1"/>
                <w:sz w:val="28"/>
                <w:szCs w:val="28"/>
                <w:lang w:val="ru-RU"/>
              </w:rPr>
              <w:t>,</w:t>
            </w:r>
            <w:r w:rsidRPr="004B20A6">
              <w:rPr>
                <w:color w:val="000000" w:themeColor="text1"/>
                <w:sz w:val="28"/>
                <w:szCs w:val="28"/>
              </w:rPr>
              <w:t>19</w:t>
            </w:r>
            <w:r>
              <w:rPr>
                <w:color w:val="000000" w:themeColor="text1"/>
                <w:sz w:val="28"/>
                <w:szCs w:val="28"/>
                <w:lang w:val="ru-RU"/>
              </w:rPr>
              <w:t xml:space="preserve"> млн</w:t>
            </w:r>
            <w:r>
              <w:rPr>
                <w:rStyle w:val="a7"/>
                <w:color w:val="000000" w:themeColor="text1"/>
                <w:sz w:val="28"/>
                <w:szCs w:val="28"/>
                <w:lang w:val="ru-RU"/>
              </w:rPr>
              <w:footnoteReference w:id="5"/>
            </w:r>
          </w:p>
        </w:tc>
        <w:tc>
          <w:tcPr>
            <w:tcW w:w="2241" w:type="dxa"/>
          </w:tcPr>
          <w:p w14:paraId="7176C811" w14:textId="77777777" w:rsidR="00513EE3" w:rsidRDefault="00513EE3" w:rsidP="004B20A6">
            <w:pPr>
              <w:spacing w:line="360" w:lineRule="auto"/>
              <w:ind w:right="137"/>
              <w:jc w:val="both"/>
              <w:rPr>
                <w:color w:val="000000" w:themeColor="text1"/>
                <w:sz w:val="28"/>
                <w:szCs w:val="28"/>
                <w:lang w:val="ru-RU"/>
              </w:rPr>
            </w:pPr>
            <w:r>
              <w:rPr>
                <w:color w:val="000000" w:themeColor="text1"/>
                <w:sz w:val="28"/>
                <w:szCs w:val="28"/>
                <w:lang w:val="ru-RU"/>
              </w:rPr>
              <w:t xml:space="preserve">3,17 млн </w:t>
            </w:r>
          </w:p>
          <w:p w14:paraId="41D08604" w14:textId="4E6E8417" w:rsidR="00513EE3" w:rsidRPr="004B20A6" w:rsidRDefault="00513EE3" w:rsidP="004B20A6">
            <w:pPr>
              <w:spacing w:line="360" w:lineRule="auto"/>
              <w:ind w:right="137"/>
              <w:jc w:val="both"/>
              <w:rPr>
                <w:color w:val="000000" w:themeColor="text1"/>
                <w:sz w:val="28"/>
                <w:szCs w:val="28"/>
                <w:lang w:val="ru-RU"/>
              </w:rPr>
            </w:pPr>
            <w:r>
              <w:rPr>
                <w:color w:val="000000" w:themeColor="text1"/>
                <w:sz w:val="28"/>
                <w:szCs w:val="28"/>
                <w:lang w:val="ru-RU"/>
              </w:rPr>
              <w:t>(расчет от показателя 2025 года)</w:t>
            </w:r>
          </w:p>
        </w:tc>
        <w:tc>
          <w:tcPr>
            <w:tcW w:w="1987" w:type="dxa"/>
          </w:tcPr>
          <w:p w14:paraId="77B22257" w14:textId="74E62BAF" w:rsidR="00513EE3" w:rsidRDefault="00513EE3" w:rsidP="004B20A6">
            <w:pPr>
              <w:spacing w:line="360" w:lineRule="auto"/>
              <w:ind w:right="137"/>
              <w:jc w:val="both"/>
              <w:rPr>
                <w:color w:val="000000" w:themeColor="text1"/>
                <w:sz w:val="28"/>
                <w:szCs w:val="28"/>
                <w:lang w:val="en-US"/>
              </w:rPr>
            </w:pPr>
            <w:r w:rsidRPr="004B20A6">
              <w:rPr>
                <w:color w:val="000000" w:themeColor="text1"/>
                <w:sz w:val="28"/>
                <w:szCs w:val="28"/>
              </w:rPr>
              <w:t>3,18 млн</w:t>
            </w:r>
            <w:r>
              <w:rPr>
                <w:rStyle w:val="a7"/>
                <w:color w:val="000000" w:themeColor="text1"/>
                <w:sz w:val="28"/>
                <w:szCs w:val="28"/>
              </w:rPr>
              <w:footnoteReference w:id="6"/>
            </w:r>
          </w:p>
        </w:tc>
        <w:tc>
          <w:tcPr>
            <w:tcW w:w="1748" w:type="dxa"/>
          </w:tcPr>
          <w:p w14:paraId="220818A3" w14:textId="77777777" w:rsidR="00513EE3" w:rsidRPr="004B20A6" w:rsidRDefault="00513EE3" w:rsidP="004B20A6">
            <w:pPr>
              <w:spacing w:line="360" w:lineRule="auto"/>
              <w:ind w:right="137"/>
              <w:jc w:val="both"/>
              <w:rPr>
                <w:color w:val="000000" w:themeColor="text1"/>
                <w:sz w:val="28"/>
                <w:szCs w:val="28"/>
              </w:rPr>
            </w:pPr>
          </w:p>
        </w:tc>
      </w:tr>
      <w:tr w:rsidR="00513EE3" w14:paraId="62619A9A" w14:textId="1D238DB2" w:rsidTr="00513EE3">
        <w:tc>
          <w:tcPr>
            <w:tcW w:w="2237" w:type="dxa"/>
          </w:tcPr>
          <w:p w14:paraId="2913DA3B" w14:textId="1B690B5B" w:rsidR="00513EE3" w:rsidRPr="00513EE3" w:rsidRDefault="00513EE3" w:rsidP="004B20A6">
            <w:pPr>
              <w:spacing w:line="360" w:lineRule="auto"/>
              <w:ind w:right="137"/>
              <w:jc w:val="both"/>
              <w:rPr>
                <w:color w:val="000000" w:themeColor="text1"/>
                <w:sz w:val="28"/>
                <w:szCs w:val="28"/>
                <w:lang w:val="ru-RU"/>
              </w:rPr>
            </w:pPr>
            <w:r>
              <w:rPr>
                <w:color w:val="000000" w:themeColor="text1"/>
                <w:sz w:val="28"/>
                <w:szCs w:val="28"/>
                <w:lang w:val="ru-RU"/>
              </w:rPr>
              <w:lastRenderedPageBreak/>
              <w:t>Юрлиц в сегменте МСП</w:t>
            </w:r>
          </w:p>
        </w:tc>
        <w:tc>
          <w:tcPr>
            <w:tcW w:w="1987" w:type="dxa"/>
          </w:tcPr>
          <w:p w14:paraId="79A7DCE7" w14:textId="2A3266C8" w:rsidR="00513EE3" w:rsidRPr="00513EE3" w:rsidRDefault="00513EE3" w:rsidP="004B20A6">
            <w:pPr>
              <w:spacing w:line="360" w:lineRule="auto"/>
              <w:ind w:right="137"/>
              <w:jc w:val="both"/>
              <w:rPr>
                <w:color w:val="000000" w:themeColor="text1"/>
                <w:sz w:val="28"/>
                <w:szCs w:val="28"/>
                <w:lang w:val="ru-RU"/>
              </w:rPr>
            </w:pPr>
            <w:r>
              <w:rPr>
                <w:color w:val="000000" w:themeColor="text1"/>
                <w:sz w:val="28"/>
                <w:szCs w:val="28"/>
                <w:lang w:val="ru-RU"/>
              </w:rPr>
              <w:t>2,3 млн</w:t>
            </w:r>
            <w:r>
              <w:rPr>
                <w:rStyle w:val="a7"/>
                <w:color w:val="000000" w:themeColor="text1"/>
                <w:sz w:val="28"/>
                <w:szCs w:val="28"/>
                <w:lang w:val="ru-RU"/>
              </w:rPr>
              <w:footnoteReference w:id="7"/>
            </w:r>
            <w:r>
              <w:rPr>
                <w:color w:val="000000" w:themeColor="text1"/>
                <w:sz w:val="28"/>
                <w:szCs w:val="28"/>
                <w:lang w:val="ru-RU"/>
              </w:rPr>
              <w:t xml:space="preserve"> </w:t>
            </w:r>
          </w:p>
        </w:tc>
        <w:tc>
          <w:tcPr>
            <w:tcW w:w="2241" w:type="dxa"/>
          </w:tcPr>
          <w:p w14:paraId="37D27118" w14:textId="33FDB9FB" w:rsidR="00162873" w:rsidRPr="00513EE3" w:rsidRDefault="00513EE3" w:rsidP="004B20A6">
            <w:pPr>
              <w:spacing w:line="360" w:lineRule="auto"/>
              <w:ind w:right="137"/>
              <w:jc w:val="both"/>
              <w:rPr>
                <w:color w:val="000000" w:themeColor="text1"/>
                <w:sz w:val="28"/>
                <w:szCs w:val="28"/>
                <w:lang w:val="ru-RU"/>
              </w:rPr>
            </w:pPr>
            <w:r>
              <w:rPr>
                <w:color w:val="000000" w:themeColor="text1"/>
                <w:sz w:val="28"/>
                <w:szCs w:val="28"/>
                <w:lang w:val="ru-RU"/>
              </w:rPr>
              <w:t>2,28 млн (расчет от показателя 2025 года)</w:t>
            </w:r>
          </w:p>
        </w:tc>
        <w:tc>
          <w:tcPr>
            <w:tcW w:w="1987" w:type="dxa"/>
          </w:tcPr>
          <w:p w14:paraId="1F498435" w14:textId="52061F86" w:rsidR="00513EE3" w:rsidRDefault="00513EE3" w:rsidP="004B20A6">
            <w:pPr>
              <w:spacing w:line="360" w:lineRule="auto"/>
              <w:ind w:right="137"/>
              <w:jc w:val="both"/>
              <w:rPr>
                <w:color w:val="000000" w:themeColor="text1"/>
                <w:sz w:val="28"/>
                <w:szCs w:val="28"/>
                <w:lang w:val="en-US"/>
              </w:rPr>
            </w:pPr>
            <w:r w:rsidRPr="00513EE3">
              <w:rPr>
                <w:color w:val="000000" w:themeColor="text1"/>
                <w:sz w:val="28"/>
                <w:szCs w:val="28"/>
              </w:rPr>
              <w:t>2,26 млн</w:t>
            </w:r>
            <w:r>
              <w:rPr>
                <w:rStyle w:val="a7"/>
                <w:color w:val="000000" w:themeColor="text1"/>
                <w:sz w:val="28"/>
                <w:szCs w:val="28"/>
              </w:rPr>
              <w:footnoteReference w:id="8"/>
            </w:r>
          </w:p>
        </w:tc>
        <w:tc>
          <w:tcPr>
            <w:tcW w:w="1748" w:type="dxa"/>
          </w:tcPr>
          <w:p w14:paraId="77FFB3BC" w14:textId="77777777" w:rsidR="00513EE3" w:rsidRDefault="00513EE3" w:rsidP="004B20A6">
            <w:pPr>
              <w:spacing w:line="360" w:lineRule="auto"/>
              <w:ind w:right="137"/>
              <w:jc w:val="both"/>
              <w:rPr>
                <w:color w:val="000000" w:themeColor="text1"/>
                <w:sz w:val="28"/>
                <w:szCs w:val="28"/>
                <w:lang w:val="en-US"/>
              </w:rPr>
            </w:pPr>
          </w:p>
        </w:tc>
      </w:tr>
      <w:tr w:rsidR="00513EE3" w14:paraId="79F64253" w14:textId="59517128" w:rsidTr="00513EE3">
        <w:tc>
          <w:tcPr>
            <w:tcW w:w="2237" w:type="dxa"/>
          </w:tcPr>
          <w:p w14:paraId="5574EC5F" w14:textId="3B450ADD" w:rsidR="00513EE3" w:rsidRPr="00940155" w:rsidRDefault="00940155" w:rsidP="004B20A6">
            <w:pPr>
              <w:spacing w:line="360" w:lineRule="auto"/>
              <w:ind w:right="137"/>
              <w:jc w:val="both"/>
              <w:rPr>
                <w:color w:val="000000" w:themeColor="text1"/>
                <w:sz w:val="28"/>
                <w:szCs w:val="28"/>
                <w:lang w:val="ru-RU"/>
              </w:rPr>
            </w:pPr>
            <w:r>
              <w:rPr>
                <w:color w:val="000000" w:themeColor="text1"/>
                <w:sz w:val="28"/>
                <w:szCs w:val="28"/>
                <w:lang w:val="ru-RU"/>
              </w:rPr>
              <w:t>Венчурные сделки</w:t>
            </w:r>
          </w:p>
        </w:tc>
        <w:tc>
          <w:tcPr>
            <w:tcW w:w="1987" w:type="dxa"/>
          </w:tcPr>
          <w:p w14:paraId="019CDDF8" w14:textId="14A4BBAE" w:rsidR="00513EE3" w:rsidRPr="004D333B" w:rsidRDefault="00940155" w:rsidP="004B20A6">
            <w:pPr>
              <w:spacing w:line="360" w:lineRule="auto"/>
              <w:ind w:right="137"/>
              <w:jc w:val="both"/>
              <w:rPr>
                <w:color w:val="000000" w:themeColor="text1"/>
                <w:sz w:val="28"/>
                <w:szCs w:val="28"/>
                <w:lang w:val="ru-RU"/>
              </w:rPr>
            </w:pPr>
            <w:r>
              <w:rPr>
                <w:color w:val="000000" w:themeColor="text1"/>
                <w:sz w:val="28"/>
                <w:szCs w:val="28"/>
                <w:lang w:val="ru-RU"/>
              </w:rPr>
              <w:t>175</w:t>
            </w:r>
            <w:r>
              <w:rPr>
                <w:rStyle w:val="a7"/>
                <w:color w:val="000000" w:themeColor="text1"/>
                <w:sz w:val="28"/>
                <w:szCs w:val="28"/>
                <w:lang w:val="ru-RU"/>
              </w:rPr>
              <w:footnoteReference w:id="9"/>
            </w:r>
          </w:p>
        </w:tc>
        <w:tc>
          <w:tcPr>
            <w:tcW w:w="2241" w:type="dxa"/>
          </w:tcPr>
          <w:p w14:paraId="79FC2452" w14:textId="52528FB4" w:rsidR="00513EE3" w:rsidRPr="004D333B" w:rsidRDefault="004D333B" w:rsidP="004B20A6">
            <w:pPr>
              <w:spacing w:line="360" w:lineRule="auto"/>
              <w:ind w:right="137"/>
              <w:jc w:val="both"/>
              <w:rPr>
                <w:color w:val="000000" w:themeColor="text1"/>
                <w:sz w:val="28"/>
                <w:szCs w:val="28"/>
                <w:lang w:val="en-US"/>
              </w:rPr>
            </w:pPr>
            <w:r>
              <w:rPr>
                <w:color w:val="000000" w:themeColor="text1"/>
                <w:sz w:val="28"/>
                <w:szCs w:val="28"/>
                <w:lang w:val="ru-RU"/>
              </w:rPr>
              <w:t>176</w:t>
            </w:r>
            <w:r>
              <w:rPr>
                <w:rStyle w:val="a7"/>
                <w:color w:val="000000" w:themeColor="text1"/>
                <w:sz w:val="28"/>
                <w:szCs w:val="28"/>
                <w:lang w:val="ru-RU"/>
              </w:rPr>
              <w:footnoteReference w:id="10"/>
            </w:r>
          </w:p>
        </w:tc>
        <w:tc>
          <w:tcPr>
            <w:tcW w:w="1987" w:type="dxa"/>
          </w:tcPr>
          <w:p w14:paraId="590A4497" w14:textId="4EAB9082" w:rsidR="00513EE3" w:rsidRDefault="003C1B72" w:rsidP="004B20A6">
            <w:pPr>
              <w:spacing w:line="360" w:lineRule="auto"/>
              <w:ind w:right="137"/>
              <w:jc w:val="both"/>
              <w:rPr>
                <w:color w:val="000000" w:themeColor="text1"/>
                <w:sz w:val="28"/>
                <w:szCs w:val="28"/>
                <w:lang w:val="en-US"/>
              </w:rPr>
            </w:pPr>
            <w:r>
              <w:rPr>
                <w:color w:val="000000" w:themeColor="text1"/>
                <w:sz w:val="28"/>
                <w:szCs w:val="28"/>
                <w:lang w:val="en-US"/>
              </w:rPr>
              <w:t>102</w:t>
            </w:r>
            <w:r>
              <w:rPr>
                <w:rStyle w:val="a7"/>
                <w:color w:val="000000" w:themeColor="text1"/>
                <w:sz w:val="28"/>
                <w:szCs w:val="28"/>
                <w:lang w:val="en-US"/>
              </w:rPr>
              <w:footnoteReference w:id="11"/>
            </w:r>
          </w:p>
        </w:tc>
        <w:tc>
          <w:tcPr>
            <w:tcW w:w="1748" w:type="dxa"/>
          </w:tcPr>
          <w:p w14:paraId="246EE2F9" w14:textId="77777777" w:rsidR="00513EE3" w:rsidRDefault="00513EE3" w:rsidP="004B20A6">
            <w:pPr>
              <w:spacing w:line="360" w:lineRule="auto"/>
              <w:ind w:right="137"/>
              <w:jc w:val="both"/>
              <w:rPr>
                <w:color w:val="000000" w:themeColor="text1"/>
                <w:sz w:val="28"/>
                <w:szCs w:val="28"/>
                <w:lang w:val="en-US"/>
              </w:rPr>
            </w:pPr>
          </w:p>
        </w:tc>
      </w:tr>
      <w:tr w:rsidR="00162873" w:rsidRPr="00BC3025" w14:paraId="051A0441" w14:textId="77777777" w:rsidTr="00513EE3">
        <w:tc>
          <w:tcPr>
            <w:tcW w:w="2237" w:type="dxa"/>
          </w:tcPr>
          <w:p w14:paraId="004A1A11" w14:textId="6107C649" w:rsidR="00162873" w:rsidRPr="00BC3025" w:rsidRDefault="00EA0C61" w:rsidP="004B20A6">
            <w:pPr>
              <w:spacing w:line="360" w:lineRule="auto"/>
              <w:ind w:right="137"/>
              <w:jc w:val="both"/>
              <w:rPr>
                <w:color w:val="000000" w:themeColor="text1"/>
                <w:sz w:val="28"/>
                <w:szCs w:val="28"/>
                <w:lang w:val="ru-RU"/>
              </w:rPr>
            </w:pPr>
            <w:r w:rsidRPr="00EA0C61">
              <w:rPr>
                <w:color w:val="000000" w:themeColor="text1"/>
                <w:sz w:val="28"/>
                <w:szCs w:val="28"/>
              </w:rPr>
              <w:t>Компании, торгующиеся на бирже (эмитенты акций)</w:t>
            </w:r>
          </w:p>
        </w:tc>
        <w:tc>
          <w:tcPr>
            <w:tcW w:w="1987" w:type="dxa"/>
          </w:tcPr>
          <w:p w14:paraId="35D6B0AE" w14:textId="5E4FFE86" w:rsidR="00162873" w:rsidRPr="00BC3025" w:rsidRDefault="00C76C93" w:rsidP="004B20A6">
            <w:pPr>
              <w:spacing w:line="360" w:lineRule="auto"/>
              <w:ind w:right="137"/>
              <w:jc w:val="both"/>
              <w:rPr>
                <w:color w:val="000000" w:themeColor="text1"/>
                <w:sz w:val="28"/>
                <w:szCs w:val="28"/>
                <w:lang w:val="ru-RU"/>
              </w:rPr>
            </w:pPr>
            <w:r>
              <w:rPr>
                <w:color w:val="000000" w:themeColor="text1"/>
                <w:sz w:val="28"/>
                <w:szCs w:val="28"/>
                <w:lang w:val="ru-RU"/>
              </w:rPr>
              <w:t>194</w:t>
            </w:r>
            <w:r>
              <w:rPr>
                <w:rStyle w:val="a7"/>
                <w:color w:val="000000" w:themeColor="text1"/>
                <w:sz w:val="28"/>
                <w:szCs w:val="28"/>
                <w:lang w:val="ru-RU"/>
              </w:rPr>
              <w:footnoteReference w:id="12"/>
            </w:r>
          </w:p>
        </w:tc>
        <w:tc>
          <w:tcPr>
            <w:tcW w:w="2241" w:type="dxa"/>
          </w:tcPr>
          <w:p w14:paraId="0844C707" w14:textId="7316C690" w:rsidR="00162873" w:rsidRPr="00EA0C61" w:rsidRDefault="00EA0C61" w:rsidP="004B20A6">
            <w:pPr>
              <w:spacing w:line="360" w:lineRule="auto"/>
              <w:ind w:right="137"/>
              <w:jc w:val="both"/>
              <w:rPr>
                <w:color w:val="000000" w:themeColor="text1"/>
                <w:sz w:val="28"/>
                <w:szCs w:val="28"/>
                <w:lang w:val="en-US"/>
              </w:rPr>
            </w:pPr>
            <w:r>
              <w:rPr>
                <w:color w:val="000000" w:themeColor="text1"/>
                <w:sz w:val="28"/>
                <w:szCs w:val="28"/>
                <w:lang w:val="en-US"/>
              </w:rPr>
              <w:t>218</w:t>
            </w:r>
            <w:r>
              <w:rPr>
                <w:rStyle w:val="a7"/>
                <w:color w:val="000000" w:themeColor="text1"/>
                <w:sz w:val="28"/>
                <w:szCs w:val="28"/>
                <w:lang w:val="en-US"/>
              </w:rPr>
              <w:footnoteReference w:id="13"/>
            </w:r>
          </w:p>
        </w:tc>
        <w:tc>
          <w:tcPr>
            <w:tcW w:w="1987" w:type="dxa"/>
          </w:tcPr>
          <w:p w14:paraId="519401CD" w14:textId="54F48C5B" w:rsidR="00162873" w:rsidRPr="00EA0C61" w:rsidRDefault="00EA0C61" w:rsidP="004B20A6">
            <w:pPr>
              <w:spacing w:line="360" w:lineRule="auto"/>
              <w:ind w:right="137"/>
              <w:jc w:val="both"/>
              <w:rPr>
                <w:color w:val="000000" w:themeColor="text1"/>
                <w:sz w:val="28"/>
                <w:szCs w:val="28"/>
                <w:lang w:val="en-US"/>
              </w:rPr>
            </w:pPr>
            <w:r>
              <w:rPr>
                <w:color w:val="000000" w:themeColor="text1"/>
                <w:sz w:val="28"/>
                <w:szCs w:val="28"/>
                <w:lang w:val="en-US"/>
              </w:rPr>
              <w:t>215</w:t>
            </w:r>
            <w:r>
              <w:rPr>
                <w:rStyle w:val="a7"/>
                <w:color w:val="000000" w:themeColor="text1"/>
                <w:sz w:val="28"/>
                <w:szCs w:val="28"/>
                <w:lang w:val="en-US"/>
              </w:rPr>
              <w:footnoteReference w:id="14"/>
            </w:r>
          </w:p>
        </w:tc>
        <w:tc>
          <w:tcPr>
            <w:tcW w:w="1748" w:type="dxa"/>
          </w:tcPr>
          <w:p w14:paraId="36160065" w14:textId="77777777" w:rsidR="00162873" w:rsidRPr="00BC3025" w:rsidRDefault="00162873" w:rsidP="004B20A6">
            <w:pPr>
              <w:spacing w:line="360" w:lineRule="auto"/>
              <w:ind w:right="137"/>
              <w:jc w:val="both"/>
              <w:rPr>
                <w:color w:val="000000" w:themeColor="text1"/>
                <w:sz w:val="28"/>
                <w:szCs w:val="28"/>
                <w:lang w:val="ru-RU"/>
              </w:rPr>
            </w:pPr>
          </w:p>
        </w:tc>
      </w:tr>
      <w:tr w:rsidR="00162873" w:rsidRPr="00BC3025" w14:paraId="10646CCB" w14:textId="77777777" w:rsidTr="00513EE3">
        <w:tc>
          <w:tcPr>
            <w:tcW w:w="2237" w:type="dxa"/>
          </w:tcPr>
          <w:p w14:paraId="4ED2EB7A" w14:textId="1AF7DD5F" w:rsidR="00162873" w:rsidRPr="00162873" w:rsidRDefault="00162873" w:rsidP="004B20A6">
            <w:pPr>
              <w:spacing w:line="360" w:lineRule="auto"/>
              <w:ind w:right="137"/>
              <w:jc w:val="both"/>
              <w:rPr>
                <w:color w:val="000000" w:themeColor="text1"/>
                <w:sz w:val="28"/>
                <w:szCs w:val="28"/>
                <w:lang w:val="en-US"/>
              </w:rPr>
            </w:pPr>
            <w:r>
              <w:rPr>
                <w:color w:val="000000" w:themeColor="text1"/>
                <w:sz w:val="28"/>
                <w:szCs w:val="28"/>
                <w:lang w:val="ru-RU"/>
              </w:rPr>
              <w:t xml:space="preserve">Количество IPO в периоде </w:t>
            </w:r>
          </w:p>
        </w:tc>
        <w:tc>
          <w:tcPr>
            <w:tcW w:w="1987" w:type="dxa"/>
          </w:tcPr>
          <w:p w14:paraId="0CA07FAA" w14:textId="3522881E" w:rsidR="00162873" w:rsidRPr="00BC3025" w:rsidRDefault="00162873" w:rsidP="004B20A6">
            <w:pPr>
              <w:spacing w:line="360" w:lineRule="auto"/>
              <w:ind w:right="137"/>
              <w:jc w:val="both"/>
              <w:rPr>
                <w:color w:val="000000" w:themeColor="text1"/>
                <w:sz w:val="28"/>
                <w:szCs w:val="28"/>
                <w:lang w:val="ru-RU"/>
              </w:rPr>
            </w:pPr>
            <w:r>
              <w:rPr>
                <w:color w:val="000000" w:themeColor="text1"/>
                <w:sz w:val="28"/>
                <w:szCs w:val="28"/>
                <w:lang w:val="ru-RU"/>
              </w:rPr>
              <w:t>8</w:t>
            </w:r>
            <w:r>
              <w:rPr>
                <w:rStyle w:val="a7"/>
                <w:color w:val="000000" w:themeColor="text1"/>
                <w:sz w:val="28"/>
                <w:szCs w:val="28"/>
                <w:lang w:val="ru-RU"/>
              </w:rPr>
              <w:footnoteReference w:id="15"/>
            </w:r>
          </w:p>
        </w:tc>
        <w:tc>
          <w:tcPr>
            <w:tcW w:w="2241" w:type="dxa"/>
          </w:tcPr>
          <w:p w14:paraId="044E5628" w14:textId="5B5ACA42" w:rsidR="00162873" w:rsidRPr="00BC3025" w:rsidRDefault="00162873" w:rsidP="004B20A6">
            <w:pPr>
              <w:spacing w:line="360" w:lineRule="auto"/>
              <w:ind w:right="137"/>
              <w:jc w:val="both"/>
              <w:rPr>
                <w:color w:val="000000" w:themeColor="text1"/>
                <w:sz w:val="28"/>
                <w:szCs w:val="28"/>
                <w:lang w:val="ru-RU"/>
              </w:rPr>
            </w:pPr>
            <w:r>
              <w:rPr>
                <w:color w:val="000000" w:themeColor="text1"/>
                <w:sz w:val="28"/>
                <w:szCs w:val="28"/>
                <w:lang w:val="ru-RU"/>
              </w:rPr>
              <w:t>13</w:t>
            </w:r>
            <w:r w:rsidR="0065723E">
              <w:rPr>
                <w:rStyle w:val="a7"/>
                <w:color w:val="000000" w:themeColor="text1"/>
                <w:sz w:val="28"/>
                <w:szCs w:val="28"/>
                <w:lang w:val="ru-RU"/>
              </w:rPr>
              <w:footnoteReference w:id="16"/>
            </w:r>
          </w:p>
        </w:tc>
        <w:tc>
          <w:tcPr>
            <w:tcW w:w="1987" w:type="dxa"/>
          </w:tcPr>
          <w:p w14:paraId="4C4BF540" w14:textId="2017A603" w:rsidR="00162873" w:rsidRPr="00BC3025" w:rsidRDefault="00162873" w:rsidP="004B20A6">
            <w:pPr>
              <w:spacing w:line="360" w:lineRule="auto"/>
              <w:ind w:right="137"/>
              <w:jc w:val="both"/>
              <w:rPr>
                <w:color w:val="000000" w:themeColor="text1"/>
                <w:sz w:val="28"/>
                <w:szCs w:val="28"/>
                <w:lang w:val="ru-RU"/>
              </w:rPr>
            </w:pPr>
            <w:r>
              <w:rPr>
                <w:color w:val="000000" w:themeColor="text1"/>
                <w:sz w:val="28"/>
                <w:szCs w:val="28"/>
                <w:lang w:val="ru-RU"/>
              </w:rPr>
              <w:t>3</w:t>
            </w:r>
            <w:r w:rsidR="0065723E">
              <w:rPr>
                <w:rStyle w:val="a7"/>
                <w:color w:val="000000" w:themeColor="text1"/>
                <w:sz w:val="28"/>
                <w:szCs w:val="28"/>
                <w:lang w:val="ru-RU"/>
              </w:rPr>
              <w:footnoteReference w:id="17"/>
            </w:r>
          </w:p>
        </w:tc>
        <w:tc>
          <w:tcPr>
            <w:tcW w:w="1748" w:type="dxa"/>
          </w:tcPr>
          <w:p w14:paraId="190C8559" w14:textId="77777777" w:rsidR="00162873" w:rsidRPr="00BC3025" w:rsidRDefault="00162873" w:rsidP="004B20A6">
            <w:pPr>
              <w:spacing w:line="360" w:lineRule="auto"/>
              <w:ind w:right="137"/>
              <w:jc w:val="both"/>
              <w:rPr>
                <w:color w:val="000000" w:themeColor="text1"/>
                <w:sz w:val="28"/>
                <w:szCs w:val="28"/>
                <w:lang w:val="ru-RU"/>
              </w:rPr>
            </w:pPr>
          </w:p>
        </w:tc>
      </w:tr>
    </w:tbl>
    <w:p w14:paraId="0EE01148" w14:textId="77777777" w:rsidR="003D6F6F" w:rsidRPr="003D6F6F" w:rsidRDefault="003D6F6F" w:rsidP="00E334D0">
      <w:pPr>
        <w:pBdr>
          <w:top w:val="nil"/>
          <w:left w:val="nil"/>
          <w:bottom w:val="nil"/>
          <w:right w:val="nil"/>
          <w:between w:val="nil"/>
        </w:pBdr>
        <w:spacing w:line="360" w:lineRule="auto"/>
        <w:ind w:left="140" w:right="137" w:firstLine="708"/>
        <w:jc w:val="both"/>
        <w:rPr>
          <w:i/>
          <w:iCs/>
          <w:color w:val="000000" w:themeColor="text1"/>
          <w:sz w:val="28"/>
          <w:szCs w:val="28"/>
          <w:lang w:val="ru-RU"/>
        </w:rPr>
      </w:pPr>
      <w:r w:rsidRPr="003D6F6F">
        <w:rPr>
          <w:i/>
          <w:iCs/>
          <w:color w:val="000000" w:themeColor="text1"/>
          <w:sz w:val="28"/>
          <w:szCs w:val="28"/>
        </w:rPr>
        <w:t>Источник: составлено автором на основе данных Единого реестра субъектов малого и среднего предпринимательства, Московской Биржи, компании Dsight и Контур.Фокус.</w:t>
      </w:r>
    </w:p>
    <w:p w14:paraId="474CBF7D" w14:textId="1A61A495" w:rsidR="00E334D0" w:rsidRPr="00E334D0" w:rsidRDefault="00E334D0" w:rsidP="00E334D0">
      <w:pPr>
        <w:pBdr>
          <w:top w:val="nil"/>
          <w:left w:val="nil"/>
          <w:bottom w:val="nil"/>
          <w:right w:val="nil"/>
          <w:between w:val="nil"/>
        </w:pBdr>
        <w:spacing w:line="360" w:lineRule="auto"/>
        <w:ind w:left="140" w:right="137" w:firstLine="708"/>
        <w:jc w:val="both"/>
        <w:rPr>
          <w:color w:val="000000" w:themeColor="text1"/>
          <w:sz w:val="28"/>
          <w:szCs w:val="28"/>
          <w:lang w:val="ru-RU"/>
        </w:rPr>
      </w:pPr>
      <w:r w:rsidRPr="00E334D0">
        <w:rPr>
          <w:color w:val="000000" w:themeColor="text1"/>
          <w:sz w:val="28"/>
          <w:szCs w:val="28"/>
          <w:lang w:val="ru-RU"/>
        </w:rPr>
        <w:t xml:space="preserve">Собственный анализ </w:t>
      </w:r>
      <w:r w:rsidR="00B523E2">
        <w:rPr>
          <w:color w:val="000000" w:themeColor="text1"/>
          <w:sz w:val="28"/>
          <w:szCs w:val="28"/>
          <w:lang w:val="ru-RU"/>
        </w:rPr>
        <w:t>показывает</w:t>
      </w:r>
      <w:r w:rsidRPr="00E334D0">
        <w:rPr>
          <w:color w:val="000000" w:themeColor="text1"/>
          <w:sz w:val="28"/>
          <w:szCs w:val="28"/>
          <w:lang w:val="ru-RU"/>
        </w:rPr>
        <w:t xml:space="preserve">, что узкое место находится не на входе воронки, а на всех последующих этапах конверсии. База потенциальных участников рынка капитала — общее число юридических лиц (≈3,18-3,19 млн) и юрлиц в сегменте МСП (≈2,26-2,3 млн) — остаётся практически неизменной на </w:t>
      </w:r>
      <w:r w:rsidRPr="00E334D0">
        <w:rPr>
          <w:color w:val="000000" w:themeColor="text1"/>
          <w:sz w:val="28"/>
          <w:szCs w:val="28"/>
          <w:lang w:val="ru-RU"/>
        </w:rPr>
        <w:lastRenderedPageBreak/>
        <w:t xml:space="preserve">протяжении всех трёх лет, колеблясь в пределах статистической погрешности. При этом каждый последующий этап цепочки привлечения капитала демонстрирует не рост, а нестабильность и сжатие: число венчурных сделок, продержавшись на уровне 175-176 в 2023-2024 годах, обрушилось до 102 в 2025-м; число компаний, реально торгующихся на бирже, колеблется в узком диапазоне 194-218 без выраженной тенденции к росту; количество новых </w:t>
      </w:r>
      <w:r w:rsidRPr="00E334D0">
        <w:rPr>
          <w:color w:val="000000" w:themeColor="text1"/>
          <w:sz w:val="28"/>
          <w:szCs w:val="28"/>
          <w:lang w:val="en-US"/>
        </w:rPr>
        <w:t>IPO</w:t>
      </w:r>
      <w:r w:rsidRPr="00E334D0">
        <w:rPr>
          <w:color w:val="000000" w:themeColor="text1"/>
          <w:sz w:val="28"/>
          <w:szCs w:val="28"/>
          <w:lang w:val="ru-RU"/>
        </w:rPr>
        <w:t xml:space="preserve"> упало с 13 в 2024 году до всего 3 в 2025-м.</w:t>
      </w:r>
    </w:p>
    <w:p w14:paraId="665B001D" w14:textId="77777777" w:rsidR="00E334D0" w:rsidRPr="00E334D0" w:rsidRDefault="00E334D0" w:rsidP="00E334D0">
      <w:pPr>
        <w:pBdr>
          <w:top w:val="nil"/>
          <w:left w:val="nil"/>
          <w:bottom w:val="nil"/>
          <w:right w:val="nil"/>
          <w:between w:val="nil"/>
        </w:pBdr>
        <w:spacing w:line="360" w:lineRule="auto"/>
        <w:ind w:left="140" w:right="137" w:firstLine="708"/>
        <w:jc w:val="both"/>
        <w:rPr>
          <w:color w:val="000000" w:themeColor="text1"/>
          <w:sz w:val="28"/>
          <w:szCs w:val="28"/>
          <w:lang w:val="ru-RU"/>
        </w:rPr>
      </w:pPr>
      <w:r w:rsidRPr="00E334D0">
        <w:rPr>
          <w:color w:val="000000" w:themeColor="text1"/>
          <w:sz w:val="28"/>
          <w:szCs w:val="28"/>
          <w:lang w:val="ru-RU"/>
        </w:rPr>
        <w:t>Это сочетание — стабильная, не сжимающаяся база потенциальных кандидатов и одновременно нестабильная, сжимающаяся конверсия на каждом следующем этапе — прямо свидетельствует о том, что причина разрыва не в дефиците компаний, способных претендовать на капитал, а в отсутствии формализованного механизма, который надёжно проводил бы их через последовательные этапы готовности. Именно этот разрыв — между стабильным предложением компаний и нестабильной, непредсказуемой их конверсией в участников рынка капитала — и обосновывает необходимость разработки комплексной методики диагностики инвестиционной готовности компании на каждом из ключевых этапов привлечения капитала, а не только в момент, непосредственно предшествующий размещению.</w:t>
      </w:r>
    </w:p>
    <w:p w14:paraId="12A8E903" w14:textId="2733C458" w:rsidR="0055372C" w:rsidRPr="0055372C" w:rsidRDefault="0055372C"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5372C">
        <w:rPr>
          <w:color w:val="000000" w:themeColor="text1"/>
          <w:sz w:val="28"/>
          <w:szCs w:val="28"/>
        </w:rPr>
        <w:t xml:space="preserve">Если готовность к публичному статусу формируется на протяжении всего пути компании, а не в момент самой сделки, то качество привлечения капитала на </w:t>
      </w:r>
      <w:r>
        <w:rPr>
          <w:color w:val="000000" w:themeColor="text1"/>
          <w:sz w:val="28"/>
          <w:szCs w:val="28"/>
          <w:lang w:val="ru-RU"/>
        </w:rPr>
        <w:t>более</w:t>
      </w:r>
      <w:r w:rsidRPr="0055372C">
        <w:rPr>
          <w:color w:val="000000" w:themeColor="text1"/>
          <w:sz w:val="28"/>
          <w:szCs w:val="28"/>
        </w:rPr>
        <w:t xml:space="preserve"> ранних, венчурных этапах приобретает не меньшее значение, чем подготовка непосредственно к IPO: именно сегодняшние венчурные сделки формируют тот резерв компаний, из которого через два-три года должны появиться кандидаты на pre-IPO и размещение. Ослабление притока и качества подготовки на входе этой цепочки закономерно транслируется в дефицит готовых к размещению компаний на её выходе. Показательно, что государственная политика признаёт эту взаимозависимость этапов официально: Стратегия развития финансового рынка Российской Федерации до 2030 года, подготовленная Минфином России совместно с Банком России, прямо закрепляет развитие венчурного финансирования как самостоятельное направление наряду с развитием рынка капитала и долевого </w:t>
      </w:r>
      <w:r w:rsidRPr="0055372C">
        <w:rPr>
          <w:color w:val="000000" w:themeColor="text1"/>
          <w:sz w:val="28"/>
          <w:szCs w:val="28"/>
        </w:rPr>
        <w:lastRenderedPageBreak/>
        <w:t>финансирования</w:t>
      </w:r>
      <w:r>
        <w:rPr>
          <w:rStyle w:val="a7"/>
          <w:color w:val="000000" w:themeColor="text1"/>
          <w:sz w:val="28"/>
          <w:szCs w:val="28"/>
        </w:rPr>
        <w:footnoteReference w:id="18"/>
      </w:r>
      <w:r w:rsidRPr="0055372C">
        <w:rPr>
          <w:color w:val="000000" w:themeColor="text1"/>
          <w:sz w:val="28"/>
          <w:szCs w:val="28"/>
        </w:rPr>
        <w:t xml:space="preserve"> — то есть венчур и IPO рассматриваются не как отдельные, несвязанные сегменты рынка, а как последовательные звенья одной цепи.</w:t>
      </w:r>
    </w:p>
    <w:p w14:paraId="1BA7B96A" w14:textId="43A9297D" w:rsidR="00502F26" w:rsidRPr="002C3C51" w:rsidRDefault="00502F26" w:rsidP="00DA57A1">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Между тем именно на этом более раннем участке в 2025 году зафиксирован системный спад. По данным аналитической компании Dsight, представленным на Российском венчурном форуме в апреле 2026 года, российский венчурный рынок завершил год с показателями 2009–2011 годов: зафиксировано 102 сделки на общую сумму 159 млн долларов — на 40% меньше по количеству и на 10% меньше по объёму, чем в 2024 году</w:t>
      </w:r>
      <w:r w:rsidR="002C3C51">
        <w:rPr>
          <w:rStyle w:val="a7"/>
          <w:color w:val="000000" w:themeColor="text1"/>
          <w:sz w:val="28"/>
          <w:szCs w:val="28"/>
          <w:lang w:val="ru-RU"/>
        </w:rPr>
        <w:footnoteReference w:id="19"/>
      </w:r>
      <w:r w:rsidRPr="00502F26">
        <w:rPr>
          <w:color w:val="000000" w:themeColor="text1"/>
          <w:sz w:val="28"/>
          <w:szCs w:val="28"/>
          <w:lang w:val="ru-RU"/>
        </w:rPr>
        <w:t xml:space="preserve">. </w:t>
      </w:r>
      <w:r w:rsidR="00DA57A1" w:rsidRPr="00DA57A1">
        <w:rPr>
          <w:color w:val="000000" w:themeColor="text1"/>
          <w:sz w:val="28"/>
          <w:szCs w:val="28"/>
        </w:rPr>
        <w:t xml:space="preserve">Исследование указывает </w:t>
      </w:r>
      <w:r w:rsidR="00DA57A1">
        <w:rPr>
          <w:color w:val="000000" w:themeColor="text1"/>
          <w:sz w:val="28"/>
          <w:szCs w:val="28"/>
          <w:lang w:val="ru-RU"/>
        </w:rPr>
        <w:t xml:space="preserve">также </w:t>
      </w:r>
      <w:r w:rsidR="00DA57A1" w:rsidRPr="00DA57A1">
        <w:rPr>
          <w:color w:val="000000" w:themeColor="text1"/>
          <w:sz w:val="28"/>
          <w:szCs w:val="28"/>
        </w:rPr>
        <w:t>на риск демографической ямы seed-стартапов к 2027–2028 годам: капитал, вложенный на посевной стадии, перестал возвращаться в новые ранние проекты, поскольку каналы выхода из инвестиций — как IPO, так и сделки слияния и поглощения (число которых сократилось со 86 до 51 за год) — оказались одновременно придушены высокой ключевой ставкой. Иными словами, недофинансирование посевных стартапов сегодня означает гарантированную нехватку зрелых компаний, готовых к продаже или размещению, через два-три года — ровно тот резерв кандидатов на pre-IPO и IPO, о необходимости которого говорилось выше.</w:t>
      </w:r>
      <w:r w:rsidR="00DA57A1">
        <w:rPr>
          <w:color w:val="000000" w:themeColor="text1"/>
          <w:sz w:val="28"/>
          <w:szCs w:val="28"/>
          <w:lang w:val="ru-RU"/>
        </w:rPr>
        <w:t xml:space="preserve"> Именно поэтому г</w:t>
      </w:r>
      <w:r w:rsidRPr="00502F26">
        <w:rPr>
          <w:color w:val="000000" w:themeColor="text1"/>
          <w:sz w:val="28"/>
          <w:szCs w:val="28"/>
          <w:lang w:val="ru-RU"/>
        </w:rPr>
        <w:t>енеральный директор Dsight Сергей Канцеров охарактеризовал прои</w:t>
      </w:r>
      <w:r w:rsidR="00DA57A1">
        <w:rPr>
          <w:color w:val="000000" w:themeColor="text1"/>
          <w:sz w:val="28"/>
          <w:szCs w:val="28"/>
          <w:lang w:val="ru-RU"/>
        </w:rPr>
        <w:t xml:space="preserve">сходящее </w:t>
      </w:r>
      <w:r w:rsidRPr="00502F26">
        <w:rPr>
          <w:color w:val="000000" w:themeColor="text1"/>
          <w:sz w:val="28"/>
          <w:szCs w:val="28"/>
          <w:lang w:val="ru-RU"/>
        </w:rPr>
        <w:t xml:space="preserve">как переоценку самой модели венчурного финансирования в России, </w:t>
      </w:r>
      <w:r w:rsidR="002C3C51">
        <w:rPr>
          <w:color w:val="000000" w:themeColor="text1"/>
          <w:sz w:val="28"/>
          <w:szCs w:val="28"/>
          <w:lang w:val="ru-RU"/>
        </w:rPr>
        <w:t>в которой д</w:t>
      </w:r>
      <w:r w:rsidR="002C3C51" w:rsidRPr="002C3C51">
        <w:rPr>
          <w:color w:val="000000" w:themeColor="text1"/>
          <w:sz w:val="28"/>
          <w:szCs w:val="28"/>
        </w:rPr>
        <w:t>еньги на рынке есть, но распределяются они значительно более избирательно</w:t>
      </w:r>
      <w:r w:rsidR="002C3C51">
        <w:rPr>
          <w:rStyle w:val="a7"/>
          <w:color w:val="000000" w:themeColor="text1"/>
          <w:sz w:val="28"/>
          <w:szCs w:val="28"/>
        </w:rPr>
        <w:footnoteReference w:id="20"/>
      </w:r>
      <w:r w:rsidRPr="00502F26">
        <w:rPr>
          <w:color w:val="000000" w:themeColor="text1"/>
          <w:sz w:val="28"/>
          <w:szCs w:val="28"/>
          <w:lang w:val="ru-RU"/>
        </w:rPr>
        <w:t xml:space="preserve">. </w:t>
      </w:r>
    </w:p>
    <w:p w14:paraId="65607AE7" w14:textId="3DF0E859" w:rsidR="009B3DE2" w:rsidRPr="009B3DE2" w:rsidRDefault="00D413FB"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1B4406">
        <w:rPr>
          <w:color w:val="000000" w:themeColor="text1"/>
          <w:sz w:val="28"/>
          <w:szCs w:val="28"/>
          <w:lang w:val="ru-RU"/>
        </w:rPr>
        <w:t xml:space="preserve">Причина </w:t>
      </w:r>
      <w:r w:rsidR="003D2DD8">
        <w:rPr>
          <w:color w:val="000000" w:themeColor="text1"/>
          <w:sz w:val="28"/>
          <w:szCs w:val="28"/>
          <w:lang w:val="ru-RU"/>
        </w:rPr>
        <w:t>общего</w:t>
      </w:r>
      <w:r w:rsidRPr="001B4406">
        <w:rPr>
          <w:color w:val="000000" w:themeColor="text1"/>
          <w:sz w:val="28"/>
          <w:szCs w:val="28"/>
          <w:lang w:val="ru-RU"/>
        </w:rPr>
        <w:t xml:space="preserve"> спада во многом макроэкономическая: по оценке члена правления ВТБ Дмитрия Брейтенбихера, рынок </w:t>
      </w:r>
      <w:r w:rsidRPr="001B4406">
        <w:rPr>
          <w:color w:val="000000" w:themeColor="text1"/>
          <w:sz w:val="28"/>
          <w:szCs w:val="28"/>
          <w:lang w:val="en-US"/>
        </w:rPr>
        <w:t>pre</w:t>
      </w:r>
      <w:r w:rsidRPr="001B4406">
        <w:rPr>
          <w:color w:val="000000" w:themeColor="text1"/>
          <w:sz w:val="28"/>
          <w:szCs w:val="28"/>
          <w:lang w:val="ru-RU"/>
        </w:rPr>
        <w:t>-</w:t>
      </w:r>
      <w:r w:rsidRPr="001B4406">
        <w:rPr>
          <w:color w:val="000000" w:themeColor="text1"/>
          <w:sz w:val="28"/>
          <w:szCs w:val="28"/>
          <w:lang w:val="en-US"/>
        </w:rPr>
        <w:t>IPO</w:t>
      </w:r>
      <w:r w:rsidRPr="001B4406">
        <w:rPr>
          <w:color w:val="000000" w:themeColor="text1"/>
          <w:sz w:val="28"/>
          <w:szCs w:val="28"/>
          <w:lang w:val="ru-RU"/>
        </w:rPr>
        <w:t xml:space="preserve"> почти не развивается на фоне высокой ключевой ставки, тогда как ожидаемое смягчение денежно-кредитной политики должно перенаправить капитал инвесторов из консервативных инструментов в более рискованные вложения, включая фонды </w:t>
      </w:r>
      <w:r w:rsidRPr="001B4406">
        <w:rPr>
          <w:color w:val="000000" w:themeColor="text1"/>
          <w:sz w:val="28"/>
          <w:szCs w:val="28"/>
          <w:lang w:val="ru-RU"/>
        </w:rPr>
        <w:lastRenderedPageBreak/>
        <w:t>прямых инвестиций</w:t>
      </w:r>
      <w:r w:rsidR="003D2DD8">
        <w:rPr>
          <w:rStyle w:val="a7"/>
          <w:color w:val="000000" w:themeColor="text1"/>
          <w:sz w:val="28"/>
          <w:szCs w:val="28"/>
          <w:lang w:val="ru-RU"/>
        </w:rPr>
        <w:footnoteReference w:id="21"/>
      </w:r>
      <w:r w:rsidRPr="001B4406">
        <w:rPr>
          <w:color w:val="000000" w:themeColor="text1"/>
          <w:sz w:val="28"/>
          <w:szCs w:val="28"/>
          <w:lang w:val="ru-RU"/>
        </w:rPr>
        <w:t xml:space="preserve">. </w:t>
      </w:r>
      <w:r w:rsidR="009B3DE2" w:rsidRPr="009B3DE2">
        <w:rPr>
          <w:color w:val="000000" w:themeColor="text1"/>
          <w:sz w:val="28"/>
          <w:szCs w:val="28"/>
        </w:rPr>
        <w:t>По прогнозу банка, объём вложений в фонды прямых инвестиций может вырасти вдвое уже в 2026 году: с одной стороны, дорогие кредиты вынуждают компании искать внешнее финансирование, с другой — текущие оценки бизнеса находятся ниже рыночного уровня, что создаёт выгодное окно входа для инвесторов.</w:t>
      </w:r>
    </w:p>
    <w:p w14:paraId="5BBADF88" w14:textId="6D00B080" w:rsidR="00D413FB" w:rsidRPr="00D413FB" w:rsidRDefault="00D413FB"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1B4406">
        <w:rPr>
          <w:color w:val="000000" w:themeColor="text1"/>
          <w:sz w:val="28"/>
          <w:szCs w:val="28"/>
          <w:lang w:val="ru-RU"/>
        </w:rPr>
        <w:t xml:space="preserve">Конверсия в </w:t>
      </w:r>
      <w:r w:rsidRPr="001B4406">
        <w:rPr>
          <w:color w:val="000000" w:themeColor="text1"/>
          <w:sz w:val="28"/>
          <w:szCs w:val="28"/>
          <w:lang w:val="en-US"/>
        </w:rPr>
        <w:t>pre</w:t>
      </w:r>
      <w:r w:rsidRPr="001B4406">
        <w:rPr>
          <w:color w:val="000000" w:themeColor="text1"/>
          <w:sz w:val="28"/>
          <w:szCs w:val="28"/>
          <w:lang w:val="ru-RU"/>
        </w:rPr>
        <w:t>-</w:t>
      </w:r>
      <w:r w:rsidRPr="001B4406">
        <w:rPr>
          <w:color w:val="000000" w:themeColor="text1"/>
          <w:sz w:val="28"/>
          <w:szCs w:val="28"/>
          <w:lang w:val="en-US"/>
        </w:rPr>
        <w:t>IPO</w:t>
      </w:r>
      <w:r w:rsidRPr="001B4406">
        <w:rPr>
          <w:color w:val="000000" w:themeColor="text1"/>
          <w:sz w:val="28"/>
          <w:szCs w:val="28"/>
          <w:lang w:val="ru-RU"/>
        </w:rPr>
        <w:t xml:space="preserve"> демонстрирует ту же уязвимость, что и венчурный рынок в целом, хотя и по-разному в зависимости от канала: на платформе </w:t>
      </w:r>
      <w:r w:rsidRPr="001B4406">
        <w:rPr>
          <w:color w:val="000000" w:themeColor="text1"/>
          <w:sz w:val="28"/>
          <w:szCs w:val="28"/>
          <w:lang w:val="en-US"/>
        </w:rPr>
        <w:t>MOEX</w:t>
      </w:r>
      <w:r w:rsidRPr="001B4406">
        <w:rPr>
          <w:color w:val="000000" w:themeColor="text1"/>
          <w:sz w:val="28"/>
          <w:szCs w:val="28"/>
          <w:lang w:val="ru-RU"/>
        </w:rPr>
        <w:t xml:space="preserve"> </w:t>
      </w:r>
      <w:r w:rsidRPr="001B4406">
        <w:rPr>
          <w:color w:val="000000" w:themeColor="text1"/>
          <w:sz w:val="28"/>
          <w:szCs w:val="28"/>
          <w:lang w:val="en-US"/>
        </w:rPr>
        <w:t>Start</w:t>
      </w:r>
      <w:r w:rsidRPr="001B4406">
        <w:rPr>
          <w:color w:val="000000" w:themeColor="text1"/>
          <w:sz w:val="28"/>
          <w:szCs w:val="28"/>
          <w:lang w:val="ru-RU"/>
        </w:rPr>
        <w:t xml:space="preserve"> в 2025 году состоялось всего две сделки на общую сумму 942 млн рублей</w:t>
      </w:r>
      <w:r w:rsidR="004B20C1">
        <w:rPr>
          <w:rStyle w:val="a7"/>
          <w:color w:val="000000" w:themeColor="text1"/>
          <w:sz w:val="28"/>
          <w:szCs w:val="28"/>
          <w:lang w:val="ru-RU"/>
        </w:rPr>
        <w:footnoteReference w:id="22"/>
      </w:r>
      <w:r w:rsidR="004B20C1" w:rsidRPr="004B20C1">
        <w:rPr>
          <w:color w:val="000000" w:themeColor="text1"/>
          <w:sz w:val="28"/>
          <w:szCs w:val="28"/>
          <w:lang w:val="ru-RU"/>
        </w:rPr>
        <w:t xml:space="preserve"> (</w:t>
      </w:r>
      <w:r w:rsidR="004B20C1">
        <w:rPr>
          <w:color w:val="000000" w:themeColor="text1"/>
          <w:sz w:val="28"/>
          <w:szCs w:val="28"/>
          <w:lang w:val="ru-RU"/>
        </w:rPr>
        <w:t xml:space="preserve">из которой 900 млн, т.е. 95,5%, стоимость </w:t>
      </w:r>
      <w:r w:rsidR="004B20C1" w:rsidRPr="004B20C1">
        <w:rPr>
          <w:color w:val="000000" w:themeColor="text1"/>
          <w:sz w:val="28"/>
          <w:szCs w:val="28"/>
        </w:rPr>
        <w:t>внебиржево</w:t>
      </w:r>
      <w:r w:rsidR="004B20C1">
        <w:rPr>
          <w:color w:val="000000" w:themeColor="text1"/>
          <w:sz w:val="28"/>
          <w:szCs w:val="28"/>
          <w:lang w:val="ru-RU"/>
        </w:rPr>
        <w:t>го</w:t>
      </w:r>
      <w:r w:rsidR="004B20C1" w:rsidRPr="004B20C1">
        <w:rPr>
          <w:color w:val="000000" w:themeColor="text1"/>
          <w:sz w:val="28"/>
          <w:szCs w:val="28"/>
        </w:rPr>
        <w:t xml:space="preserve"> размещени</w:t>
      </w:r>
      <w:r w:rsidR="004B20C1">
        <w:rPr>
          <w:color w:val="000000" w:themeColor="text1"/>
          <w:sz w:val="28"/>
          <w:szCs w:val="28"/>
          <w:lang w:val="ru-RU"/>
        </w:rPr>
        <w:t>я</w:t>
      </w:r>
      <w:r w:rsidR="004B20C1" w:rsidRPr="004B20C1">
        <w:rPr>
          <w:color w:val="000000" w:themeColor="text1"/>
          <w:sz w:val="28"/>
          <w:szCs w:val="28"/>
        </w:rPr>
        <w:t xml:space="preserve"> акций АО </w:t>
      </w:r>
      <w:r w:rsidR="004B20C1">
        <w:rPr>
          <w:color w:val="000000" w:themeColor="text1"/>
          <w:sz w:val="28"/>
          <w:szCs w:val="28"/>
          <w:lang w:val="ru-RU"/>
        </w:rPr>
        <w:t>«</w:t>
      </w:r>
      <w:r w:rsidR="004B20C1" w:rsidRPr="004B20C1">
        <w:rPr>
          <w:color w:val="000000" w:themeColor="text1"/>
          <w:sz w:val="28"/>
          <w:szCs w:val="28"/>
        </w:rPr>
        <w:t>Цифровые привычки</w:t>
      </w:r>
      <w:r w:rsidR="004B20C1">
        <w:rPr>
          <w:color w:val="000000" w:themeColor="text1"/>
          <w:sz w:val="28"/>
          <w:szCs w:val="28"/>
          <w:lang w:val="ru-RU"/>
        </w:rPr>
        <w:t>»)</w:t>
      </w:r>
      <w:r w:rsidRPr="001B4406">
        <w:rPr>
          <w:color w:val="000000" w:themeColor="text1"/>
          <w:sz w:val="28"/>
          <w:szCs w:val="28"/>
          <w:lang w:val="ru-RU"/>
        </w:rPr>
        <w:t xml:space="preserve">, тогда как совокупный объём российского рынка </w:t>
      </w:r>
      <w:r w:rsidRPr="001B4406">
        <w:rPr>
          <w:color w:val="000000" w:themeColor="text1"/>
          <w:sz w:val="28"/>
          <w:szCs w:val="28"/>
          <w:lang w:val="en-US"/>
        </w:rPr>
        <w:t>pre</w:t>
      </w:r>
      <w:r w:rsidRPr="001B4406">
        <w:rPr>
          <w:color w:val="000000" w:themeColor="text1"/>
          <w:sz w:val="28"/>
          <w:szCs w:val="28"/>
          <w:lang w:val="ru-RU"/>
        </w:rPr>
        <w:t>-</w:t>
      </w:r>
      <w:r w:rsidRPr="001B4406">
        <w:rPr>
          <w:color w:val="000000" w:themeColor="text1"/>
          <w:sz w:val="28"/>
          <w:szCs w:val="28"/>
          <w:lang w:val="en-US"/>
        </w:rPr>
        <w:t>IPO</w:t>
      </w:r>
      <w:r w:rsidRPr="001B4406">
        <w:rPr>
          <w:color w:val="000000" w:themeColor="text1"/>
          <w:sz w:val="28"/>
          <w:szCs w:val="28"/>
          <w:lang w:val="ru-RU"/>
        </w:rPr>
        <w:t xml:space="preserve"> (включая внеплатформенные, брокерские размещения) оценивается в 2025 году в 10,5-14 млрд рублей</w:t>
      </w:r>
      <w:r w:rsidR="002B5F0C">
        <w:rPr>
          <w:rStyle w:val="a7"/>
          <w:color w:val="000000" w:themeColor="text1"/>
          <w:sz w:val="28"/>
          <w:szCs w:val="28"/>
          <w:lang w:val="ru-RU"/>
        </w:rPr>
        <w:footnoteReference w:id="23"/>
      </w:r>
      <w:r w:rsidRPr="001B4406">
        <w:rPr>
          <w:color w:val="000000" w:themeColor="text1"/>
          <w:sz w:val="28"/>
          <w:szCs w:val="28"/>
          <w:lang w:val="ru-RU"/>
        </w:rPr>
        <w:t xml:space="preserve"> — то есть подавляющая часть сделок проходит мимо собственной инфраструктуры биржи, что дополнительно затрудняет их системный учёт. Показательна и скорость разворота на соседнем сегменте: в 2025 году клиенты вложили в облигационные фонды 549,3 млрд рублей — почти половину всего прироста розничных ПИФов, — тогда как годом ранее приток составил лишь 6 млрд рублей</w:t>
      </w:r>
      <w:r w:rsidR="006D0EDD">
        <w:rPr>
          <w:rStyle w:val="a7"/>
          <w:color w:val="000000" w:themeColor="text1"/>
          <w:sz w:val="28"/>
          <w:szCs w:val="28"/>
          <w:lang w:val="ru-RU"/>
        </w:rPr>
        <w:footnoteReference w:id="24"/>
      </w:r>
      <w:r w:rsidRPr="001B4406">
        <w:rPr>
          <w:color w:val="000000" w:themeColor="text1"/>
          <w:sz w:val="28"/>
          <w:szCs w:val="28"/>
          <w:lang w:val="ru-RU"/>
        </w:rPr>
        <w:t>. Это делает разработку формализованного диагностического инструмента особенно своевременной: волна капитала, ожидаемая по мере снижения ставки, потребует от компаний готовности пройти институциональную оценку без промедления.</w:t>
      </w:r>
    </w:p>
    <w:p w14:paraId="0C80DC4C" w14:textId="6646292C"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 xml:space="preserve">Уязвимость этого участка не только количественная, но и качественная. В июне 2026 года Банк России признал несостоявшимся дополнительный выпуск акций АО «Петрокартон», который компания планировала разместить на инвестиционной платформе MOEX Start в рамках pre-IPO, аннулировав </w:t>
      </w:r>
      <w:r w:rsidRPr="00502F26">
        <w:rPr>
          <w:color w:val="000000" w:themeColor="text1"/>
          <w:sz w:val="28"/>
          <w:szCs w:val="28"/>
          <w:lang w:val="ru-RU"/>
        </w:rPr>
        <w:lastRenderedPageBreak/>
        <w:t>государственную регистрацию выпуска</w:t>
      </w:r>
      <w:r w:rsidR="00B70D0D">
        <w:rPr>
          <w:rStyle w:val="a7"/>
          <w:color w:val="000000" w:themeColor="text1"/>
          <w:sz w:val="28"/>
          <w:szCs w:val="28"/>
          <w:lang w:val="ru-RU"/>
        </w:rPr>
        <w:footnoteReference w:id="25"/>
      </w:r>
      <w:r w:rsidRPr="00502F26">
        <w:rPr>
          <w:color w:val="000000" w:themeColor="text1"/>
          <w:sz w:val="28"/>
          <w:szCs w:val="28"/>
          <w:lang w:val="ru-RU"/>
        </w:rPr>
        <w:t xml:space="preserve"> — притом что размещение было объявлено эмитентом лишь тремя месяцами ранее.</w:t>
      </w:r>
    </w:p>
    <w:p w14:paraId="468FF958" w14:textId="77777777"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Государственная задача одновременного наращивания капитализации биржи и венчурного финансирования тем самым требует единого методического аппарата, применимого сквозным образом на всей последовательности этапов привлечения капитала — от момента достижения компанией измеримой внутренней готовности до фактического выхода на биржу. Данный методологический пробел раскрывается через комплекс из шести взаимосвязанных проблем.</w:t>
      </w:r>
    </w:p>
    <w:p w14:paraId="1C5D857B" w14:textId="0F55C5BF" w:rsidR="00502F26" w:rsidRPr="00235CE3"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Во-первых, существующие модели оценки не отделяют внутренний, устранимый компанией риск от внешнего рыночного, а дисконт за неготовность задают через переговорную, а не формализованную процедуру. Показателен кейс Whoosh: падение стоимости после IPO складывалось одновременно из внутренних факторов (агрессивное признание выручки для сохранения льгот Сколково, затоваривание парка под собственный завышенный прогноз спроса) и внешних, экзогенных факторов (погода, отключения мобильного интернета, регуляторика), которые традиционные модели не разделяют.</w:t>
      </w:r>
      <w:r w:rsidR="00235CE3" w:rsidRPr="00235CE3">
        <w:rPr>
          <w:color w:val="000000" w:themeColor="text1"/>
          <w:sz w:val="28"/>
          <w:szCs w:val="28"/>
          <w:lang w:val="ru-RU"/>
        </w:rPr>
        <w:t xml:space="preserve"> </w:t>
      </w:r>
      <w:r w:rsidR="00FE0F8E">
        <w:rPr>
          <w:color w:val="000000" w:themeColor="text1"/>
          <w:sz w:val="28"/>
          <w:szCs w:val="28"/>
          <w:lang w:val="ru-RU"/>
        </w:rPr>
        <w:t>Стоит отметить,</w:t>
      </w:r>
      <w:r w:rsidR="00235CE3" w:rsidRPr="00235CE3">
        <w:rPr>
          <w:color w:val="000000" w:themeColor="text1"/>
          <w:sz w:val="28"/>
          <w:szCs w:val="28"/>
        </w:rPr>
        <w:t xml:space="preserve"> что рынок интуитивно осознаёт эту проблему: практика самого рынка называет привлечение известных фондов или частных инвесторов </w:t>
      </w:r>
      <w:r w:rsidR="00FE0F8E">
        <w:rPr>
          <w:color w:val="000000" w:themeColor="text1"/>
          <w:sz w:val="28"/>
          <w:szCs w:val="28"/>
          <w:lang w:val="ru-RU"/>
        </w:rPr>
        <w:t>на этапе</w:t>
      </w:r>
      <w:r w:rsidR="00235CE3" w:rsidRPr="00235CE3">
        <w:rPr>
          <w:color w:val="000000" w:themeColor="text1"/>
          <w:sz w:val="28"/>
          <w:szCs w:val="28"/>
        </w:rPr>
        <w:t xml:space="preserve"> </w:t>
      </w:r>
      <w:r w:rsidR="00FE0F8E">
        <w:rPr>
          <w:color w:val="000000" w:themeColor="text1"/>
          <w:sz w:val="28"/>
          <w:szCs w:val="28"/>
          <w:lang w:val="en-US"/>
        </w:rPr>
        <w:t>Pre</w:t>
      </w:r>
      <w:r w:rsidR="00FE0F8E" w:rsidRPr="00FE0F8E">
        <w:rPr>
          <w:color w:val="000000" w:themeColor="text1"/>
          <w:sz w:val="28"/>
          <w:szCs w:val="28"/>
          <w:lang w:val="ru-RU"/>
        </w:rPr>
        <w:t>-</w:t>
      </w:r>
      <w:r w:rsidR="00235CE3" w:rsidRPr="00235CE3">
        <w:rPr>
          <w:color w:val="000000" w:themeColor="text1"/>
          <w:sz w:val="28"/>
          <w:szCs w:val="28"/>
        </w:rPr>
        <w:t>IPO знаком качества, подтверждающим рыночную стоимость компании</w:t>
      </w:r>
      <w:r w:rsidR="00FE0F8E">
        <w:rPr>
          <w:rStyle w:val="a7"/>
          <w:color w:val="000000" w:themeColor="text1"/>
          <w:sz w:val="28"/>
          <w:szCs w:val="28"/>
        </w:rPr>
        <w:footnoteReference w:id="26"/>
      </w:r>
      <w:r w:rsidR="00235CE3" w:rsidRPr="00235CE3">
        <w:rPr>
          <w:color w:val="000000" w:themeColor="text1"/>
          <w:sz w:val="28"/>
          <w:szCs w:val="28"/>
        </w:rPr>
        <w:t>, — то есть подтверждение оценки ставится участниками рынка выше привлечения капитала как такового. Однако такая валидация зависит от репутации конкретного инвестора и остаётся непубличной, невоспроизводимой процедурой — то, что настоящее исследование предлагает заменить формализованной, прозрачной диагностикой.</w:t>
      </w:r>
    </w:p>
    <w:p w14:paraId="1238816F" w14:textId="77816451" w:rsidR="00F439D5" w:rsidRDefault="00DA6458"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DA6458">
        <w:rPr>
          <w:color w:val="000000" w:themeColor="text1"/>
          <w:sz w:val="28"/>
          <w:szCs w:val="28"/>
        </w:rPr>
        <w:t xml:space="preserve">Во-вторых, границу применимости оценочных методик </w:t>
      </w:r>
      <w:r w:rsidR="00E65EF4">
        <w:rPr>
          <w:color w:val="000000" w:themeColor="text1"/>
          <w:sz w:val="28"/>
          <w:szCs w:val="28"/>
          <w:lang w:val="ru-RU"/>
        </w:rPr>
        <w:t xml:space="preserve">и инвестиционных возможностей применения капитала </w:t>
      </w:r>
      <w:r w:rsidRPr="00DA6458">
        <w:rPr>
          <w:color w:val="000000" w:themeColor="text1"/>
          <w:sz w:val="28"/>
          <w:szCs w:val="28"/>
        </w:rPr>
        <w:t xml:space="preserve">определяют описательной стадией </w:t>
      </w:r>
      <w:r w:rsidRPr="00DA6458">
        <w:rPr>
          <w:color w:val="000000" w:themeColor="text1"/>
          <w:sz w:val="28"/>
          <w:szCs w:val="28"/>
        </w:rPr>
        <w:lastRenderedPageBreak/>
        <w:t>жизненного цикла, тогда как фактическая граница определяется наличием измеримой истории по факторам риска</w:t>
      </w:r>
      <w:r w:rsidR="003D3E27" w:rsidRPr="003D3E27">
        <w:rPr>
          <w:color w:val="000000" w:themeColor="text1"/>
          <w:sz w:val="28"/>
          <w:szCs w:val="28"/>
          <w:lang w:val="ru-RU"/>
        </w:rPr>
        <w:t xml:space="preserve">, </w:t>
      </w:r>
      <w:r w:rsidR="003D3E27">
        <w:rPr>
          <w:color w:val="000000" w:themeColor="text1"/>
          <w:sz w:val="28"/>
          <w:szCs w:val="28"/>
          <w:lang w:val="ru-RU"/>
        </w:rPr>
        <w:t>которые в свою очередь являются производными стратегии и системы управления</w:t>
      </w:r>
      <w:r w:rsidRPr="00DA6458">
        <w:rPr>
          <w:color w:val="000000" w:themeColor="text1"/>
          <w:sz w:val="28"/>
          <w:szCs w:val="28"/>
        </w:rPr>
        <w:t xml:space="preserve">. Кейс «Петрокартона» иллюстрирует это несоответствие: </w:t>
      </w:r>
      <w:r w:rsidR="00E41A54" w:rsidRPr="00E41A54">
        <w:rPr>
          <w:color w:val="000000" w:themeColor="text1"/>
          <w:sz w:val="28"/>
          <w:szCs w:val="28"/>
        </w:rPr>
        <w:t xml:space="preserve">компания на рынке 25+ лет (то есть зрелая по классическому жизненному циклу), но именно сейчас, в 2026 году, впервые инициировала попытку выйти на pre-IPO, притом попытка оказалась неудачной: в мае 2026 года Банк России аннулировал государственную регистрацию дополнительного выпуска, и размещение было признано несостоявшимся. </w:t>
      </w:r>
      <w:r w:rsidR="00097F0D" w:rsidRPr="00097F0D">
        <w:rPr>
          <w:color w:val="000000" w:themeColor="text1"/>
          <w:sz w:val="28"/>
          <w:szCs w:val="28"/>
        </w:rPr>
        <w:t>Этот исход лишь усиливает основной тезис проблемы: даже четверть века рыночного опыта не гарантирует готовности к привлечению капитала, поскольку учётно-информационная зрелость — не автоматическое следствие возраста компании, а результат управленческой стратегии: то, ведёт ли компания аудированную отчётность, формализует ли подход к распределению прибыли и умеет ли точно прогнозировать, определяется решениями менеджмента на всём пути, а не появляется само собой к юбилею бизнеса. Реальная точка входа в методику определяется не возрастом или выручкой компании, а моментом достижения этой зрелости, а не наоборот.</w:t>
      </w:r>
    </w:p>
    <w:p w14:paraId="59A9BE50" w14:textId="5B457223" w:rsidR="00DA6458" w:rsidRPr="00A938D8" w:rsidRDefault="00DA6458"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DA6458">
        <w:rPr>
          <w:color w:val="000000" w:themeColor="text1"/>
          <w:sz w:val="28"/>
          <w:szCs w:val="28"/>
        </w:rPr>
        <w:t>Показательно, что и сама Московская Биржа при допуске к листингу опирается не столько на масштаб бизнеса, сколько на глубину накопленной истории: минимальный срок раскрытия аудированной консолидированной отчётности составляет три года для Первого уровня и один год — для Второго</w:t>
      </w:r>
      <w:r>
        <w:rPr>
          <w:rStyle w:val="a7"/>
          <w:color w:val="000000" w:themeColor="text1"/>
          <w:sz w:val="28"/>
          <w:szCs w:val="28"/>
        </w:rPr>
        <w:footnoteReference w:id="27"/>
      </w:r>
      <w:r w:rsidRPr="00DA6458">
        <w:rPr>
          <w:color w:val="000000" w:themeColor="text1"/>
          <w:sz w:val="28"/>
          <w:szCs w:val="28"/>
        </w:rPr>
        <w:t>, а предельное значение выручки в Секторе Роста и вовсе не применяется к эмитентам, включённым в реестр МСП или реестр малых технологических компаний. Регуляторная практика, таким образом, уже интуитивно движется в сторону критерия готовности данных, применяя его как дискретный, ступенчатый фильтр допуска — тогда как настоящее исследование формализует его как непрерывную, взвешенную диагностическую процедуру.</w:t>
      </w:r>
      <w:r w:rsidR="00A938D8">
        <w:rPr>
          <w:color w:val="000000" w:themeColor="text1"/>
          <w:sz w:val="28"/>
          <w:szCs w:val="28"/>
          <w:lang w:val="ru-RU"/>
        </w:rPr>
        <w:t xml:space="preserve"> </w:t>
      </w:r>
      <w:r w:rsidR="00A938D8" w:rsidRPr="00A938D8">
        <w:rPr>
          <w:color w:val="000000" w:themeColor="text1"/>
          <w:sz w:val="28"/>
          <w:szCs w:val="28"/>
        </w:rPr>
        <w:t>Аналогичного мнения придерживаются и практики рынка: по оценке экспертов, высказанной на конференции Альфа-</w:t>
      </w:r>
      <w:r w:rsidR="00A938D8" w:rsidRPr="00A938D8">
        <w:rPr>
          <w:color w:val="000000" w:themeColor="text1"/>
          <w:sz w:val="28"/>
          <w:szCs w:val="28"/>
        </w:rPr>
        <w:lastRenderedPageBreak/>
        <w:t>Капитал в мае 2026 года, компания, претендующая на сделку с фондом прямых инвестиций, уже должна быть прибыльной и демонстрировать готовность к росту, а для выхода на pre-IPO ей необходимы консолидированные денежные потоки, прозрачная структура и готовая финансовая отчётность</w:t>
      </w:r>
      <w:r w:rsidR="00A938D8">
        <w:rPr>
          <w:rStyle w:val="a7"/>
          <w:color w:val="000000" w:themeColor="text1"/>
          <w:sz w:val="28"/>
          <w:szCs w:val="28"/>
        </w:rPr>
        <w:footnoteReference w:id="28"/>
      </w:r>
      <w:r w:rsidR="00A938D8" w:rsidRPr="00A938D8">
        <w:rPr>
          <w:color w:val="000000" w:themeColor="text1"/>
          <w:sz w:val="28"/>
          <w:szCs w:val="28"/>
        </w:rPr>
        <w:t>.</w:t>
      </w:r>
      <w:r w:rsidR="00F44837" w:rsidRPr="00F44837">
        <w:rPr>
          <w:color w:val="000000" w:themeColor="text1"/>
          <w:sz w:val="28"/>
          <w:szCs w:val="28"/>
          <w:lang w:val="ru-RU"/>
        </w:rPr>
        <w:t xml:space="preserve"> </w:t>
      </w:r>
      <w:r w:rsidR="00F44837" w:rsidRPr="00F44837">
        <w:rPr>
          <w:color w:val="000000" w:themeColor="text1"/>
          <w:sz w:val="28"/>
          <w:szCs w:val="28"/>
        </w:rPr>
        <w:t>Размытость этой границы отмечают и рыночные аналитики: если в мировой практике к pre-IPO подходит уже зрелая компания с чётким горизонтом в 6–24 месяца до IPO, то в России pre-IPO нередко фактически замещает венчурный раунд серии B или C, а срок до IPO остаётся размытым и может составлять три-пять лет — то есть заявленная подготовка к IPO часто означает лишь потребность в капитале для текущего развития, а не близость к самому размещению.</w:t>
      </w:r>
      <w:r w:rsidR="00A938D8" w:rsidRPr="00A938D8">
        <w:rPr>
          <w:color w:val="000000" w:themeColor="text1"/>
          <w:sz w:val="28"/>
          <w:szCs w:val="28"/>
        </w:rPr>
        <w:t xml:space="preserve"> Таким образом, и регулятор, и рыночные практики независимо друг от друга приходят к одному и тому же критерию входа — не возраст или масштаб компании, а фактическая готовность её данных и финансовых показателей.</w:t>
      </w:r>
    </w:p>
    <w:p w14:paraId="1FC7C0AC" w14:textId="77777777"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В-третьих, применяемые инструменты измеряют либо факт создания стоимости, либо изменение структурной готовности компании — но не оба показателя одновременно на одних и тех же контрольных точках. Кейс ПАО «ЮГК» демонстрирует последствия: при росте выручки на 12% и EBITDA на 11% в 2024 г. сохранявшаяся непрозрачная офшорная структура владения привела к остановке торгов и национализации активов в 2025 году — рост расчётной стоимости маскировал параллельную деградацию корпоративного управления.</w:t>
      </w:r>
    </w:p>
    <w:p w14:paraId="4D374FB0" w14:textId="311F52CB"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 xml:space="preserve">В-четвёртых, компании, инициирующие подготовку к привлечению капитала самостоятельно, без институционального инвестора, не имеют внешнего эталона целевой готовности и чаще ошибаются в её оценке. Это подтверждается практикой автора настоящего исследования: </w:t>
      </w:r>
      <w:r w:rsidRPr="00230620">
        <w:rPr>
          <w:color w:val="EE0000"/>
          <w:sz w:val="28"/>
          <w:szCs w:val="28"/>
          <w:lang w:val="ru-RU"/>
        </w:rPr>
        <w:t xml:space="preserve">в случаях компании «Штрих» и армянского производителя сухофруктов «Ареги» </w:t>
      </w:r>
      <w:r w:rsidRPr="00502F26">
        <w:rPr>
          <w:color w:val="000000" w:themeColor="text1"/>
          <w:sz w:val="28"/>
          <w:szCs w:val="28"/>
          <w:lang w:val="ru-RU"/>
        </w:rPr>
        <w:t xml:space="preserve">изначально предполагался заход инвестиционного фонда в капитал с выходом через IPO спустя примерно три года, однако сама сделка с инвестором не состоялась в обоих случаях. «Ареги» </w:t>
      </w:r>
      <w:r w:rsidRPr="00502F26">
        <w:rPr>
          <w:color w:val="000000" w:themeColor="text1"/>
          <w:sz w:val="28"/>
          <w:szCs w:val="28"/>
          <w:lang w:val="ru-RU"/>
        </w:rPr>
        <w:lastRenderedPageBreak/>
        <w:t>впоследствии предприняли попытку миновать стадию институционального инвестора и выйти на IPO самостоятельно — эта попытка также не увенчалась успехом.</w:t>
      </w:r>
      <w:r w:rsidR="00EA0C61">
        <w:rPr>
          <w:color w:val="000000" w:themeColor="text1"/>
          <w:sz w:val="28"/>
          <w:szCs w:val="28"/>
          <w:lang w:val="ru-RU"/>
        </w:rPr>
        <w:t xml:space="preserve"> </w:t>
      </w:r>
      <w:r w:rsidR="00EA0C61" w:rsidRPr="00EA0C61">
        <w:rPr>
          <w:color w:val="000000" w:themeColor="text1"/>
          <w:sz w:val="28"/>
          <w:szCs w:val="28"/>
        </w:rPr>
        <w:t>Показательно, что Московская Биржа признаёт эту потребность институционально, развивая Академию эмитентов для сопровождения компаний на пути к публичности, — однако это форма общего образовательного сопровождения, а не персонализированный, количественно формализованный инструмент диагностики готовности конкретной компании.</w:t>
      </w:r>
    </w:p>
    <w:p w14:paraId="5DF8FE88" w14:textId="0DE94CA9"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 xml:space="preserve">В-пятых, </w:t>
      </w:r>
      <w:r w:rsidR="00394801" w:rsidRPr="00394801">
        <w:rPr>
          <w:color w:val="000000" w:themeColor="text1"/>
          <w:sz w:val="28"/>
          <w:szCs w:val="28"/>
        </w:rPr>
        <w:t>отсутствует единый методический аппарат каскадной оценки, позволяющий последовательно и сопоставимо измерять стоимость и готовность компании на каждом из этапов её пути к капиталу — от венчурного/PE-финансирования до pre-IPO</w:t>
      </w:r>
      <w:r w:rsidR="00394801">
        <w:rPr>
          <w:color w:val="000000" w:themeColor="text1"/>
          <w:sz w:val="28"/>
          <w:szCs w:val="28"/>
          <w:lang w:val="ru-RU"/>
        </w:rPr>
        <w:t xml:space="preserve"> и </w:t>
      </w:r>
      <w:r w:rsidR="00394801">
        <w:rPr>
          <w:color w:val="000000" w:themeColor="text1"/>
          <w:sz w:val="28"/>
          <w:szCs w:val="28"/>
          <w:lang w:val="en-US"/>
        </w:rPr>
        <w:t>IPO</w:t>
      </w:r>
      <w:r w:rsidR="00394801" w:rsidRPr="00394801">
        <w:rPr>
          <w:color w:val="000000" w:themeColor="text1"/>
          <w:sz w:val="28"/>
          <w:szCs w:val="28"/>
        </w:rPr>
        <w:t xml:space="preserve">. На практике на ранних этапах (посевные и венчурные раунды) доходный подход (DCF) также применяется, однако при отсутствии устойчивой истории денежных потоков ключевые допущения — темпы роста, горизонт прогноза, ставка дисконтирования — оставляют инвестору широкое пространство для собственной, слабо формализованной трактовки. Показательным в этом смысле является наблюдение автора из практики работы со стартап-проектами: на форуме Buissup Global Forum в Армении в 2022 году участникам-стартапам предлагалось заполнить формы финансовой модели с уже заложенной ставкой дисконтирования в 50%, без формулы расчёта и содержательного обоснования, — и ни один из проектов не поставил эту цифру под сомнение, что отражает не только произвольность самого норматива, но и системно низкий уровень финансовых компетенций на посевной стадии, из-за которого даже некорректные допущения остаются непроверенными. На более поздних этапах (PE, pre-IPO) те же методы — доходный подход (DCF) либо сравнительный подход на основе рыночных мультипликаторов сопоставимых компаний — опираются на более устойчивую фактическую базу. Распространённой практикой при этом является простое усреднение полученных по обоим подходам значений без содержательного обоснования весов, — притом что доходный и сравнительный подходы отражают принципиально разные основания стоимости (ожидаемые будущие денежные потоки самой компании против текущих рыночных котировок </w:t>
      </w:r>
      <w:r w:rsidR="00394801" w:rsidRPr="00394801">
        <w:rPr>
          <w:color w:val="000000" w:themeColor="text1"/>
          <w:sz w:val="28"/>
          <w:szCs w:val="28"/>
        </w:rPr>
        <w:lastRenderedPageBreak/>
        <w:t>аналогов), и их механическое усреднение не устраняет методологическую несопоставимость оценок, а лишь скрывает её за единой итоговой цифрой. При этом ставка дисконтирования и премии за риск на каждом этапе определяются индивидуальными требованиями конкретного инвестора или институциональной площадки, а не единой методологией, — в результате оценки, полученные на разных этапах пути одной и той же компании, оказываются методологически несопоставимыми между собой.</w:t>
      </w:r>
    </w:p>
    <w:p w14:paraId="3449A151" w14:textId="0F05820B" w:rsidR="00502F26"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В-шестых, отсутствует единая государственная статистическая система, отслеживающая всю воронку привлечения капитала сквозным образом: реестр МСП, венчурные сделки, сделки PE, pre-IPO и завершённые IPO измеряются разными ведомствами и аналитическими агентствами по несопоставимым методологиям, а сам разрыв</w:t>
      </w:r>
      <w:r w:rsidR="00394801">
        <w:rPr>
          <w:color w:val="000000" w:themeColor="text1"/>
          <w:sz w:val="28"/>
          <w:szCs w:val="28"/>
          <w:lang w:val="ru-RU"/>
        </w:rPr>
        <w:t xml:space="preserve"> в воронке привлечения капитала</w:t>
      </w:r>
      <w:r w:rsidRPr="00502F26">
        <w:rPr>
          <w:color w:val="000000" w:themeColor="text1"/>
          <w:sz w:val="28"/>
          <w:szCs w:val="28"/>
          <w:lang w:val="ru-RU"/>
        </w:rPr>
        <w:t xml:space="preserve"> нигде не объясняется и не отслеживается как единый управляемый процесс. Это делает невозможным сквозной эмпирический мониторинг эффективности государственной политики и дополнительно обосновывает необходимость формализованного диагностического инструмента, не зависящего от фрагментарной рыночной статистики.</w:t>
      </w:r>
    </w:p>
    <w:p w14:paraId="4EF33D8C" w14:textId="07BE6836" w:rsidR="00BD4F9E" w:rsidRPr="00502F26" w:rsidRDefault="00502F26" w:rsidP="00502F26">
      <w:pPr>
        <w:pBdr>
          <w:top w:val="nil"/>
          <w:left w:val="nil"/>
          <w:bottom w:val="nil"/>
          <w:right w:val="nil"/>
          <w:between w:val="nil"/>
        </w:pBdr>
        <w:spacing w:line="360" w:lineRule="auto"/>
        <w:ind w:left="140" w:right="137" w:firstLine="708"/>
        <w:jc w:val="both"/>
        <w:rPr>
          <w:color w:val="000000" w:themeColor="text1"/>
          <w:sz w:val="28"/>
          <w:szCs w:val="28"/>
          <w:lang w:val="ru-RU"/>
        </w:rPr>
      </w:pPr>
      <w:r w:rsidRPr="00502F26">
        <w:rPr>
          <w:color w:val="000000" w:themeColor="text1"/>
          <w:sz w:val="28"/>
          <w:szCs w:val="28"/>
          <w:lang w:val="ru-RU"/>
        </w:rPr>
        <w:t>Совокупность перечисленных обстоятельств обуславливает актуальность разработки комплексной, формализованной методики диагностики инвестиционной готовности компании на ключевых этапах привлечения капитала с использованием единого аппарата DCF-оценки стоимости.</w:t>
      </w:r>
    </w:p>
    <w:p w14:paraId="10076C8A" w14:textId="77777777" w:rsidR="00BD4F9E" w:rsidRPr="00BD4F9E" w:rsidRDefault="00BD4F9E" w:rsidP="0086614D">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p>
    <w:p w14:paraId="1C1F265D" w14:textId="77777777" w:rsidR="00A63D1B" w:rsidRPr="001D425A" w:rsidRDefault="00A63D1B">
      <w:pPr>
        <w:pBdr>
          <w:top w:val="nil"/>
          <w:left w:val="nil"/>
          <w:bottom w:val="nil"/>
          <w:right w:val="nil"/>
          <w:between w:val="nil"/>
        </w:pBdr>
        <w:spacing w:line="360" w:lineRule="auto"/>
        <w:ind w:left="140" w:right="137" w:firstLine="708"/>
        <w:jc w:val="both"/>
        <w:rPr>
          <w:sz w:val="28"/>
          <w:szCs w:val="28"/>
        </w:rPr>
      </w:pPr>
    </w:p>
    <w:p w14:paraId="1C1F265E" w14:textId="77777777" w:rsidR="00A63D1B" w:rsidRPr="001D425A" w:rsidRDefault="0018149E">
      <w:pPr>
        <w:pStyle w:val="1"/>
        <w:ind w:firstLine="140"/>
        <w:jc w:val="both"/>
      </w:pPr>
      <w:r w:rsidRPr="001D425A">
        <w:t>Степень разработанности проблемы.</w:t>
      </w:r>
    </w:p>
    <w:p w14:paraId="1C1F265F" w14:textId="77777777" w:rsidR="00A63D1B" w:rsidRPr="001D425A" w:rsidRDefault="00A63D1B">
      <w:pPr>
        <w:pBdr>
          <w:top w:val="nil"/>
          <w:left w:val="nil"/>
          <w:bottom w:val="nil"/>
          <w:right w:val="nil"/>
          <w:between w:val="nil"/>
        </w:pBdr>
        <w:spacing w:line="360" w:lineRule="auto"/>
        <w:ind w:left="140" w:right="137" w:firstLine="708"/>
        <w:jc w:val="both"/>
        <w:rPr>
          <w:sz w:val="28"/>
          <w:szCs w:val="28"/>
        </w:rPr>
      </w:pPr>
    </w:p>
    <w:p w14:paraId="48EBD5FE" w14:textId="21B6D59B" w:rsidR="001D425A" w:rsidRDefault="001D425A">
      <w:pPr>
        <w:pBdr>
          <w:top w:val="nil"/>
          <w:left w:val="nil"/>
          <w:bottom w:val="nil"/>
          <w:right w:val="nil"/>
          <w:between w:val="nil"/>
        </w:pBdr>
        <w:spacing w:line="360" w:lineRule="auto"/>
        <w:ind w:left="140" w:right="137" w:firstLine="708"/>
        <w:jc w:val="both"/>
        <w:rPr>
          <w:sz w:val="28"/>
          <w:szCs w:val="28"/>
          <w:lang w:val="ru-RU"/>
        </w:rPr>
      </w:pPr>
      <w:r w:rsidRPr="001D425A">
        <w:rPr>
          <w:sz w:val="28"/>
          <w:szCs w:val="28"/>
        </w:rPr>
        <w:t>Проблематика диагностики инвестиционной готовности компании к привлечению капитала и оценки её стоимости находит отражение в нескольких относительно самостоятельных направлениях отечественной и зарубежной научной литературы. Прежде чем переходить к обзору</w:t>
      </w:r>
      <w:r>
        <w:rPr>
          <w:sz w:val="28"/>
          <w:szCs w:val="28"/>
          <w:lang w:val="ru-RU"/>
        </w:rPr>
        <w:t xml:space="preserve"> этих</w:t>
      </w:r>
      <w:r w:rsidRPr="001D425A">
        <w:rPr>
          <w:sz w:val="28"/>
          <w:szCs w:val="28"/>
        </w:rPr>
        <w:t xml:space="preserve"> направлений, необходимо </w:t>
      </w:r>
      <w:r>
        <w:rPr>
          <w:sz w:val="28"/>
          <w:szCs w:val="28"/>
          <w:lang w:val="ru-RU"/>
        </w:rPr>
        <w:t>отметить, что н</w:t>
      </w:r>
      <w:r w:rsidRPr="001D425A">
        <w:rPr>
          <w:sz w:val="28"/>
          <w:szCs w:val="28"/>
        </w:rPr>
        <w:t xml:space="preserve">астоящая работа рассматривает последовательность этапов привлечения институционального капитала — от венчурного </w:t>
      </w:r>
      <w:r w:rsidRPr="001D425A">
        <w:rPr>
          <w:sz w:val="28"/>
          <w:szCs w:val="28"/>
        </w:rPr>
        <w:lastRenderedPageBreak/>
        <w:t>финансирования (ранние и поздние раунды), через фонды прямых инвестиций (PE), к pre-IPO и завершённому размещению (IPO)</w:t>
      </w:r>
      <w:r>
        <w:rPr>
          <w:sz w:val="28"/>
          <w:szCs w:val="28"/>
          <w:lang w:val="ru-RU"/>
        </w:rPr>
        <w:t>. Н</w:t>
      </w:r>
      <w:r w:rsidRPr="001D425A">
        <w:rPr>
          <w:sz w:val="28"/>
          <w:szCs w:val="28"/>
        </w:rPr>
        <w:t xml:space="preserve">а каждом из </w:t>
      </w:r>
      <w:r>
        <w:rPr>
          <w:sz w:val="28"/>
          <w:szCs w:val="28"/>
          <w:lang w:val="ru-RU"/>
        </w:rPr>
        <w:t>этих этапов</w:t>
      </w:r>
      <w:r w:rsidRPr="001D425A">
        <w:rPr>
          <w:sz w:val="28"/>
          <w:szCs w:val="28"/>
        </w:rPr>
        <w:t xml:space="preserve"> компания </w:t>
      </w:r>
      <w:r w:rsidR="00B605D8">
        <w:rPr>
          <w:sz w:val="28"/>
          <w:szCs w:val="28"/>
          <w:lang w:val="ru-RU"/>
        </w:rPr>
        <w:t>должна проходить</w:t>
      </w:r>
      <w:r w:rsidRPr="001D425A">
        <w:rPr>
          <w:sz w:val="28"/>
          <w:szCs w:val="28"/>
        </w:rPr>
        <w:t xml:space="preserve"> диагностику инвестиционной готовности</w:t>
      </w:r>
      <w:r w:rsidR="00B605D8">
        <w:rPr>
          <w:sz w:val="28"/>
          <w:szCs w:val="28"/>
          <w:lang w:val="ru-RU"/>
        </w:rPr>
        <w:t>,</w:t>
      </w:r>
      <w:r w:rsidRPr="001D425A">
        <w:rPr>
          <w:sz w:val="28"/>
          <w:szCs w:val="28"/>
        </w:rPr>
        <w:t xml:space="preserve"> </w:t>
      </w:r>
      <w:r w:rsidR="00B605D8">
        <w:rPr>
          <w:sz w:val="28"/>
          <w:szCs w:val="28"/>
          <w:lang w:val="ru-RU"/>
        </w:rPr>
        <w:t>реализуемую с помощью единой</w:t>
      </w:r>
      <w:r w:rsidRPr="001D425A">
        <w:rPr>
          <w:sz w:val="28"/>
          <w:szCs w:val="28"/>
        </w:rPr>
        <w:t xml:space="preserve"> методик</w:t>
      </w:r>
      <w:r w:rsidR="00B605D8">
        <w:rPr>
          <w:sz w:val="28"/>
          <w:szCs w:val="28"/>
          <w:lang w:val="ru-RU"/>
        </w:rPr>
        <w:t xml:space="preserve">и </w:t>
      </w:r>
      <w:r w:rsidR="00B605D8">
        <w:rPr>
          <w:sz w:val="28"/>
          <w:szCs w:val="28"/>
          <w:lang w:val="en-US"/>
        </w:rPr>
        <w:t>DCF</w:t>
      </w:r>
      <w:r w:rsidR="00B605D8" w:rsidRPr="00B605D8">
        <w:rPr>
          <w:sz w:val="28"/>
          <w:szCs w:val="28"/>
          <w:lang w:val="ru-RU"/>
        </w:rPr>
        <w:t>-</w:t>
      </w:r>
      <w:r w:rsidR="00B605D8">
        <w:rPr>
          <w:sz w:val="28"/>
          <w:szCs w:val="28"/>
          <w:lang w:val="ru-RU"/>
        </w:rPr>
        <w:t>оценки её стоимости</w:t>
      </w:r>
      <w:r w:rsidRPr="001D425A">
        <w:rPr>
          <w:sz w:val="28"/>
          <w:szCs w:val="28"/>
        </w:rPr>
        <w:t xml:space="preserve">. Именно поэтому обзор разработанности проблемы охватывает четыре направления: от общей теории управления стоимостью компании — к специфическому инструментарию оценки риска непубличных компаний — к литературе о самом рынке привлечения капитала на всех его этапах — и, наконец, к исследованиям </w:t>
      </w:r>
      <w:r w:rsidR="00790973">
        <w:rPr>
          <w:sz w:val="28"/>
          <w:szCs w:val="28"/>
          <w:lang w:val="ru-RU"/>
        </w:rPr>
        <w:t xml:space="preserve">инвестиционной </w:t>
      </w:r>
      <w:r w:rsidRPr="001D425A">
        <w:rPr>
          <w:sz w:val="28"/>
          <w:szCs w:val="28"/>
        </w:rPr>
        <w:t>готовности компании как таковой.</w:t>
      </w:r>
    </w:p>
    <w:p w14:paraId="1C1F2661" w14:textId="5D2754C4" w:rsidR="00A63D1B" w:rsidRPr="001D425A" w:rsidRDefault="0018149E">
      <w:pPr>
        <w:pBdr>
          <w:top w:val="nil"/>
          <w:left w:val="nil"/>
          <w:bottom w:val="nil"/>
          <w:right w:val="nil"/>
          <w:between w:val="nil"/>
        </w:pBdr>
        <w:spacing w:line="360" w:lineRule="auto"/>
        <w:ind w:left="140" w:right="137" w:firstLine="708"/>
        <w:jc w:val="both"/>
        <w:rPr>
          <w:sz w:val="28"/>
          <w:szCs w:val="28"/>
        </w:rPr>
      </w:pPr>
      <w:r w:rsidRPr="001D425A">
        <w:rPr>
          <w:sz w:val="28"/>
          <w:szCs w:val="28"/>
        </w:rPr>
        <w:t>Первое направление — стоимостно-ориентированное управление (value-based management) и общая методология оценки стоимости компании. Международную классику направления составляют труды А. Раппапорта</w:t>
      </w:r>
      <w:r w:rsidRPr="001D425A">
        <w:rPr>
          <w:sz w:val="28"/>
          <w:szCs w:val="28"/>
          <w:vertAlign w:val="superscript"/>
        </w:rPr>
        <w:footnoteReference w:id="29"/>
      </w:r>
      <w:r w:rsidRPr="001D425A">
        <w:rPr>
          <w:sz w:val="28"/>
          <w:szCs w:val="28"/>
        </w:rPr>
        <w:t>, Т. Коупленда, Т. Коллера и Дж. Муррина</w:t>
      </w:r>
      <w:r w:rsidRPr="001D425A">
        <w:rPr>
          <w:sz w:val="28"/>
          <w:szCs w:val="28"/>
          <w:vertAlign w:val="superscript"/>
        </w:rPr>
        <w:footnoteReference w:id="30"/>
      </w:r>
      <w:r w:rsidRPr="001D425A">
        <w:rPr>
          <w:sz w:val="28"/>
          <w:szCs w:val="28"/>
        </w:rPr>
        <w:t>; в отечественной литературе — работы И.В. Ивашковской</w:t>
      </w:r>
      <w:r w:rsidRPr="001D425A">
        <w:rPr>
          <w:sz w:val="28"/>
          <w:szCs w:val="28"/>
          <w:vertAlign w:val="superscript"/>
        </w:rPr>
        <w:footnoteReference w:id="31"/>
      </w:r>
      <w:r w:rsidRPr="001D425A">
        <w:rPr>
          <w:sz w:val="28"/>
          <w:szCs w:val="28"/>
        </w:rPr>
        <w:t>, Н.И. Берзона</w:t>
      </w:r>
      <w:r w:rsidRPr="001D425A">
        <w:rPr>
          <w:sz w:val="28"/>
          <w:szCs w:val="28"/>
          <w:vertAlign w:val="superscript"/>
        </w:rPr>
        <w:footnoteReference w:id="32"/>
      </w:r>
      <w:r w:rsidRPr="001D425A">
        <w:rPr>
          <w:sz w:val="28"/>
          <w:szCs w:val="28"/>
        </w:rPr>
        <w:t xml:space="preserve"> и Т.В. Тепловой</w:t>
      </w:r>
      <w:r w:rsidRPr="001D425A">
        <w:rPr>
          <w:sz w:val="28"/>
          <w:szCs w:val="28"/>
          <w:vertAlign w:val="superscript"/>
        </w:rPr>
        <w:footnoteReference w:id="33"/>
      </w:r>
      <w:r w:rsidRPr="001D425A">
        <w:rPr>
          <w:sz w:val="28"/>
          <w:szCs w:val="28"/>
        </w:rPr>
        <w:t>. Классический период диссертационной разработки направления — 2005–2013 гг. (С.В. Вожик, 2005</w:t>
      </w:r>
      <w:r w:rsidRPr="001D425A">
        <w:rPr>
          <w:sz w:val="28"/>
          <w:szCs w:val="28"/>
          <w:vertAlign w:val="superscript"/>
        </w:rPr>
        <w:footnoteReference w:id="34"/>
      </w:r>
      <w:r w:rsidRPr="001D425A">
        <w:rPr>
          <w:sz w:val="28"/>
          <w:szCs w:val="28"/>
        </w:rPr>
        <w:t>; И.А. Алферова, 2011</w:t>
      </w:r>
      <w:r w:rsidRPr="001D425A">
        <w:rPr>
          <w:sz w:val="28"/>
          <w:szCs w:val="28"/>
          <w:vertAlign w:val="superscript"/>
        </w:rPr>
        <w:footnoteReference w:id="35"/>
      </w:r>
      <w:r w:rsidRPr="001D425A">
        <w:rPr>
          <w:sz w:val="28"/>
          <w:szCs w:val="28"/>
        </w:rPr>
        <w:t>; И.В. Косорукова, 2013</w:t>
      </w:r>
      <w:r w:rsidRPr="001D425A">
        <w:rPr>
          <w:sz w:val="28"/>
          <w:szCs w:val="28"/>
          <w:vertAlign w:val="superscript"/>
        </w:rPr>
        <w:footnoteReference w:id="36"/>
      </w:r>
      <w:r w:rsidRPr="001D425A">
        <w:rPr>
          <w:sz w:val="28"/>
          <w:szCs w:val="28"/>
        </w:rPr>
        <w:t>). В последующее десятилетие направление развивалось по линии отдельных факторов и инструментов стоимости: организационная структура как фактор стоимости (Рожковский А.Л., 2017</w:t>
      </w:r>
      <w:r w:rsidRPr="001D425A">
        <w:rPr>
          <w:sz w:val="28"/>
          <w:szCs w:val="28"/>
          <w:vertAlign w:val="superscript"/>
        </w:rPr>
        <w:footnoteReference w:id="37"/>
      </w:r>
      <w:r w:rsidRPr="001D425A">
        <w:rPr>
          <w:sz w:val="28"/>
          <w:szCs w:val="28"/>
        </w:rPr>
        <w:t>), стоимость в системе ценностно-ориентированного управления (Толстов Н.С., 2022</w:t>
      </w:r>
      <w:r w:rsidRPr="001D425A">
        <w:rPr>
          <w:sz w:val="28"/>
          <w:szCs w:val="28"/>
          <w:vertAlign w:val="superscript"/>
        </w:rPr>
        <w:footnoteReference w:id="38"/>
      </w:r>
      <w:r w:rsidRPr="001D425A">
        <w:rPr>
          <w:sz w:val="28"/>
          <w:szCs w:val="28"/>
        </w:rPr>
        <w:t xml:space="preserve">), финансовые и нефинансовые детерминанты оценки (Килинский М.А., </w:t>
      </w:r>
      <w:r w:rsidRPr="001D425A">
        <w:rPr>
          <w:sz w:val="28"/>
          <w:szCs w:val="28"/>
        </w:rPr>
        <w:lastRenderedPageBreak/>
        <w:t>2021</w:t>
      </w:r>
      <w:r w:rsidRPr="001D425A">
        <w:rPr>
          <w:sz w:val="28"/>
          <w:szCs w:val="28"/>
          <w:vertAlign w:val="superscript"/>
        </w:rPr>
        <w:footnoteReference w:id="39"/>
      </w:r>
      <w:r w:rsidRPr="001D425A">
        <w:rPr>
          <w:sz w:val="28"/>
          <w:szCs w:val="28"/>
        </w:rPr>
        <w:t>), институциональные основы формирования стоимости (Ерофеева Т.А., 2023), оценка диверсифицированных компаний (Дохоян З.М., 2015</w:t>
      </w:r>
      <w:r w:rsidRPr="001D425A">
        <w:rPr>
          <w:sz w:val="28"/>
          <w:szCs w:val="28"/>
          <w:vertAlign w:val="superscript"/>
        </w:rPr>
        <w:footnoteReference w:id="40"/>
      </w:r>
      <w:r w:rsidRPr="001D425A">
        <w:rPr>
          <w:sz w:val="28"/>
          <w:szCs w:val="28"/>
        </w:rPr>
        <w:t>), акционерная стоимость на несовершенном рынке капитала (Лебедев О.В., 2015</w:t>
      </w:r>
      <w:r w:rsidRPr="001D425A">
        <w:rPr>
          <w:sz w:val="28"/>
          <w:szCs w:val="28"/>
          <w:vertAlign w:val="superscript"/>
        </w:rPr>
        <w:footnoteReference w:id="41"/>
      </w:r>
      <w:r w:rsidRPr="001D425A">
        <w:rPr>
          <w:sz w:val="28"/>
          <w:szCs w:val="28"/>
        </w:rPr>
        <w:t>). Методологический уровень представлен докторской работой Ш.Р. Гусейнова об управлении стоимостью корпоративных образований в условиях цифровой экономики (2019)</w:t>
      </w:r>
      <w:r w:rsidRPr="001D425A">
        <w:rPr>
          <w:sz w:val="28"/>
          <w:szCs w:val="28"/>
          <w:vertAlign w:val="superscript"/>
        </w:rPr>
        <w:footnoteReference w:id="42"/>
      </w:r>
      <w:r w:rsidRPr="001D425A">
        <w:rPr>
          <w:sz w:val="28"/>
          <w:szCs w:val="28"/>
        </w:rPr>
        <w:t>. Также тема развивалась в формате статей — в частности, в работе В.М. Пурлика (2018)</w:t>
      </w:r>
      <w:r w:rsidRPr="001D425A">
        <w:rPr>
          <w:sz w:val="28"/>
          <w:szCs w:val="28"/>
          <w:vertAlign w:val="superscript"/>
        </w:rPr>
        <w:footnoteReference w:id="43"/>
      </w:r>
      <w:r w:rsidRPr="001D425A">
        <w:rPr>
          <w:sz w:val="28"/>
          <w:szCs w:val="28"/>
        </w:rPr>
        <w:t>.</w:t>
      </w:r>
    </w:p>
    <w:p w14:paraId="369C3E13" w14:textId="77777777" w:rsidR="00A40485" w:rsidRDefault="004955F0">
      <w:pPr>
        <w:pBdr>
          <w:top w:val="nil"/>
          <w:left w:val="nil"/>
          <w:bottom w:val="nil"/>
          <w:right w:val="nil"/>
          <w:between w:val="nil"/>
        </w:pBdr>
        <w:spacing w:line="360" w:lineRule="auto"/>
        <w:ind w:left="140" w:right="137" w:firstLine="708"/>
        <w:jc w:val="both"/>
        <w:rPr>
          <w:sz w:val="28"/>
          <w:szCs w:val="28"/>
          <w:lang w:val="ru-RU"/>
        </w:rPr>
      </w:pPr>
      <w:r w:rsidRPr="004955F0">
        <w:rPr>
          <w:sz w:val="28"/>
          <w:szCs w:val="28"/>
        </w:rPr>
        <w:t>Ни одна из перечисленных работ не рассматривает диагностику инвестиционной готовности как самостоятельный объект исследования: направление VBM оперирует стоимостью компании как таковой, вне зависимости от того, находится ли компания на пути к привлечению институционального капитала, и не выделяет ни pre-IPO, ни предшествующие ему этапы — венчурное финансирование, фонды прямых инвестиций — как период, требующий специфической методики оценки готовности. Управление стоимостью в этих работах рассматривается как непрерывный процесс без контрольных точек, на которых стоимость и структурная готовность компании измерялись бы одновременно и сопоставлялись между собой, — то есть без того каскадного, поэтапного подхода, который составляет ядро настоящего исследования.</w:t>
      </w:r>
    </w:p>
    <w:p w14:paraId="0FFDF76D" w14:textId="422012A9" w:rsidR="004955F0" w:rsidRPr="008422E0" w:rsidRDefault="00A40485">
      <w:pPr>
        <w:pBdr>
          <w:top w:val="nil"/>
          <w:left w:val="nil"/>
          <w:bottom w:val="nil"/>
          <w:right w:val="nil"/>
          <w:between w:val="nil"/>
        </w:pBdr>
        <w:spacing w:line="360" w:lineRule="auto"/>
        <w:ind w:left="140" w:right="137" w:firstLine="708"/>
        <w:jc w:val="both"/>
        <w:rPr>
          <w:sz w:val="28"/>
          <w:szCs w:val="28"/>
          <w:lang w:val="ru-RU"/>
        </w:rPr>
      </w:pPr>
      <w:r>
        <w:rPr>
          <w:sz w:val="28"/>
          <w:szCs w:val="28"/>
          <w:lang w:val="ru-RU"/>
        </w:rPr>
        <w:t>Д</w:t>
      </w:r>
      <w:r w:rsidR="004955F0" w:rsidRPr="004955F0">
        <w:rPr>
          <w:sz w:val="28"/>
          <w:szCs w:val="28"/>
        </w:rPr>
        <w:t>аже там, где стадия жизненного цикла компании выступает явным параметром анализа — как в классических моделях организационного жизненного цикла (Адизес</w:t>
      </w:r>
      <w:r w:rsidR="004955F0">
        <w:rPr>
          <w:rStyle w:val="a7"/>
          <w:sz w:val="28"/>
          <w:szCs w:val="28"/>
        </w:rPr>
        <w:footnoteReference w:id="44"/>
      </w:r>
      <w:r w:rsidR="004955F0" w:rsidRPr="004955F0">
        <w:rPr>
          <w:sz w:val="28"/>
          <w:szCs w:val="28"/>
        </w:rPr>
        <w:t>, Грейнер</w:t>
      </w:r>
      <w:r w:rsidR="004955F0">
        <w:rPr>
          <w:rStyle w:val="a7"/>
          <w:sz w:val="28"/>
          <w:szCs w:val="28"/>
        </w:rPr>
        <w:footnoteReference w:id="45"/>
      </w:r>
      <w:r w:rsidR="004955F0" w:rsidRPr="004955F0">
        <w:rPr>
          <w:sz w:val="28"/>
          <w:szCs w:val="28"/>
        </w:rPr>
        <w:t>)</w:t>
      </w:r>
      <w:r w:rsidR="00AA45C4" w:rsidRPr="00AA45C4">
        <w:rPr>
          <w:sz w:val="28"/>
          <w:szCs w:val="28"/>
          <w:lang w:val="ru-RU"/>
        </w:rPr>
        <w:t xml:space="preserve">, </w:t>
      </w:r>
      <w:r w:rsidR="004955F0" w:rsidRPr="004955F0">
        <w:rPr>
          <w:sz w:val="28"/>
          <w:szCs w:val="28"/>
        </w:rPr>
        <w:t>в работе С.В. Захарова (2011</w:t>
      </w:r>
      <w:r w:rsidR="004955F0">
        <w:rPr>
          <w:rStyle w:val="a7"/>
          <w:sz w:val="28"/>
          <w:szCs w:val="28"/>
        </w:rPr>
        <w:footnoteReference w:id="46"/>
      </w:r>
      <w:r w:rsidR="004955F0" w:rsidRPr="004955F0">
        <w:rPr>
          <w:sz w:val="28"/>
          <w:szCs w:val="28"/>
        </w:rPr>
        <w:t xml:space="preserve">), связывающей стадию </w:t>
      </w:r>
      <w:r w:rsidR="004955F0" w:rsidRPr="004955F0">
        <w:rPr>
          <w:sz w:val="28"/>
          <w:szCs w:val="28"/>
        </w:rPr>
        <w:lastRenderedPageBreak/>
        <w:t xml:space="preserve">жизненного цикла со стратегией финансирования и стоимостью компании для акционеров, </w:t>
      </w:r>
      <w:r w:rsidR="00AA45C4" w:rsidRPr="00AA45C4">
        <w:rPr>
          <w:sz w:val="28"/>
          <w:szCs w:val="28"/>
        </w:rPr>
        <w:t>и в наиболее свежем исследовании Е.В. Красильниковой (2024</w:t>
      </w:r>
      <w:r w:rsidR="0050053D">
        <w:rPr>
          <w:rStyle w:val="a7"/>
          <w:sz w:val="28"/>
          <w:szCs w:val="28"/>
        </w:rPr>
        <w:footnoteReference w:id="47"/>
      </w:r>
      <w:r w:rsidR="00AA45C4" w:rsidRPr="00AA45C4">
        <w:rPr>
          <w:sz w:val="28"/>
          <w:szCs w:val="28"/>
        </w:rPr>
        <w:t>), моделирующей вероятность перехода компании между стадиями жизненного цикла через призму ESG-факторов, агентских отношений и структуры капитала, </w:t>
      </w:r>
      <w:r w:rsidR="004955F0" w:rsidRPr="004955F0">
        <w:rPr>
          <w:sz w:val="28"/>
          <w:szCs w:val="28"/>
        </w:rPr>
        <w:t xml:space="preserve">— стадия принимается как заданная характеристика бизнеса, определяемая его возрастом и финансовыми показателями, а не как результат управленческой стратегии, который сам должен быть предметом диагностики. </w:t>
      </w:r>
      <w:r w:rsidR="00AA45C4" w:rsidRPr="00AA45C4">
        <w:rPr>
          <w:sz w:val="28"/>
          <w:szCs w:val="28"/>
        </w:rPr>
        <w:t>Захаров решает задачу выбора финансового инструмента на уже заданной стадии; Красильникова — задачу более точного статистического определения самой стадии и вероятности перехода между ними. Ни в одной из этих работ</w:t>
      </w:r>
      <w:r w:rsidR="0050053D">
        <w:rPr>
          <w:sz w:val="28"/>
          <w:szCs w:val="28"/>
          <w:lang w:val="ru-RU"/>
        </w:rPr>
        <w:t xml:space="preserve"> </w:t>
      </w:r>
      <w:r w:rsidR="00AA45C4" w:rsidRPr="00AA45C4">
        <w:rPr>
          <w:sz w:val="28"/>
          <w:szCs w:val="28"/>
        </w:rPr>
        <w:t>вопросы диагностики готовности компании к привлечению капитала и формализованного дисконта за неготовность к публичности не ставятся.</w:t>
      </w:r>
    </w:p>
    <w:p w14:paraId="33C27208" w14:textId="67F6C173" w:rsidR="00A40485" w:rsidRPr="00992F33" w:rsidRDefault="00A40485" w:rsidP="00A40485">
      <w:pPr>
        <w:pBdr>
          <w:top w:val="nil"/>
          <w:left w:val="nil"/>
          <w:bottom w:val="nil"/>
          <w:right w:val="nil"/>
          <w:between w:val="nil"/>
        </w:pBdr>
        <w:spacing w:line="360" w:lineRule="auto"/>
        <w:ind w:left="140" w:right="137" w:firstLine="708"/>
        <w:jc w:val="both"/>
        <w:rPr>
          <w:sz w:val="28"/>
          <w:szCs w:val="28"/>
          <w:lang w:val="ru-RU"/>
        </w:rPr>
      </w:pPr>
      <w:r w:rsidRPr="00A40485">
        <w:rPr>
          <w:sz w:val="28"/>
          <w:szCs w:val="28"/>
          <w:lang w:val="ru-RU"/>
        </w:rPr>
        <w:t>Показательно, что даже наиболее строгая, эмпирическая альтернатива описательным моделям жизненного цикла не устраняет эту проблему. Классификация Дикинсона</w:t>
      </w:r>
      <w:r>
        <w:rPr>
          <w:rStyle w:val="a7"/>
          <w:sz w:val="28"/>
          <w:szCs w:val="28"/>
          <w:lang w:val="ru-RU"/>
        </w:rPr>
        <w:footnoteReference w:id="48"/>
      </w:r>
      <w:r w:rsidRPr="00A40485">
        <w:rPr>
          <w:sz w:val="28"/>
          <w:szCs w:val="28"/>
          <w:lang w:val="ru-RU"/>
        </w:rPr>
        <w:t xml:space="preserve"> определяет стадию жизненного цикла компании исключительно через комбинацию знаков операционного, инвестиционного и финансового денежных потоков в отчётности — без экспертного суждения и без привязки к источнику капитала, что делает её применимой к любой компании, включая никогда не привлекавшую внешнее финансирование. Однако даже эта модель измеряет исключительно денежные потоки компании как таковые, а не её готовность к привлечению институционального капитала: комбинация знаков денежных потоков ничего не говорит ни о прозрачности структуры владения, ни о </w:t>
      </w:r>
      <w:r w:rsidRPr="00992F33">
        <w:rPr>
          <w:sz w:val="28"/>
          <w:szCs w:val="28"/>
          <w:lang w:val="ru-RU"/>
        </w:rPr>
        <w:t>зрелости аудита, ни о предсказуемости дивидендной политики. Иными словами, вопрос о стадии жизненного цикла компании и вопрос о её готовности к капиталу остаются независимыми даже при самой строгой, свободной от экспертных суждений классификации.</w:t>
      </w:r>
    </w:p>
    <w:p w14:paraId="1B258F41" w14:textId="3E59F342" w:rsidR="00992F33" w:rsidRPr="00992F33" w:rsidRDefault="00992F33" w:rsidP="00992F33">
      <w:pPr>
        <w:pBdr>
          <w:top w:val="nil"/>
          <w:left w:val="nil"/>
          <w:bottom w:val="nil"/>
          <w:right w:val="nil"/>
          <w:between w:val="nil"/>
        </w:pBdr>
        <w:spacing w:line="360" w:lineRule="auto"/>
        <w:ind w:left="140" w:right="137" w:firstLine="708"/>
        <w:jc w:val="both"/>
        <w:rPr>
          <w:sz w:val="28"/>
          <w:szCs w:val="28"/>
          <w:lang w:val="ru-RU"/>
        </w:rPr>
      </w:pPr>
      <w:r w:rsidRPr="00992F33">
        <w:rPr>
          <w:sz w:val="28"/>
          <w:szCs w:val="28"/>
          <w:lang w:val="ru-RU"/>
        </w:rPr>
        <w:t xml:space="preserve">Второе направление — методология оценки непубличных компаний и </w:t>
      </w:r>
      <w:r w:rsidRPr="00992F33">
        <w:rPr>
          <w:sz w:val="28"/>
          <w:szCs w:val="28"/>
          <w:lang w:val="ru-RU"/>
        </w:rPr>
        <w:lastRenderedPageBreak/>
        <w:t xml:space="preserve">инструментарий дисконтов и премий за риск. Классическую основу составляют </w:t>
      </w:r>
      <w:r w:rsidRPr="00992F33">
        <w:rPr>
          <w:sz w:val="28"/>
          <w:szCs w:val="28"/>
          <w:lang w:val="en-US"/>
        </w:rPr>
        <w:t>build</w:t>
      </w:r>
      <w:r w:rsidRPr="00992F33">
        <w:rPr>
          <w:sz w:val="28"/>
          <w:szCs w:val="28"/>
          <w:lang w:val="ru-RU"/>
        </w:rPr>
        <w:t>-</w:t>
      </w:r>
      <w:r w:rsidRPr="00992F33">
        <w:rPr>
          <w:sz w:val="28"/>
          <w:szCs w:val="28"/>
          <w:lang w:val="en-US"/>
        </w:rPr>
        <w:t>up</w:t>
      </w:r>
      <w:r w:rsidRPr="00992F33">
        <w:rPr>
          <w:sz w:val="28"/>
          <w:szCs w:val="28"/>
          <w:lang w:val="ru-RU"/>
        </w:rPr>
        <w:t xml:space="preserve"> модель С. Пратта</w:t>
      </w:r>
      <w:r>
        <w:rPr>
          <w:rStyle w:val="a7"/>
          <w:sz w:val="28"/>
          <w:szCs w:val="28"/>
          <w:lang w:val="ru-RU"/>
        </w:rPr>
        <w:footnoteReference w:id="49"/>
      </w:r>
      <w:r w:rsidRPr="00992F33">
        <w:rPr>
          <w:sz w:val="28"/>
          <w:szCs w:val="28"/>
          <w:lang w:val="ru-RU"/>
        </w:rPr>
        <w:t xml:space="preserve"> — последовательное суммирование надбавок за факторы индивидуального риска компании к безрисковой ставке, методология дисконта за недостаточную ликвидность (</w:t>
      </w:r>
      <w:r w:rsidRPr="00992F33">
        <w:rPr>
          <w:sz w:val="28"/>
          <w:szCs w:val="28"/>
          <w:lang w:val="en-US"/>
        </w:rPr>
        <w:t>DLOM</w:t>
      </w:r>
      <w:r w:rsidRPr="00992F33">
        <w:rPr>
          <w:sz w:val="28"/>
          <w:szCs w:val="28"/>
          <w:lang w:val="ru-RU"/>
        </w:rPr>
        <w:t>) на базе зарубежных исследований ограниченных в обращении акций (</w:t>
      </w:r>
      <w:r w:rsidRPr="00992F33">
        <w:rPr>
          <w:sz w:val="28"/>
          <w:szCs w:val="28"/>
          <w:lang w:val="en-US"/>
        </w:rPr>
        <w:t>restricted</w:t>
      </w:r>
      <w:r w:rsidRPr="00992F33">
        <w:rPr>
          <w:sz w:val="28"/>
          <w:szCs w:val="28"/>
          <w:lang w:val="ru-RU"/>
        </w:rPr>
        <w:t xml:space="preserve"> </w:t>
      </w:r>
      <w:r w:rsidRPr="00992F33">
        <w:rPr>
          <w:sz w:val="28"/>
          <w:szCs w:val="28"/>
          <w:lang w:val="en-US"/>
        </w:rPr>
        <w:t>stock</w:t>
      </w:r>
      <w:r w:rsidRPr="00992F33">
        <w:rPr>
          <w:sz w:val="28"/>
          <w:szCs w:val="28"/>
          <w:lang w:val="ru-RU"/>
        </w:rPr>
        <w:t xml:space="preserve"> </w:t>
      </w:r>
      <w:r w:rsidRPr="00992F33">
        <w:rPr>
          <w:sz w:val="28"/>
          <w:szCs w:val="28"/>
          <w:lang w:val="en-US"/>
        </w:rPr>
        <w:t>studies</w:t>
      </w:r>
      <w:r w:rsidRPr="00992F33">
        <w:rPr>
          <w:sz w:val="28"/>
          <w:szCs w:val="28"/>
          <w:lang w:val="ru-RU"/>
        </w:rPr>
        <w:t xml:space="preserve">), а также </w:t>
      </w:r>
      <w:r w:rsidRPr="00992F33">
        <w:rPr>
          <w:sz w:val="28"/>
          <w:szCs w:val="28"/>
          <w:lang w:val="en-US"/>
        </w:rPr>
        <w:t>bottom</w:t>
      </w:r>
      <w:r w:rsidRPr="00992F33">
        <w:rPr>
          <w:sz w:val="28"/>
          <w:szCs w:val="28"/>
          <w:lang w:val="ru-RU"/>
        </w:rPr>
        <w:t>-</w:t>
      </w:r>
      <w:r w:rsidRPr="00992F33">
        <w:rPr>
          <w:sz w:val="28"/>
          <w:szCs w:val="28"/>
          <w:lang w:val="en-US"/>
        </w:rPr>
        <w:t>up</w:t>
      </w:r>
      <w:r w:rsidRPr="00992F33">
        <w:rPr>
          <w:sz w:val="28"/>
          <w:szCs w:val="28"/>
          <w:lang w:val="ru-RU"/>
        </w:rPr>
        <w:t xml:space="preserve"> реконструкция беты и ставки дисконтирования для компаний без рыночных котировок (</w:t>
      </w:r>
      <w:r w:rsidRPr="00992F33">
        <w:rPr>
          <w:sz w:val="28"/>
          <w:szCs w:val="28"/>
          <w:lang w:val="en-US"/>
        </w:rPr>
        <w:t>Damodaran</w:t>
      </w:r>
      <w:r w:rsidRPr="00992F33">
        <w:rPr>
          <w:sz w:val="28"/>
          <w:szCs w:val="28"/>
          <w:lang w:val="ru-RU"/>
        </w:rPr>
        <w:t xml:space="preserve"> </w:t>
      </w:r>
      <w:r w:rsidRPr="00992F33">
        <w:rPr>
          <w:sz w:val="28"/>
          <w:szCs w:val="28"/>
          <w:lang w:val="en-US"/>
        </w:rPr>
        <w:t>A</w:t>
      </w:r>
      <w:r w:rsidRPr="00992F33">
        <w:rPr>
          <w:sz w:val="28"/>
          <w:szCs w:val="28"/>
          <w:lang w:val="ru-RU"/>
        </w:rPr>
        <w:t>.</w:t>
      </w:r>
      <w:r>
        <w:rPr>
          <w:rStyle w:val="a7"/>
          <w:sz w:val="28"/>
          <w:szCs w:val="28"/>
          <w:lang w:val="ru-RU"/>
        </w:rPr>
        <w:footnoteReference w:id="50"/>
      </w:r>
      <w:r w:rsidRPr="00992F33">
        <w:rPr>
          <w:sz w:val="28"/>
          <w:szCs w:val="28"/>
          <w:lang w:val="ru-RU"/>
        </w:rPr>
        <w:t xml:space="preserve">). Российская оценочная практика, регулируемая федеральными стандартами оценки, воспроизводит данную методологию с сохранением её ключевого дефекта — экспертного, невоспроизводимого присвоения весов и значений надбавок за индивидуальный риск. Практическая оценочная литература фиксирует отдельные эмпирические зависимости — обратную связь размера компании и премии за неликвидность, снижение специфического риска при внедрении МСФО-раскрытия на этапе подготовки к </w:t>
      </w:r>
      <w:r w:rsidRPr="00992F33">
        <w:rPr>
          <w:sz w:val="28"/>
          <w:szCs w:val="28"/>
          <w:lang w:val="en-US"/>
        </w:rPr>
        <w:t>IPO</w:t>
      </w:r>
      <w:r w:rsidRPr="00992F33">
        <w:rPr>
          <w:sz w:val="28"/>
          <w:szCs w:val="28"/>
          <w:lang w:val="ru-RU"/>
        </w:rPr>
        <w:t xml:space="preserve"> (база данных </w:t>
      </w:r>
      <w:r w:rsidRPr="00992F33">
        <w:rPr>
          <w:sz w:val="28"/>
          <w:szCs w:val="28"/>
          <w:lang w:val="en-US"/>
        </w:rPr>
        <w:t>Intelek</w:t>
      </w:r>
      <w:r w:rsidRPr="00992F33">
        <w:rPr>
          <w:sz w:val="28"/>
          <w:szCs w:val="28"/>
          <w:lang w:val="ru-RU"/>
        </w:rPr>
        <w:t xml:space="preserve"> </w:t>
      </w:r>
      <w:r w:rsidRPr="00992F33">
        <w:rPr>
          <w:sz w:val="28"/>
          <w:szCs w:val="28"/>
          <w:lang w:val="en-US"/>
        </w:rPr>
        <w:t>Business</w:t>
      </w:r>
      <w:r w:rsidRPr="00992F33">
        <w:rPr>
          <w:sz w:val="28"/>
          <w:szCs w:val="28"/>
          <w:lang w:val="ru-RU"/>
        </w:rPr>
        <w:t xml:space="preserve"> </w:t>
      </w:r>
      <w:r w:rsidRPr="00992F33">
        <w:rPr>
          <w:sz w:val="28"/>
          <w:szCs w:val="28"/>
          <w:lang w:val="en-US"/>
        </w:rPr>
        <w:t>Valuations</w:t>
      </w:r>
      <w:r w:rsidRPr="00992F33">
        <w:rPr>
          <w:sz w:val="28"/>
          <w:szCs w:val="28"/>
          <w:lang w:val="ru-RU"/>
        </w:rPr>
        <w:t>), — однако эти наблюдения не интегрированы в формализованную расчётную процедуру.</w:t>
      </w:r>
    </w:p>
    <w:p w14:paraId="0AF583B6" w14:textId="47A9C78A" w:rsidR="00992F33" w:rsidRPr="00992F33" w:rsidRDefault="00992F33" w:rsidP="00992F33">
      <w:pPr>
        <w:pBdr>
          <w:top w:val="nil"/>
          <w:left w:val="nil"/>
          <w:bottom w:val="nil"/>
          <w:right w:val="nil"/>
          <w:between w:val="nil"/>
        </w:pBdr>
        <w:spacing w:line="360" w:lineRule="auto"/>
        <w:ind w:left="140" w:right="137" w:firstLine="708"/>
        <w:jc w:val="both"/>
        <w:rPr>
          <w:sz w:val="28"/>
          <w:szCs w:val="28"/>
          <w:lang w:val="ru-RU"/>
        </w:rPr>
      </w:pPr>
      <w:r w:rsidRPr="00992F33">
        <w:rPr>
          <w:sz w:val="28"/>
          <w:szCs w:val="28"/>
          <w:lang w:val="ru-RU"/>
        </w:rPr>
        <w:t>Отечественные диссертационные исследования последнего десятилетия развивают инструментарий оценки по отдельным линиям: реальные опционы (Нужденов А.Д., 2016</w:t>
      </w:r>
      <w:r>
        <w:rPr>
          <w:rStyle w:val="a7"/>
          <w:sz w:val="28"/>
          <w:szCs w:val="28"/>
          <w:lang w:val="ru-RU"/>
        </w:rPr>
        <w:footnoteReference w:id="51"/>
      </w:r>
      <w:r w:rsidRPr="00992F33">
        <w:rPr>
          <w:sz w:val="28"/>
          <w:szCs w:val="28"/>
          <w:lang w:val="ru-RU"/>
        </w:rPr>
        <w:t>), статистическое обучение (Коклев П.С., 2023</w:t>
      </w:r>
      <w:r w:rsidR="001140C2">
        <w:rPr>
          <w:rStyle w:val="a7"/>
          <w:sz w:val="28"/>
          <w:szCs w:val="28"/>
          <w:lang w:val="ru-RU"/>
        </w:rPr>
        <w:footnoteReference w:id="52"/>
      </w:r>
      <w:r w:rsidRPr="00992F33">
        <w:rPr>
          <w:sz w:val="28"/>
          <w:szCs w:val="28"/>
          <w:lang w:val="ru-RU"/>
        </w:rPr>
        <w:t>), модель Ольсона в межстрановом сопоставлении (Хасанов А.Б., 2022</w:t>
      </w:r>
      <w:r w:rsidR="001140C2">
        <w:rPr>
          <w:rStyle w:val="a7"/>
          <w:sz w:val="28"/>
          <w:szCs w:val="28"/>
          <w:lang w:val="ru-RU"/>
        </w:rPr>
        <w:footnoteReference w:id="53"/>
      </w:r>
      <w:r w:rsidRPr="00992F33">
        <w:rPr>
          <w:sz w:val="28"/>
          <w:szCs w:val="28"/>
          <w:lang w:val="ru-RU"/>
        </w:rPr>
        <w:t>), модели оценки стоимости и управления капиталом корпорации на развивающемся рынке (Аббясова Д.Р., 2024</w:t>
      </w:r>
      <w:r w:rsidR="001140C2">
        <w:rPr>
          <w:rStyle w:val="a7"/>
          <w:sz w:val="28"/>
          <w:szCs w:val="28"/>
          <w:lang w:val="ru-RU"/>
        </w:rPr>
        <w:footnoteReference w:id="54"/>
      </w:r>
      <w:r w:rsidRPr="00992F33">
        <w:rPr>
          <w:sz w:val="28"/>
          <w:szCs w:val="28"/>
          <w:lang w:val="ru-RU"/>
        </w:rPr>
        <w:t>). Стадийность жизненного цикла компании учитывалась и ранее, но иначе, чем в настоящем исследовании: В.В. Дубровин (2009)</w:t>
      </w:r>
      <w:r w:rsidR="00CF2693">
        <w:rPr>
          <w:rStyle w:val="a7"/>
          <w:sz w:val="28"/>
          <w:szCs w:val="28"/>
          <w:lang w:val="ru-RU"/>
        </w:rPr>
        <w:footnoteReference w:id="55"/>
      </w:r>
      <w:r w:rsidRPr="00992F33">
        <w:rPr>
          <w:sz w:val="28"/>
          <w:szCs w:val="28"/>
          <w:lang w:val="ru-RU"/>
        </w:rPr>
        <w:t xml:space="preserve"> и Я.В. </w:t>
      </w:r>
      <w:r w:rsidRPr="00992F33">
        <w:rPr>
          <w:sz w:val="28"/>
          <w:szCs w:val="28"/>
          <w:lang w:val="ru-RU"/>
        </w:rPr>
        <w:lastRenderedPageBreak/>
        <w:t>Мочалина (2011)</w:t>
      </w:r>
      <w:r w:rsidR="00CF2693">
        <w:rPr>
          <w:rStyle w:val="a7"/>
          <w:sz w:val="28"/>
          <w:szCs w:val="28"/>
          <w:lang w:val="ru-RU"/>
        </w:rPr>
        <w:footnoteReference w:id="56"/>
      </w:r>
      <w:r w:rsidRPr="00992F33">
        <w:rPr>
          <w:sz w:val="28"/>
          <w:szCs w:val="28"/>
          <w:lang w:val="ru-RU"/>
        </w:rPr>
        <w:t xml:space="preserve"> показывают, что для разных стадий развития компании нужно применять разные методы оценки — например, на самой ранней стадии, когда денежных потоков ещё нет, используется метод реальных опционов, а на более поздней, с появлением выручки, — метод дисконтированных денежных потоков. То есть в этих работах смена стадии означает смену самого инструмента оценки. В настоящем исследовании, напротив, метод остаётся одним и тем же на всех стадиях (</w:t>
      </w:r>
      <w:r w:rsidRPr="00992F33">
        <w:rPr>
          <w:sz w:val="28"/>
          <w:szCs w:val="28"/>
          <w:lang w:val="en-US"/>
        </w:rPr>
        <w:t>DCF</w:t>
      </w:r>
      <w:r w:rsidRPr="00992F33">
        <w:rPr>
          <w:sz w:val="28"/>
          <w:szCs w:val="28"/>
          <w:lang w:val="ru-RU"/>
        </w:rPr>
        <w:t xml:space="preserve">, дополненный диагностикой </w:t>
      </w:r>
      <w:r w:rsidRPr="00992F33">
        <w:rPr>
          <w:sz w:val="28"/>
          <w:szCs w:val="28"/>
          <w:lang w:val="en-US"/>
        </w:rPr>
        <w:t>CSRP</w:t>
      </w:r>
      <w:r w:rsidRPr="00992F33">
        <w:rPr>
          <w:sz w:val="28"/>
          <w:szCs w:val="28"/>
          <w:lang w:val="ru-RU"/>
        </w:rPr>
        <w:t>) — меняются только входные данные и точность расчёта, а не сам инструмент. Кроме того, ни Дубровин, ни Мочалина не измеряют саму готовность компании к привлечению капитала как отдельный, самостоятельный показатель — они решают только задачу выбора правильного метода расчёта стоимости.</w:t>
      </w:r>
      <w:r w:rsidR="009F2B24">
        <w:rPr>
          <w:sz w:val="28"/>
          <w:szCs w:val="28"/>
          <w:lang w:val="ru-RU"/>
        </w:rPr>
        <w:t xml:space="preserve"> </w:t>
      </w:r>
      <w:r w:rsidR="009F2B24" w:rsidRPr="009F2B24">
        <w:rPr>
          <w:sz w:val="28"/>
          <w:szCs w:val="28"/>
        </w:rPr>
        <w:t>Тот же принцип — метод меняется под тип компании, а не готовность измеряется единым способом — виден и в более свежей работе Ю.А. Лукиной</w:t>
      </w:r>
      <w:r w:rsidR="009F2B24">
        <w:rPr>
          <w:rStyle w:val="a7"/>
          <w:sz w:val="28"/>
          <w:szCs w:val="28"/>
        </w:rPr>
        <w:footnoteReference w:id="57"/>
      </w:r>
      <w:r w:rsidR="009F2B24" w:rsidRPr="009F2B24">
        <w:rPr>
          <w:sz w:val="28"/>
          <w:szCs w:val="28"/>
        </w:rPr>
        <w:t xml:space="preserve">. </w:t>
      </w:r>
      <w:r w:rsidR="009F2B24">
        <w:rPr>
          <w:sz w:val="28"/>
          <w:szCs w:val="28"/>
          <w:lang w:val="ru-RU"/>
        </w:rPr>
        <w:t xml:space="preserve">В ней </w:t>
      </w:r>
      <w:r w:rsidR="009F2B24" w:rsidRPr="009F2B24">
        <w:rPr>
          <w:sz w:val="28"/>
          <w:szCs w:val="28"/>
        </w:rPr>
        <w:t>DCF-модель адаптирует</w:t>
      </w:r>
      <w:r w:rsidR="009F2B24">
        <w:rPr>
          <w:sz w:val="28"/>
          <w:szCs w:val="28"/>
          <w:lang w:val="ru-RU"/>
        </w:rPr>
        <w:t>ся</w:t>
      </w:r>
      <w:r w:rsidR="009F2B24" w:rsidRPr="009F2B24">
        <w:rPr>
          <w:sz w:val="28"/>
          <w:szCs w:val="28"/>
        </w:rPr>
        <w:t xml:space="preserve"> к быстрорастущим компаниям, но на выборке уже публичных эмитентов (Fix Price, Ozon, «Лента», «Яндекс»), а главным фактором привлекательности считает качество бухгалтерского раскрытия — не диагностику внутренних рисков до выхода на биржу</w:t>
      </w:r>
    </w:p>
    <w:p w14:paraId="07CAA175" w14:textId="7846388E" w:rsidR="00992F33" w:rsidRPr="00992F33" w:rsidRDefault="00992F33" w:rsidP="00992F33">
      <w:pPr>
        <w:pBdr>
          <w:top w:val="nil"/>
          <w:left w:val="nil"/>
          <w:bottom w:val="nil"/>
          <w:right w:val="nil"/>
          <w:between w:val="nil"/>
        </w:pBdr>
        <w:spacing w:line="360" w:lineRule="auto"/>
        <w:ind w:left="140" w:right="137" w:firstLine="708"/>
        <w:jc w:val="both"/>
        <w:rPr>
          <w:sz w:val="28"/>
          <w:szCs w:val="28"/>
          <w:lang w:val="ru-RU"/>
        </w:rPr>
      </w:pPr>
      <w:r w:rsidRPr="00992F33">
        <w:rPr>
          <w:sz w:val="28"/>
          <w:szCs w:val="28"/>
          <w:lang w:val="ru-RU"/>
        </w:rPr>
        <w:t xml:space="preserve">Смежный блок — оценка в сделочном контексте </w:t>
      </w:r>
      <w:r w:rsidRPr="00992F33">
        <w:rPr>
          <w:sz w:val="28"/>
          <w:szCs w:val="28"/>
          <w:lang w:val="en-US"/>
        </w:rPr>
        <w:t>M</w:t>
      </w:r>
      <w:r w:rsidRPr="00992F33">
        <w:rPr>
          <w:sz w:val="28"/>
          <w:szCs w:val="28"/>
          <w:lang w:val="ru-RU"/>
        </w:rPr>
        <w:t>&amp;</w:t>
      </w:r>
      <w:r w:rsidRPr="00992F33">
        <w:rPr>
          <w:sz w:val="28"/>
          <w:szCs w:val="28"/>
          <w:lang w:val="en-US"/>
        </w:rPr>
        <w:t>A</w:t>
      </w:r>
      <w:r w:rsidRPr="00992F33">
        <w:rPr>
          <w:sz w:val="28"/>
          <w:szCs w:val="28"/>
          <w:lang w:val="ru-RU"/>
        </w:rPr>
        <w:t>: синергетический эффект (Зимин В.В., 2020</w:t>
      </w:r>
      <w:r w:rsidR="00CF2693">
        <w:rPr>
          <w:rStyle w:val="a7"/>
          <w:sz w:val="28"/>
          <w:szCs w:val="28"/>
          <w:lang w:val="ru-RU"/>
        </w:rPr>
        <w:footnoteReference w:id="58"/>
      </w:r>
      <w:r w:rsidRPr="00992F33">
        <w:rPr>
          <w:sz w:val="28"/>
          <w:szCs w:val="28"/>
          <w:lang w:val="ru-RU"/>
        </w:rPr>
        <w:t>), создание стоимости в сделках слияния и поглощения (Темукуева Ж.Х., 2024</w:t>
      </w:r>
      <w:r w:rsidR="00CF2693">
        <w:rPr>
          <w:rStyle w:val="a7"/>
          <w:sz w:val="28"/>
          <w:szCs w:val="28"/>
          <w:lang w:val="ru-RU"/>
        </w:rPr>
        <w:footnoteReference w:id="59"/>
      </w:r>
      <w:r w:rsidRPr="00992F33">
        <w:rPr>
          <w:sz w:val="28"/>
          <w:szCs w:val="28"/>
          <w:lang w:val="ru-RU"/>
        </w:rPr>
        <w:t>), ожидаемая премия в сделках (Давиденко А.А., 2023</w:t>
      </w:r>
      <w:r w:rsidR="00CF2693">
        <w:rPr>
          <w:rStyle w:val="a7"/>
          <w:sz w:val="28"/>
          <w:szCs w:val="28"/>
          <w:lang w:val="ru-RU"/>
        </w:rPr>
        <w:footnoteReference w:id="60"/>
      </w:r>
      <w:r w:rsidRPr="00992F33">
        <w:rPr>
          <w:sz w:val="28"/>
          <w:szCs w:val="28"/>
          <w:lang w:val="ru-RU"/>
        </w:rPr>
        <w:t>), риск-ориентированный дью-дилидженс со сценарным методом (Антонова Н.А., 2022</w:t>
      </w:r>
      <w:r w:rsidR="00CF2693">
        <w:rPr>
          <w:rStyle w:val="a7"/>
          <w:sz w:val="28"/>
          <w:szCs w:val="28"/>
          <w:lang w:val="ru-RU"/>
        </w:rPr>
        <w:footnoteReference w:id="61"/>
      </w:r>
      <w:r w:rsidRPr="00992F33">
        <w:rPr>
          <w:sz w:val="28"/>
          <w:szCs w:val="28"/>
          <w:lang w:val="ru-RU"/>
        </w:rPr>
        <w:t xml:space="preserve">). </w:t>
      </w:r>
      <w:r w:rsidR="00835D35" w:rsidRPr="00835D35">
        <w:rPr>
          <w:sz w:val="28"/>
          <w:szCs w:val="28"/>
        </w:rPr>
        <w:t xml:space="preserve">Данные работы адресованы сделочному контексту с идентифицируемым контрагентом, интересы которого известны и с которым возможны индивидуальные переговоры о цене, — тогда как настоящее исследование </w:t>
      </w:r>
      <w:r w:rsidR="00835D35" w:rsidRPr="00835D35">
        <w:rPr>
          <w:sz w:val="28"/>
          <w:szCs w:val="28"/>
        </w:rPr>
        <w:lastRenderedPageBreak/>
        <w:t>рассматривает ситуацию привлечения капитала широким кругом инвесторов, не известных компании заранее, вне зависимости от того, идёт ли речь о венчурном раунде, фонде прямых инвестиций или биржевом размещении. Индивидуальная, адресная логика сделки M&amp;A принципиально отличается от задачи формализованной, воспроизводимой диагностики готовности компании к взаимодействию с этим широким и заранее не определённым кругом инвесторов.</w:t>
      </w:r>
    </w:p>
    <w:p w14:paraId="19D4F6ED" w14:textId="353325F1" w:rsidR="0093286D" w:rsidRPr="0093286D" w:rsidRDefault="0093286D" w:rsidP="00992F33">
      <w:pPr>
        <w:pBdr>
          <w:top w:val="nil"/>
          <w:left w:val="nil"/>
          <w:bottom w:val="nil"/>
          <w:right w:val="nil"/>
          <w:between w:val="nil"/>
        </w:pBdr>
        <w:spacing w:line="360" w:lineRule="auto"/>
        <w:ind w:left="140" w:right="137" w:firstLine="708"/>
        <w:jc w:val="both"/>
        <w:rPr>
          <w:sz w:val="28"/>
          <w:szCs w:val="28"/>
          <w:lang w:val="ru-RU"/>
        </w:rPr>
      </w:pPr>
      <w:r w:rsidRPr="0093286D">
        <w:rPr>
          <w:sz w:val="28"/>
          <w:szCs w:val="28"/>
        </w:rPr>
        <w:t>Формально близка к настоящему исследованию по применяемому инструментарию (модифицированный DCF, авторская шкала риска в build-up логике Пратта) работа И.И. Гулевича</w:t>
      </w:r>
      <w:r>
        <w:rPr>
          <w:rStyle w:val="a7"/>
          <w:sz w:val="28"/>
          <w:szCs w:val="28"/>
        </w:rPr>
        <w:footnoteReference w:id="62"/>
      </w:r>
      <w:r w:rsidRPr="0093286D">
        <w:rPr>
          <w:sz w:val="28"/>
          <w:szCs w:val="28"/>
        </w:rPr>
        <w:t xml:space="preserve">, однако отличается по трём основаниям. </w:t>
      </w:r>
      <w:r>
        <w:rPr>
          <w:sz w:val="28"/>
          <w:szCs w:val="28"/>
          <w:lang w:val="ru-RU"/>
        </w:rPr>
        <w:t>Во-первых, п</w:t>
      </w:r>
      <w:r w:rsidRPr="0093286D">
        <w:rPr>
          <w:sz w:val="28"/>
          <w:szCs w:val="28"/>
        </w:rPr>
        <w:t xml:space="preserve">о природе риска: у Гулевича — внешний, санкционный и неустранимый; в настоящей работе — внутренний и устранимый. </w:t>
      </w:r>
      <w:r>
        <w:rPr>
          <w:sz w:val="28"/>
          <w:szCs w:val="28"/>
          <w:lang w:val="ru-RU"/>
        </w:rPr>
        <w:t>Во-вторых, п</w:t>
      </w:r>
      <w:r w:rsidRPr="0093286D">
        <w:rPr>
          <w:sz w:val="28"/>
          <w:szCs w:val="28"/>
        </w:rPr>
        <w:t xml:space="preserve">о устройству шкалы: у него веса экспертные; здесь — формализованные, по методу Саати с проверкой CR. </w:t>
      </w:r>
      <w:r>
        <w:rPr>
          <w:sz w:val="28"/>
          <w:szCs w:val="28"/>
          <w:lang w:val="ru-RU"/>
        </w:rPr>
        <w:t>В-третьих, п</w:t>
      </w:r>
      <w:r w:rsidRPr="0093286D">
        <w:rPr>
          <w:sz w:val="28"/>
          <w:szCs w:val="28"/>
        </w:rPr>
        <w:t>о охвату объекта: его эмпирическая база — 150 уже публичных компаний, а анализ привязан к моменту непосредственной подготовки к IPO; настоящее исследование рассматривает весь путь компании к капиталу — от венчура и PE до pre-IPO и IPO.</w:t>
      </w:r>
    </w:p>
    <w:p w14:paraId="45EB5D9E" w14:textId="3AF13505" w:rsidR="00992F33" w:rsidRPr="004A748B" w:rsidRDefault="00992F33" w:rsidP="00992F33">
      <w:pPr>
        <w:pBdr>
          <w:top w:val="nil"/>
          <w:left w:val="nil"/>
          <w:bottom w:val="nil"/>
          <w:right w:val="nil"/>
          <w:between w:val="nil"/>
        </w:pBdr>
        <w:spacing w:line="360" w:lineRule="auto"/>
        <w:ind w:left="140" w:right="137" w:firstLine="708"/>
        <w:jc w:val="both"/>
        <w:rPr>
          <w:sz w:val="28"/>
          <w:szCs w:val="28"/>
          <w:lang w:val="ru-RU"/>
        </w:rPr>
      </w:pPr>
      <w:r w:rsidRPr="00992F33">
        <w:rPr>
          <w:sz w:val="28"/>
          <w:szCs w:val="28"/>
          <w:lang w:val="ru-RU"/>
        </w:rPr>
        <w:t>Показательна также работа О.Д. Ксенофонтовой (2023)</w:t>
      </w:r>
      <w:r w:rsidR="0093286D">
        <w:rPr>
          <w:rStyle w:val="a7"/>
          <w:sz w:val="28"/>
          <w:szCs w:val="28"/>
          <w:lang w:val="ru-RU"/>
        </w:rPr>
        <w:footnoteReference w:id="63"/>
      </w:r>
      <w:r w:rsidRPr="00992F33">
        <w:rPr>
          <w:sz w:val="28"/>
          <w:szCs w:val="28"/>
          <w:lang w:val="ru-RU"/>
        </w:rPr>
        <w:t>, эмпирически подтверждающая, что качество корпоративного управления формирует премию к цене акций в размере 20-50% через компонент кумулятивной ставки дисконтирования. Однако эмпирическая база работы — уже публичные компании с наблюдаемой рыночной ценой, а сама премия рассчитывается не для конкретной компании по формализованной процедуре, а выводится регрессионно по выборке компаний — то есть остаётся статистической закономерностью рынка, а не диагностическим инструментом, применимым к отдельной компании до выхода на биржу.</w:t>
      </w:r>
    </w:p>
    <w:p w14:paraId="60BDD071" w14:textId="33C2680C" w:rsidR="004A748B" w:rsidRPr="004A748B"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Третье направление — рынок привлечения капитала: от венчурного финансирования до первичного публичного размещения.</w:t>
      </w:r>
      <w:r>
        <w:rPr>
          <w:sz w:val="28"/>
          <w:szCs w:val="28"/>
          <w:lang w:val="ru-RU"/>
        </w:rPr>
        <w:t xml:space="preserve"> </w:t>
      </w:r>
      <w:r w:rsidRPr="004A748B">
        <w:rPr>
          <w:sz w:val="28"/>
          <w:szCs w:val="28"/>
          <w:lang w:val="ru-RU"/>
        </w:rPr>
        <w:t xml:space="preserve">Данное направление </w:t>
      </w:r>
      <w:r>
        <w:rPr>
          <w:sz w:val="28"/>
          <w:szCs w:val="28"/>
          <w:lang w:val="ru-RU"/>
        </w:rPr>
        <w:t xml:space="preserve">в </w:t>
      </w:r>
      <w:r>
        <w:rPr>
          <w:sz w:val="28"/>
          <w:szCs w:val="28"/>
          <w:lang w:val="ru-RU"/>
        </w:rPr>
        <w:lastRenderedPageBreak/>
        <w:t xml:space="preserve">международном и отечественном исследовательском поле </w:t>
      </w:r>
      <w:r w:rsidRPr="004A748B">
        <w:rPr>
          <w:sz w:val="28"/>
          <w:szCs w:val="28"/>
          <w:lang w:val="ru-RU"/>
        </w:rPr>
        <w:t>охватывает рыночную механику и ценообразование на каждом этапе пути компании к капиталу, а не диагностику готовности отдельной компании (это предмет четвёртого направления).</w:t>
      </w:r>
    </w:p>
    <w:p w14:paraId="67F38F68" w14:textId="41E5D7D7" w:rsidR="00AA3090"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Теоретическую базу венчурного этапа составляют классические работы У. Сахлмана</w:t>
      </w:r>
      <w:r>
        <w:rPr>
          <w:rStyle w:val="a7"/>
          <w:sz w:val="28"/>
          <w:szCs w:val="28"/>
          <w:lang w:val="ru-RU"/>
        </w:rPr>
        <w:footnoteReference w:id="64"/>
      </w:r>
      <w:r w:rsidRPr="004A748B">
        <w:rPr>
          <w:sz w:val="28"/>
          <w:szCs w:val="28"/>
          <w:lang w:val="ru-RU"/>
        </w:rPr>
        <w:t xml:space="preserve"> о поэтапном (</w:t>
      </w:r>
      <w:r w:rsidRPr="004A748B">
        <w:rPr>
          <w:sz w:val="28"/>
          <w:szCs w:val="28"/>
          <w:lang w:val="en-US"/>
        </w:rPr>
        <w:t>staged</w:t>
      </w:r>
      <w:r w:rsidRPr="004A748B">
        <w:rPr>
          <w:sz w:val="28"/>
          <w:szCs w:val="28"/>
          <w:lang w:val="ru-RU"/>
        </w:rPr>
        <w:t>) финансировании как механизме контроля агентских издержек, П. Гомперса</w:t>
      </w:r>
      <w:r w:rsidR="00AA3090">
        <w:rPr>
          <w:rStyle w:val="a7"/>
          <w:sz w:val="28"/>
          <w:szCs w:val="28"/>
          <w:lang w:val="ru-RU"/>
        </w:rPr>
        <w:footnoteReference w:id="65"/>
      </w:r>
      <w:r w:rsidRPr="004A748B">
        <w:rPr>
          <w:sz w:val="28"/>
          <w:szCs w:val="28"/>
          <w:lang w:val="ru-RU"/>
        </w:rPr>
        <w:t xml:space="preserve">, эмпирически показавшего, как асимметрия информации и агентские проблемы определяют структуру поэтапных венчурных инвестиций, а также обобщающая монография П. Гомперса и Дж. Лернера </w:t>
      </w:r>
      <w:r w:rsidRPr="004A748B">
        <w:rPr>
          <w:sz w:val="28"/>
          <w:szCs w:val="28"/>
          <w:lang w:val="en-US"/>
        </w:rPr>
        <w:t>The</w:t>
      </w:r>
      <w:r w:rsidRPr="004A748B">
        <w:rPr>
          <w:sz w:val="28"/>
          <w:szCs w:val="28"/>
          <w:lang w:val="ru-RU"/>
        </w:rPr>
        <w:t xml:space="preserve"> </w:t>
      </w:r>
      <w:r w:rsidRPr="004A748B">
        <w:rPr>
          <w:sz w:val="28"/>
          <w:szCs w:val="28"/>
          <w:lang w:val="en-US"/>
        </w:rPr>
        <w:t>Venture</w:t>
      </w:r>
      <w:r w:rsidRPr="004A748B">
        <w:rPr>
          <w:sz w:val="28"/>
          <w:szCs w:val="28"/>
          <w:lang w:val="ru-RU"/>
        </w:rPr>
        <w:t xml:space="preserve"> </w:t>
      </w:r>
      <w:r w:rsidRPr="004A748B">
        <w:rPr>
          <w:sz w:val="28"/>
          <w:szCs w:val="28"/>
          <w:lang w:val="en-US"/>
        </w:rPr>
        <w:t>Capital</w:t>
      </w:r>
      <w:r w:rsidRPr="004A748B">
        <w:rPr>
          <w:sz w:val="28"/>
          <w:szCs w:val="28"/>
          <w:lang w:val="ru-RU"/>
        </w:rPr>
        <w:t xml:space="preserve"> </w:t>
      </w:r>
      <w:r w:rsidRPr="004A748B">
        <w:rPr>
          <w:sz w:val="28"/>
          <w:szCs w:val="28"/>
          <w:lang w:val="en-US"/>
        </w:rPr>
        <w:t>Cycle</w:t>
      </w:r>
      <w:r w:rsidR="00AA3090">
        <w:rPr>
          <w:rStyle w:val="a7"/>
          <w:sz w:val="28"/>
          <w:szCs w:val="28"/>
          <w:lang w:val="en-US"/>
        </w:rPr>
        <w:footnoteReference w:id="66"/>
      </w:r>
      <w:r w:rsidRPr="004A748B">
        <w:rPr>
          <w:sz w:val="28"/>
          <w:szCs w:val="28"/>
          <w:lang w:val="ru-RU"/>
        </w:rPr>
        <w:t>, ставшая канонической для всего направления. С. Каплан и П. Стрёмберг</w:t>
      </w:r>
      <w:r w:rsidR="00AA3090">
        <w:rPr>
          <w:rStyle w:val="a7"/>
          <w:sz w:val="28"/>
          <w:szCs w:val="28"/>
          <w:lang w:val="ru-RU"/>
        </w:rPr>
        <w:footnoteReference w:id="67"/>
      </w:r>
      <w:r w:rsidRPr="004A748B">
        <w:rPr>
          <w:sz w:val="28"/>
          <w:szCs w:val="28"/>
          <w:lang w:val="ru-RU"/>
        </w:rPr>
        <w:t xml:space="preserve"> эмпирически подтвердили, что реальные условия венчурных контрактов (конвертируемые привилегированные акции, распределение прав контроля) соответствуют теоретическим моделям финансового контрактинга — то есть каждая стадия венчурного финансирования сопровождается специфической контрактной структурой, а не только изменением суммы инвестиций. </w:t>
      </w:r>
    </w:p>
    <w:p w14:paraId="1057CE56" w14:textId="693C2C1E" w:rsidR="00F51137" w:rsidRPr="00F51137" w:rsidRDefault="00F51137" w:rsidP="00B02609">
      <w:pPr>
        <w:pBdr>
          <w:top w:val="nil"/>
          <w:left w:val="nil"/>
          <w:bottom w:val="nil"/>
          <w:right w:val="nil"/>
          <w:between w:val="nil"/>
        </w:pBdr>
        <w:spacing w:line="360" w:lineRule="auto"/>
        <w:ind w:left="140" w:right="137" w:firstLine="708"/>
        <w:jc w:val="both"/>
        <w:rPr>
          <w:sz w:val="28"/>
          <w:szCs w:val="28"/>
          <w:lang w:val="ru-RU"/>
        </w:rPr>
      </w:pPr>
      <w:r w:rsidRPr="00F51137">
        <w:rPr>
          <w:sz w:val="28"/>
          <w:szCs w:val="28"/>
          <w:lang w:val="ru-RU"/>
        </w:rPr>
        <w:t>Российские диссертационные исследования последнего десятилетия развивают тематику венчурного финансирования по нескольким направлениям: сравнительный анализ зарубежных моделей и современных тенденций (Муслимова Э.Р., 2015</w:t>
      </w:r>
      <w:r>
        <w:rPr>
          <w:rStyle w:val="a7"/>
          <w:sz w:val="28"/>
          <w:szCs w:val="28"/>
          <w:lang w:val="ru-RU"/>
        </w:rPr>
        <w:footnoteReference w:id="68"/>
      </w:r>
      <w:r w:rsidRPr="00F51137">
        <w:rPr>
          <w:sz w:val="28"/>
          <w:szCs w:val="28"/>
          <w:lang w:val="ru-RU"/>
        </w:rPr>
        <w:t>), институциональная теория принятия решений венчурными фондами в странах БРИКС (Далал А., 2022</w:t>
      </w:r>
      <w:r>
        <w:rPr>
          <w:rStyle w:val="a7"/>
          <w:sz w:val="28"/>
          <w:szCs w:val="28"/>
          <w:lang w:val="ru-RU"/>
        </w:rPr>
        <w:footnoteReference w:id="69"/>
      </w:r>
      <w:r w:rsidRPr="00F51137">
        <w:rPr>
          <w:sz w:val="28"/>
          <w:szCs w:val="28"/>
          <w:lang w:val="ru-RU"/>
        </w:rPr>
        <w:t>), развитие МСП в условиях формирования нового технологического уклада</w:t>
      </w:r>
      <w:r w:rsidR="00B02609">
        <w:rPr>
          <w:sz w:val="28"/>
          <w:szCs w:val="28"/>
          <w:lang w:val="ru-RU"/>
        </w:rPr>
        <w:t xml:space="preserve"> и роль венчурного капитала в данном процессе</w:t>
      </w:r>
      <w:r w:rsidRPr="00F51137">
        <w:rPr>
          <w:sz w:val="28"/>
          <w:szCs w:val="28"/>
          <w:lang w:val="ru-RU"/>
        </w:rPr>
        <w:t xml:space="preserve"> (Курило А.Е., 2018</w:t>
      </w:r>
      <w:r w:rsidR="00B02609">
        <w:rPr>
          <w:rStyle w:val="a7"/>
          <w:sz w:val="28"/>
          <w:szCs w:val="28"/>
          <w:lang w:val="ru-RU"/>
        </w:rPr>
        <w:footnoteReference w:id="70"/>
      </w:r>
      <w:r w:rsidRPr="00F51137">
        <w:rPr>
          <w:sz w:val="28"/>
          <w:szCs w:val="28"/>
          <w:lang w:val="ru-RU"/>
        </w:rPr>
        <w:t>)</w:t>
      </w:r>
      <w:r w:rsidR="00B02609">
        <w:rPr>
          <w:sz w:val="28"/>
          <w:szCs w:val="28"/>
          <w:lang w:val="ru-RU"/>
        </w:rPr>
        <w:t>.</w:t>
      </w:r>
    </w:p>
    <w:p w14:paraId="6CF264BA" w14:textId="4CCD0C2C" w:rsidR="004A748B" w:rsidRPr="004A748B"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lastRenderedPageBreak/>
        <w:t>Отдельного внимания заслуживает работа Л.П. Синютина (2024</w:t>
      </w:r>
      <w:r w:rsidR="003F4D0D">
        <w:rPr>
          <w:rStyle w:val="a7"/>
          <w:sz w:val="28"/>
          <w:szCs w:val="28"/>
          <w:lang w:val="ru-RU"/>
        </w:rPr>
        <w:footnoteReference w:id="71"/>
      </w:r>
      <w:r w:rsidRPr="004A748B">
        <w:rPr>
          <w:sz w:val="28"/>
          <w:szCs w:val="28"/>
          <w:lang w:val="ru-RU"/>
        </w:rPr>
        <w:t xml:space="preserve">), посвящённая развитию венчурного финансирования в России в условиях изменившейся геополитической реальности. Автор предлагает методику повышения прозрачности венчурного рынка — систематизацию статистических данных со стороны регулятора, сегментацию инвесторов, публикацию результатов в национальной валюте, — что напрямую перекликается с проблемой разрозненности статистики привлечения капитала, поднятой в настоящем исследовании. Отдельная часть работы Синютина посвящена проблеме выхода инвесторов из венчурных сделок в России и предлагает концепцию российского аналога компании для приобретения активов специального назначения (КПАСН, аналог </w:t>
      </w:r>
      <w:r w:rsidRPr="004A748B">
        <w:rPr>
          <w:sz w:val="28"/>
          <w:szCs w:val="28"/>
          <w:lang w:val="en-US"/>
        </w:rPr>
        <w:t>SPAC</w:t>
      </w:r>
      <w:r w:rsidRPr="004A748B">
        <w:rPr>
          <w:sz w:val="28"/>
          <w:szCs w:val="28"/>
          <w:lang w:val="ru-RU"/>
        </w:rPr>
        <w:t>) как альтернативного механизма выхода на публичный рынок. Данная работа, однако, остаётся на уровне рыночной инфраструктуры и статистики в целом, не предлагая методики диагностики готовности отдельной компании к конкретному раунду привлечения капитала.</w:t>
      </w:r>
    </w:p>
    <w:p w14:paraId="2A0F2011" w14:textId="5EC20BCB" w:rsidR="004A748B" w:rsidRPr="00F51137"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Теоретическую базу этапа фондов прямых инвестиций (</w:t>
      </w:r>
      <w:r w:rsidRPr="004A748B">
        <w:rPr>
          <w:sz w:val="28"/>
          <w:szCs w:val="28"/>
          <w:lang w:val="en-US"/>
        </w:rPr>
        <w:t>P</w:t>
      </w:r>
      <w:r w:rsidR="003F4D0D">
        <w:rPr>
          <w:sz w:val="28"/>
          <w:szCs w:val="28"/>
          <w:lang w:val="en-US"/>
        </w:rPr>
        <w:t>rivate</w:t>
      </w:r>
      <w:r w:rsidR="003F4D0D" w:rsidRPr="003F4D0D">
        <w:rPr>
          <w:sz w:val="28"/>
          <w:szCs w:val="28"/>
          <w:lang w:val="ru-RU"/>
        </w:rPr>
        <w:t xml:space="preserve"> </w:t>
      </w:r>
      <w:r w:rsidRPr="004A748B">
        <w:rPr>
          <w:sz w:val="28"/>
          <w:szCs w:val="28"/>
          <w:lang w:val="en-US"/>
        </w:rPr>
        <w:t>E</w:t>
      </w:r>
      <w:r w:rsidR="003F4D0D">
        <w:rPr>
          <w:sz w:val="28"/>
          <w:szCs w:val="28"/>
          <w:lang w:val="en-US"/>
        </w:rPr>
        <w:t>quity</w:t>
      </w:r>
      <w:r w:rsidRPr="004A748B">
        <w:rPr>
          <w:sz w:val="28"/>
          <w:szCs w:val="28"/>
          <w:lang w:val="ru-RU"/>
        </w:rPr>
        <w:t>) заложил М. Дженсен</w:t>
      </w:r>
      <w:r w:rsidR="003F4D0D">
        <w:rPr>
          <w:rStyle w:val="a7"/>
          <w:sz w:val="28"/>
          <w:szCs w:val="28"/>
          <w:lang w:val="ru-RU"/>
        </w:rPr>
        <w:footnoteReference w:id="72"/>
      </w:r>
      <w:r w:rsidRPr="004A748B">
        <w:rPr>
          <w:sz w:val="28"/>
          <w:szCs w:val="28"/>
          <w:lang w:val="ru-RU"/>
        </w:rPr>
        <w:t>, предположивший, что структура управления и стимулирования менеджмента в сделках выкупа с использованием заёмных средств (</w:t>
      </w:r>
      <w:r w:rsidRPr="004A748B">
        <w:rPr>
          <w:sz w:val="28"/>
          <w:szCs w:val="28"/>
          <w:lang w:val="en-US"/>
        </w:rPr>
        <w:t>LBO</w:t>
      </w:r>
      <w:r w:rsidRPr="004A748B">
        <w:rPr>
          <w:sz w:val="28"/>
          <w:szCs w:val="28"/>
          <w:lang w:val="ru-RU"/>
        </w:rPr>
        <w:t>) превосходит структуру типичной публичной компании с распылённым владением</w:t>
      </w:r>
      <w:r w:rsidR="003F4D0D">
        <w:rPr>
          <w:sz w:val="28"/>
          <w:szCs w:val="28"/>
          <w:lang w:val="ru-RU"/>
        </w:rPr>
        <w:t>. Данный</w:t>
      </w:r>
      <w:r w:rsidRPr="004A748B">
        <w:rPr>
          <w:sz w:val="28"/>
          <w:szCs w:val="28"/>
          <w:lang w:val="ru-RU"/>
        </w:rPr>
        <w:t xml:space="preserve"> тезис</w:t>
      </w:r>
      <w:r w:rsidR="00037683">
        <w:rPr>
          <w:sz w:val="28"/>
          <w:szCs w:val="28"/>
          <w:lang w:val="ru-RU"/>
        </w:rPr>
        <w:t xml:space="preserve"> </w:t>
      </w:r>
      <w:r w:rsidRPr="004A748B">
        <w:rPr>
          <w:sz w:val="28"/>
          <w:szCs w:val="28"/>
          <w:lang w:val="ru-RU"/>
        </w:rPr>
        <w:t>эмпирически развит С. Капланом и П. Стрёмбергом</w:t>
      </w:r>
      <w:r w:rsidR="00037683">
        <w:rPr>
          <w:rStyle w:val="a7"/>
          <w:sz w:val="28"/>
          <w:szCs w:val="28"/>
          <w:lang w:val="ru-RU"/>
        </w:rPr>
        <w:footnoteReference w:id="73"/>
      </w:r>
      <w:r w:rsidR="00037683">
        <w:rPr>
          <w:sz w:val="28"/>
          <w:szCs w:val="28"/>
          <w:lang w:val="ru-RU"/>
        </w:rPr>
        <w:t xml:space="preserve"> путем</w:t>
      </w:r>
      <w:r w:rsidRPr="004A748B">
        <w:rPr>
          <w:sz w:val="28"/>
          <w:szCs w:val="28"/>
          <w:lang w:val="ru-RU"/>
        </w:rPr>
        <w:t xml:space="preserve"> выдел</w:t>
      </w:r>
      <w:r w:rsidR="00037683">
        <w:rPr>
          <w:sz w:val="28"/>
          <w:szCs w:val="28"/>
          <w:lang w:val="ru-RU"/>
        </w:rPr>
        <w:t xml:space="preserve">ения </w:t>
      </w:r>
      <w:r w:rsidRPr="004A748B">
        <w:rPr>
          <w:sz w:val="28"/>
          <w:szCs w:val="28"/>
          <w:lang w:val="ru-RU"/>
        </w:rPr>
        <w:t>тр</w:t>
      </w:r>
      <w:r w:rsidR="00037683">
        <w:rPr>
          <w:sz w:val="28"/>
          <w:szCs w:val="28"/>
          <w:lang w:val="ru-RU"/>
        </w:rPr>
        <w:t>ех</w:t>
      </w:r>
      <w:r w:rsidRPr="004A748B">
        <w:rPr>
          <w:sz w:val="28"/>
          <w:szCs w:val="28"/>
          <w:lang w:val="ru-RU"/>
        </w:rPr>
        <w:t xml:space="preserve"> источник</w:t>
      </w:r>
      <w:r w:rsidR="00037683">
        <w:rPr>
          <w:sz w:val="28"/>
          <w:szCs w:val="28"/>
          <w:lang w:val="ru-RU"/>
        </w:rPr>
        <w:t>ов</w:t>
      </w:r>
      <w:r w:rsidRPr="004A748B">
        <w:rPr>
          <w:sz w:val="28"/>
          <w:szCs w:val="28"/>
          <w:lang w:val="ru-RU"/>
        </w:rPr>
        <w:t xml:space="preserve"> создания стоимости в </w:t>
      </w:r>
      <w:r w:rsidRPr="004A748B">
        <w:rPr>
          <w:sz w:val="28"/>
          <w:szCs w:val="28"/>
          <w:lang w:val="en-US"/>
        </w:rPr>
        <w:t>LBO</w:t>
      </w:r>
      <w:r w:rsidRPr="004A748B">
        <w:rPr>
          <w:sz w:val="28"/>
          <w:szCs w:val="28"/>
          <w:lang w:val="ru-RU"/>
        </w:rPr>
        <w:t>-сделках</w:t>
      </w:r>
      <w:r w:rsidR="00037683">
        <w:rPr>
          <w:sz w:val="28"/>
          <w:szCs w:val="28"/>
          <w:lang w:val="ru-RU"/>
        </w:rPr>
        <w:t xml:space="preserve"> как инструменте </w:t>
      </w:r>
      <w:r w:rsidR="00037683">
        <w:rPr>
          <w:sz w:val="28"/>
          <w:szCs w:val="28"/>
          <w:lang w:val="en-US"/>
        </w:rPr>
        <w:t>Private</w:t>
      </w:r>
      <w:r w:rsidR="00037683" w:rsidRPr="00037683">
        <w:rPr>
          <w:sz w:val="28"/>
          <w:szCs w:val="28"/>
          <w:lang w:val="ru-RU"/>
        </w:rPr>
        <w:t xml:space="preserve"> </w:t>
      </w:r>
      <w:r w:rsidR="00037683">
        <w:rPr>
          <w:sz w:val="28"/>
          <w:szCs w:val="28"/>
          <w:lang w:val="en-US"/>
        </w:rPr>
        <w:t>equity</w:t>
      </w:r>
      <w:r w:rsidRPr="004A748B">
        <w:rPr>
          <w:sz w:val="28"/>
          <w:szCs w:val="28"/>
          <w:lang w:val="ru-RU"/>
        </w:rPr>
        <w:t>: корпоративное управление, операционную оптимизацию и финансовый инжиниринг, а также С. Капланом и А. Шоаром</w:t>
      </w:r>
      <w:r w:rsidR="00037683">
        <w:rPr>
          <w:rStyle w:val="a7"/>
          <w:sz w:val="28"/>
          <w:szCs w:val="28"/>
          <w:lang w:val="ru-RU"/>
        </w:rPr>
        <w:footnoteReference w:id="74"/>
      </w:r>
      <w:r w:rsidRPr="004A748B">
        <w:rPr>
          <w:sz w:val="28"/>
          <w:szCs w:val="28"/>
          <w:lang w:val="ru-RU"/>
        </w:rPr>
        <w:t xml:space="preserve">, исследовавшими доходность и устойчивость результатов </w:t>
      </w:r>
      <w:r w:rsidRPr="004A748B">
        <w:rPr>
          <w:sz w:val="28"/>
          <w:szCs w:val="28"/>
          <w:lang w:val="en-US"/>
        </w:rPr>
        <w:t>PE</w:t>
      </w:r>
      <w:r w:rsidRPr="004A748B">
        <w:rPr>
          <w:sz w:val="28"/>
          <w:szCs w:val="28"/>
          <w:lang w:val="ru-RU"/>
        </w:rPr>
        <w:t xml:space="preserve">-фондов. Применительно к российскому рынку эмпирическую апробацию влияния фондов прямых инвестиций и венчурных фондов на показатели непубличных </w:t>
      </w:r>
      <w:r w:rsidRPr="004A748B">
        <w:rPr>
          <w:sz w:val="28"/>
          <w:szCs w:val="28"/>
          <w:lang w:val="ru-RU"/>
        </w:rPr>
        <w:lastRenderedPageBreak/>
        <w:t>технологических компаний провела О.А. Гусева</w:t>
      </w:r>
      <w:r w:rsidR="00037683">
        <w:rPr>
          <w:rStyle w:val="a7"/>
          <w:sz w:val="28"/>
          <w:szCs w:val="28"/>
          <w:lang w:val="ru-RU"/>
        </w:rPr>
        <w:footnoteReference w:id="75"/>
      </w:r>
      <w:r w:rsidRPr="004A748B">
        <w:rPr>
          <w:sz w:val="28"/>
          <w:szCs w:val="28"/>
          <w:lang w:val="ru-RU"/>
        </w:rPr>
        <w:t>, показавшая на выборке резидентов Сколково значимый и положительный вклад частного капитала в прибыльность компаний космического кластера, тогда как участие государственных институтов развития такого эффекта не показало.</w:t>
      </w:r>
      <w:r w:rsidRPr="004A748B">
        <w:rPr>
          <w:sz w:val="28"/>
          <w:szCs w:val="28"/>
          <w:lang w:val="en-US"/>
        </w:rPr>
        <w:t> </w:t>
      </w:r>
      <w:r w:rsidR="00F51137">
        <w:rPr>
          <w:sz w:val="28"/>
          <w:szCs w:val="28"/>
          <w:lang w:val="ru-RU"/>
        </w:rPr>
        <w:t xml:space="preserve">Стоит отметить, что количество работ, посвященных именно этапу </w:t>
      </w:r>
      <w:r w:rsidR="00F51137">
        <w:rPr>
          <w:sz w:val="28"/>
          <w:szCs w:val="28"/>
          <w:lang w:val="en-US"/>
        </w:rPr>
        <w:t>private</w:t>
      </w:r>
      <w:r w:rsidR="00F51137" w:rsidRPr="00F51137">
        <w:rPr>
          <w:sz w:val="28"/>
          <w:szCs w:val="28"/>
          <w:lang w:val="ru-RU"/>
        </w:rPr>
        <w:t xml:space="preserve"> </w:t>
      </w:r>
      <w:r w:rsidR="00F51137">
        <w:rPr>
          <w:sz w:val="28"/>
          <w:szCs w:val="28"/>
          <w:lang w:val="en-US"/>
        </w:rPr>
        <w:t>equity</w:t>
      </w:r>
      <w:r w:rsidR="00F51137" w:rsidRPr="00F51137">
        <w:rPr>
          <w:sz w:val="28"/>
          <w:szCs w:val="28"/>
          <w:lang w:val="ru-RU"/>
        </w:rPr>
        <w:t xml:space="preserve"> </w:t>
      </w:r>
      <w:r w:rsidR="00F51137">
        <w:rPr>
          <w:sz w:val="28"/>
          <w:szCs w:val="28"/>
          <w:lang w:val="ru-RU"/>
        </w:rPr>
        <w:t xml:space="preserve">сделок с их спецификой, исключительно мало. </w:t>
      </w:r>
    </w:p>
    <w:p w14:paraId="214E069E" w14:textId="60D7843F" w:rsidR="004A748B" w:rsidRPr="004A748B" w:rsidRDefault="0010313A" w:rsidP="004A748B">
      <w:pPr>
        <w:pBdr>
          <w:top w:val="nil"/>
          <w:left w:val="nil"/>
          <w:bottom w:val="nil"/>
          <w:right w:val="nil"/>
          <w:between w:val="nil"/>
        </w:pBdr>
        <w:spacing w:line="360" w:lineRule="auto"/>
        <w:ind w:left="140" w:right="137" w:firstLine="708"/>
        <w:jc w:val="both"/>
        <w:rPr>
          <w:sz w:val="28"/>
          <w:szCs w:val="28"/>
          <w:lang w:val="ru-RU"/>
        </w:rPr>
      </w:pPr>
      <w:r>
        <w:rPr>
          <w:sz w:val="28"/>
          <w:szCs w:val="28"/>
          <w:lang w:val="ru-RU"/>
        </w:rPr>
        <w:t>П</w:t>
      </w:r>
      <w:r w:rsidR="004A748B" w:rsidRPr="004A748B">
        <w:rPr>
          <w:sz w:val="28"/>
          <w:szCs w:val="28"/>
          <w:lang w:val="ru-RU"/>
        </w:rPr>
        <w:t>рименительно к завершающему этапу — первичному публичному размещению (</w:t>
      </w:r>
      <w:r w:rsidR="004A748B" w:rsidRPr="004A748B">
        <w:rPr>
          <w:sz w:val="28"/>
          <w:szCs w:val="28"/>
          <w:lang w:val="en-US"/>
        </w:rPr>
        <w:t>IPO</w:t>
      </w:r>
      <w:r w:rsidR="004A748B" w:rsidRPr="004A748B">
        <w:rPr>
          <w:sz w:val="28"/>
          <w:szCs w:val="28"/>
          <w:lang w:val="ru-RU"/>
        </w:rPr>
        <w:t>)</w:t>
      </w:r>
      <w:r>
        <w:rPr>
          <w:sz w:val="28"/>
          <w:szCs w:val="28"/>
          <w:lang w:val="ru-RU"/>
        </w:rPr>
        <w:t xml:space="preserve"> </w:t>
      </w:r>
      <w:r w:rsidRPr="004A748B">
        <w:rPr>
          <w:sz w:val="28"/>
          <w:szCs w:val="28"/>
          <w:lang w:val="ru-RU"/>
        </w:rPr>
        <w:t>—</w:t>
      </w:r>
      <w:r>
        <w:rPr>
          <w:sz w:val="28"/>
          <w:szCs w:val="28"/>
          <w:lang w:val="ru-RU"/>
        </w:rPr>
        <w:t xml:space="preserve"> </w:t>
      </w:r>
      <w:r w:rsidR="004A748B" w:rsidRPr="004A748B">
        <w:rPr>
          <w:sz w:val="28"/>
          <w:szCs w:val="28"/>
          <w:lang w:val="ru-RU"/>
        </w:rPr>
        <w:t xml:space="preserve">международная литература представлена классическими моделями информационной асимметрии, объясняющими </w:t>
      </w:r>
      <w:r w:rsidR="004A748B" w:rsidRPr="004A748B">
        <w:rPr>
          <w:sz w:val="28"/>
          <w:szCs w:val="28"/>
          <w:lang w:val="en-US"/>
        </w:rPr>
        <w:t>underpricing</w:t>
      </w:r>
      <w:r w:rsidR="004A748B" w:rsidRPr="004A748B">
        <w:rPr>
          <w:sz w:val="28"/>
          <w:szCs w:val="28"/>
          <w:lang w:val="ru-RU"/>
        </w:rPr>
        <w:t xml:space="preserve"> — систематическое занижение цены размещения (проклятие победителя </w:t>
      </w:r>
      <w:r w:rsidR="004A748B" w:rsidRPr="004A748B">
        <w:rPr>
          <w:sz w:val="28"/>
          <w:szCs w:val="28"/>
          <w:lang w:val="en-US"/>
        </w:rPr>
        <w:t>Rock</w:t>
      </w:r>
      <w:r w:rsidR="004A748B" w:rsidRPr="004A748B">
        <w:rPr>
          <w:sz w:val="28"/>
          <w:szCs w:val="28"/>
          <w:lang w:val="ru-RU"/>
        </w:rPr>
        <w:t xml:space="preserve"> </w:t>
      </w:r>
      <w:r w:rsidR="004A748B" w:rsidRPr="004A748B">
        <w:rPr>
          <w:sz w:val="28"/>
          <w:szCs w:val="28"/>
          <w:lang w:val="en-US"/>
        </w:rPr>
        <w:t>K</w:t>
      </w:r>
      <w:r w:rsidR="004A748B" w:rsidRPr="004A748B">
        <w:rPr>
          <w:sz w:val="28"/>
          <w:szCs w:val="28"/>
          <w:lang w:val="ru-RU"/>
        </w:rPr>
        <w:t>.</w:t>
      </w:r>
      <w:r w:rsidR="00052A0A">
        <w:rPr>
          <w:rStyle w:val="a7"/>
          <w:sz w:val="28"/>
          <w:szCs w:val="28"/>
          <w:lang w:val="ru-RU"/>
        </w:rPr>
        <w:footnoteReference w:id="76"/>
      </w:r>
      <w:r w:rsidR="004A748B" w:rsidRPr="004A748B">
        <w:rPr>
          <w:sz w:val="28"/>
          <w:szCs w:val="28"/>
          <w:lang w:val="ru-RU"/>
        </w:rPr>
        <w:t xml:space="preserve">, сигнальная функция удерживаемого контроля </w:t>
      </w:r>
      <w:r w:rsidR="004A748B" w:rsidRPr="004A748B">
        <w:rPr>
          <w:sz w:val="28"/>
          <w:szCs w:val="28"/>
          <w:lang w:val="en-US"/>
        </w:rPr>
        <w:t>Leland</w:t>
      </w:r>
      <w:r w:rsidR="004A748B" w:rsidRPr="004A748B">
        <w:rPr>
          <w:sz w:val="28"/>
          <w:szCs w:val="28"/>
          <w:lang w:val="ru-RU"/>
        </w:rPr>
        <w:t xml:space="preserve"> </w:t>
      </w:r>
      <w:r w:rsidR="004A748B" w:rsidRPr="004A748B">
        <w:rPr>
          <w:sz w:val="28"/>
          <w:szCs w:val="28"/>
          <w:lang w:val="en-US"/>
        </w:rPr>
        <w:t>H</w:t>
      </w:r>
      <w:r w:rsidR="004A748B" w:rsidRPr="004A748B">
        <w:rPr>
          <w:sz w:val="28"/>
          <w:szCs w:val="28"/>
          <w:lang w:val="ru-RU"/>
        </w:rPr>
        <w:t xml:space="preserve">., </w:t>
      </w:r>
      <w:r w:rsidR="004A748B" w:rsidRPr="004A748B">
        <w:rPr>
          <w:sz w:val="28"/>
          <w:szCs w:val="28"/>
          <w:lang w:val="en-US"/>
        </w:rPr>
        <w:t>Pyle</w:t>
      </w:r>
      <w:r w:rsidR="004A748B" w:rsidRPr="004A748B">
        <w:rPr>
          <w:sz w:val="28"/>
          <w:szCs w:val="28"/>
          <w:lang w:val="ru-RU"/>
        </w:rPr>
        <w:t xml:space="preserve"> </w:t>
      </w:r>
      <w:r w:rsidR="004A748B" w:rsidRPr="004A748B">
        <w:rPr>
          <w:sz w:val="28"/>
          <w:szCs w:val="28"/>
          <w:lang w:val="en-US"/>
        </w:rPr>
        <w:t>D</w:t>
      </w:r>
      <w:r w:rsidR="004A748B" w:rsidRPr="004A748B">
        <w:rPr>
          <w:sz w:val="28"/>
          <w:szCs w:val="28"/>
          <w:lang w:val="ru-RU"/>
        </w:rPr>
        <w:t>.</w:t>
      </w:r>
      <w:r w:rsidR="008A0DBE">
        <w:rPr>
          <w:rStyle w:val="a7"/>
          <w:sz w:val="28"/>
          <w:szCs w:val="28"/>
          <w:lang w:val="ru-RU"/>
        </w:rPr>
        <w:footnoteReference w:id="77"/>
      </w:r>
      <w:r w:rsidR="004A748B" w:rsidRPr="004A748B">
        <w:rPr>
          <w:sz w:val="28"/>
          <w:szCs w:val="28"/>
          <w:lang w:val="ru-RU"/>
        </w:rPr>
        <w:t xml:space="preserve">, циклы горячих рынков </w:t>
      </w:r>
      <w:r w:rsidR="004A748B" w:rsidRPr="004A748B">
        <w:rPr>
          <w:sz w:val="28"/>
          <w:szCs w:val="28"/>
          <w:lang w:val="en-US"/>
        </w:rPr>
        <w:t>Ritter</w:t>
      </w:r>
      <w:r w:rsidR="004A748B" w:rsidRPr="004A748B">
        <w:rPr>
          <w:sz w:val="28"/>
          <w:szCs w:val="28"/>
          <w:lang w:val="ru-RU"/>
        </w:rPr>
        <w:t xml:space="preserve"> </w:t>
      </w:r>
      <w:r w:rsidR="004A748B" w:rsidRPr="004A748B">
        <w:rPr>
          <w:sz w:val="28"/>
          <w:szCs w:val="28"/>
          <w:lang w:val="en-US"/>
        </w:rPr>
        <w:t>J</w:t>
      </w:r>
      <w:r w:rsidR="004A748B" w:rsidRPr="004A748B">
        <w:rPr>
          <w:sz w:val="28"/>
          <w:szCs w:val="28"/>
          <w:lang w:val="ru-RU"/>
        </w:rPr>
        <w:t>.</w:t>
      </w:r>
      <w:r w:rsidR="008A0DBE">
        <w:rPr>
          <w:rStyle w:val="a7"/>
          <w:sz w:val="28"/>
          <w:szCs w:val="28"/>
          <w:lang w:val="ru-RU"/>
        </w:rPr>
        <w:footnoteReference w:id="78"/>
      </w:r>
      <w:r w:rsidR="004A748B" w:rsidRPr="004A748B">
        <w:rPr>
          <w:sz w:val="28"/>
          <w:szCs w:val="28"/>
          <w:lang w:val="ru-RU"/>
        </w:rPr>
        <w:t xml:space="preserve">, поведенческие и агентские объяснения </w:t>
      </w:r>
      <w:r w:rsidR="004A748B" w:rsidRPr="004A748B">
        <w:rPr>
          <w:sz w:val="28"/>
          <w:szCs w:val="28"/>
          <w:lang w:val="en-US"/>
        </w:rPr>
        <w:t>Ljungqvist</w:t>
      </w:r>
      <w:r w:rsidR="004A748B" w:rsidRPr="004A748B">
        <w:rPr>
          <w:sz w:val="28"/>
          <w:szCs w:val="28"/>
          <w:lang w:val="ru-RU"/>
        </w:rPr>
        <w:t xml:space="preserve"> </w:t>
      </w:r>
      <w:r w:rsidR="004A748B" w:rsidRPr="004A748B">
        <w:rPr>
          <w:sz w:val="28"/>
          <w:szCs w:val="28"/>
          <w:lang w:val="en-US"/>
        </w:rPr>
        <w:t>A</w:t>
      </w:r>
      <w:r w:rsidR="004A748B" w:rsidRPr="004A748B">
        <w:rPr>
          <w:sz w:val="28"/>
          <w:szCs w:val="28"/>
          <w:lang w:val="ru-RU"/>
        </w:rPr>
        <w:t xml:space="preserve">., </w:t>
      </w:r>
      <w:r w:rsidR="004A748B" w:rsidRPr="004A748B">
        <w:rPr>
          <w:sz w:val="28"/>
          <w:szCs w:val="28"/>
          <w:lang w:val="en-US"/>
        </w:rPr>
        <w:t>Nanda</w:t>
      </w:r>
      <w:r w:rsidR="004A748B" w:rsidRPr="004A748B">
        <w:rPr>
          <w:sz w:val="28"/>
          <w:szCs w:val="28"/>
          <w:lang w:val="ru-RU"/>
        </w:rPr>
        <w:t xml:space="preserve"> </w:t>
      </w:r>
      <w:r w:rsidR="004A748B" w:rsidRPr="004A748B">
        <w:rPr>
          <w:sz w:val="28"/>
          <w:szCs w:val="28"/>
          <w:lang w:val="en-US"/>
        </w:rPr>
        <w:t>V</w:t>
      </w:r>
      <w:r w:rsidR="004A748B" w:rsidRPr="004A748B">
        <w:rPr>
          <w:sz w:val="28"/>
          <w:szCs w:val="28"/>
          <w:lang w:val="ru-RU"/>
        </w:rPr>
        <w:t xml:space="preserve">., </w:t>
      </w:r>
      <w:r w:rsidR="004A748B" w:rsidRPr="004A748B">
        <w:rPr>
          <w:sz w:val="28"/>
          <w:szCs w:val="28"/>
          <w:lang w:val="en-US"/>
        </w:rPr>
        <w:t>Singh</w:t>
      </w:r>
      <w:r w:rsidR="004A748B" w:rsidRPr="004A748B">
        <w:rPr>
          <w:sz w:val="28"/>
          <w:szCs w:val="28"/>
          <w:lang w:val="ru-RU"/>
        </w:rPr>
        <w:t xml:space="preserve"> </w:t>
      </w:r>
      <w:r w:rsidR="004A748B" w:rsidRPr="004A748B">
        <w:rPr>
          <w:sz w:val="28"/>
          <w:szCs w:val="28"/>
          <w:lang w:val="en-US"/>
        </w:rPr>
        <w:t>R</w:t>
      </w:r>
      <w:r w:rsidR="004A748B" w:rsidRPr="004A748B">
        <w:rPr>
          <w:sz w:val="28"/>
          <w:szCs w:val="28"/>
          <w:lang w:val="ru-RU"/>
        </w:rPr>
        <w:t>.</w:t>
      </w:r>
      <w:r w:rsidR="008A0DBE">
        <w:rPr>
          <w:rStyle w:val="a7"/>
          <w:sz w:val="28"/>
          <w:szCs w:val="28"/>
          <w:lang w:val="ru-RU"/>
        </w:rPr>
        <w:footnoteReference w:id="79"/>
      </w:r>
      <w:r w:rsidR="004A748B" w:rsidRPr="004A748B">
        <w:rPr>
          <w:sz w:val="28"/>
          <w:szCs w:val="28"/>
          <w:lang w:val="ru-RU"/>
        </w:rPr>
        <w:t xml:space="preserve">), а также более поздними исследованиями противоположного явления — </w:t>
      </w:r>
      <w:r w:rsidR="004A748B" w:rsidRPr="004A748B">
        <w:rPr>
          <w:sz w:val="28"/>
          <w:szCs w:val="28"/>
          <w:lang w:val="en-US"/>
        </w:rPr>
        <w:t>overpricing</w:t>
      </w:r>
      <w:r w:rsidR="004A748B" w:rsidRPr="004A748B">
        <w:rPr>
          <w:sz w:val="28"/>
          <w:szCs w:val="28"/>
          <w:lang w:val="ru-RU"/>
        </w:rPr>
        <w:t xml:space="preserve"> (</w:t>
      </w:r>
      <w:r w:rsidR="004A748B" w:rsidRPr="004A748B">
        <w:rPr>
          <w:sz w:val="28"/>
          <w:szCs w:val="28"/>
          <w:lang w:val="en-US"/>
        </w:rPr>
        <w:t>Rossovski</w:t>
      </w:r>
      <w:r w:rsidR="004A748B" w:rsidRPr="004A748B">
        <w:rPr>
          <w:sz w:val="28"/>
          <w:szCs w:val="28"/>
          <w:lang w:val="ru-RU"/>
        </w:rPr>
        <w:t xml:space="preserve"> </w:t>
      </w:r>
      <w:r w:rsidR="004A748B" w:rsidRPr="004A748B">
        <w:rPr>
          <w:sz w:val="28"/>
          <w:szCs w:val="28"/>
          <w:lang w:val="en-US"/>
        </w:rPr>
        <w:t>J</w:t>
      </w:r>
      <w:r w:rsidR="004A748B" w:rsidRPr="004A748B">
        <w:rPr>
          <w:sz w:val="28"/>
          <w:szCs w:val="28"/>
          <w:lang w:val="ru-RU"/>
        </w:rPr>
        <w:t xml:space="preserve">., </w:t>
      </w:r>
      <w:r w:rsidR="004A748B" w:rsidRPr="004A748B">
        <w:rPr>
          <w:sz w:val="28"/>
          <w:szCs w:val="28"/>
          <w:lang w:val="en-US"/>
        </w:rPr>
        <w:t>Lucey</w:t>
      </w:r>
      <w:r w:rsidR="004A748B" w:rsidRPr="004A748B">
        <w:rPr>
          <w:sz w:val="28"/>
          <w:szCs w:val="28"/>
          <w:lang w:val="ru-RU"/>
        </w:rPr>
        <w:t xml:space="preserve"> </w:t>
      </w:r>
      <w:r w:rsidR="004A748B" w:rsidRPr="004A748B">
        <w:rPr>
          <w:sz w:val="28"/>
          <w:szCs w:val="28"/>
          <w:lang w:val="en-US"/>
        </w:rPr>
        <w:t>B</w:t>
      </w:r>
      <w:r w:rsidR="004A748B" w:rsidRPr="004A748B">
        <w:rPr>
          <w:sz w:val="28"/>
          <w:szCs w:val="28"/>
          <w:lang w:val="ru-RU"/>
        </w:rPr>
        <w:t xml:space="preserve">., </w:t>
      </w:r>
      <w:r w:rsidR="004A748B" w:rsidRPr="004A748B">
        <w:rPr>
          <w:sz w:val="28"/>
          <w:szCs w:val="28"/>
          <w:lang w:val="en-US"/>
        </w:rPr>
        <w:t>Helbing</w:t>
      </w:r>
      <w:r w:rsidR="004A748B" w:rsidRPr="004A748B">
        <w:rPr>
          <w:sz w:val="28"/>
          <w:szCs w:val="28"/>
          <w:lang w:val="ru-RU"/>
        </w:rPr>
        <w:t xml:space="preserve"> </w:t>
      </w:r>
      <w:r w:rsidR="004A748B" w:rsidRPr="004A748B">
        <w:rPr>
          <w:sz w:val="28"/>
          <w:szCs w:val="28"/>
          <w:lang w:val="en-US"/>
        </w:rPr>
        <w:t>P</w:t>
      </w:r>
      <w:r w:rsidR="004A748B" w:rsidRPr="004A748B">
        <w:rPr>
          <w:sz w:val="28"/>
          <w:szCs w:val="28"/>
          <w:lang w:val="ru-RU"/>
        </w:rPr>
        <w:t>.</w:t>
      </w:r>
      <w:r w:rsidR="008A0DBE">
        <w:rPr>
          <w:rStyle w:val="a7"/>
          <w:sz w:val="28"/>
          <w:szCs w:val="28"/>
          <w:lang w:val="ru-RU"/>
        </w:rPr>
        <w:footnoteReference w:id="80"/>
      </w:r>
      <w:r w:rsidR="004A748B" w:rsidRPr="004A748B">
        <w:rPr>
          <w:sz w:val="28"/>
          <w:szCs w:val="28"/>
          <w:lang w:val="ru-RU"/>
        </w:rPr>
        <w:t xml:space="preserve">; </w:t>
      </w:r>
      <w:r w:rsidR="004A748B" w:rsidRPr="004A748B">
        <w:rPr>
          <w:sz w:val="28"/>
          <w:szCs w:val="28"/>
          <w:lang w:val="en-US"/>
        </w:rPr>
        <w:t>Baker</w:t>
      </w:r>
      <w:r w:rsidR="004A748B" w:rsidRPr="004A748B">
        <w:rPr>
          <w:sz w:val="28"/>
          <w:szCs w:val="28"/>
          <w:lang w:val="ru-RU"/>
        </w:rPr>
        <w:t xml:space="preserve"> </w:t>
      </w:r>
      <w:r w:rsidR="004A748B" w:rsidRPr="004A748B">
        <w:rPr>
          <w:sz w:val="28"/>
          <w:szCs w:val="28"/>
          <w:lang w:val="en-US"/>
        </w:rPr>
        <w:t>E</w:t>
      </w:r>
      <w:r w:rsidR="004A748B" w:rsidRPr="004A748B">
        <w:rPr>
          <w:sz w:val="28"/>
          <w:szCs w:val="28"/>
          <w:lang w:val="ru-RU"/>
        </w:rPr>
        <w:t>.</w:t>
      </w:r>
      <w:r w:rsidR="004A748B" w:rsidRPr="004A748B">
        <w:rPr>
          <w:sz w:val="28"/>
          <w:szCs w:val="28"/>
          <w:lang w:val="en-US"/>
        </w:rPr>
        <w:t>D</w:t>
      </w:r>
      <w:r w:rsidR="004A748B" w:rsidRPr="004A748B">
        <w:rPr>
          <w:sz w:val="28"/>
          <w:szCs w:val="28"/>
          <w:lang w:val="ru-RU"/>
        </w:rPr>
        <w:t xml:space="preserve">., </w:t>
      </w:r>
      <w:r w:rsidR="004A748B" w:rsidRPr="004A748B">
        <w:rPr>
          <w:sz w:val="28"/>
          <w:szCs w:val="28"/>
          <w:lang w:val="en-US"/>
        </w:rPr>
        <w:t>Boulton</w:t>
      </w:r>
      <w:r w:rsidR="004A748B" w:rsidRPr="004A748B">
        <w:rPr>
          <w:sz w:val="28"/>
          <w:szCs w:val="28"/>
          <w:lang w:val="ru-RU"/>
        </w:rPr>
        <w:t xml:space="preserve"> </w:t>
      </w:r>
      <w:r w:rsidR="004A748B" w:rsidRPr="004A748B">
        <w:rPr>
          <w:sz w:val="28"/>
          <w:szCs w:val="28"/>
          <w:lang w:val="en-US"/>
        </w:rPr>
        <w:t>T</w:t>
      </w:r>
      <w:r w:rsidR="004A748B" w:rsidRPr="004A748B">
        <w:rPr>
          <w:sz w:val="28"/>
          <w:szCs w:val="28"/>
          <w:lang w:val="ru-RU"/>
        </w:rPr>
        <w:t>.</w:t>
      </w:r>
      <w:r w:rsidR="004A748B" w:rsidRPr="004A748B">
        <w:rPr>
          <w:sz w:val="28"/>
          <w:szCs w:val="28"/>
          <w:lang w:val="en-US"/>
        </w:rPr>
        <w:t>J</w:t>
      </w:r>
      <w:r w:rsidR="004A748B" w:rsidRPr="004A748B">
        <w:rPr>
          <w:sz w:val="28"/>
          <w:szCs w:val="28"/>
          <w:lang w:val="ru-RU"/>
        </w:rPr>
        <w:t xml:space="preserve">., </w:t>
      </w:r>
      <w:r w:rsidR="004A748B" w:rsidRPr="004A748B">
        <w:rPr>
          <w:sz w:val="28"/>
          <w:szCs w:val="28"/>
          <w:lang w:val="en-US"/>
        </w:rPr>
        <w:t>Braga</w:t>
      </w:r>
      <w:r w:rsidR="004A748B" w:rsidRPr="004A748B">
        <w:rPr>
          <w:sz w:val="28"/>
          <w:szCs w:val="28"/>
          <w:lang w:val="ru-RU"/>
        </w:rPr>
        <w:t>-</w:t>
      </w:r>
      <w:r w:rsidR="004A748B" w:rsidRPr="004A748B">
        <w:rPr>
          <w:sz w:val="28"/>
          <w:szCs w:val="28"/>
          <w:lang w:val="en-US"/>
        </w:rPr>
        <w:t>Alves</w:t>
      </w:r>
      <w:r w:rsidR="004A748B" w:rsidRPr="004A748B">
        <w:rPr>
          <w:sz w:val="28"/>
          <w:szCs w:val="28"/>
          <w:lang w:val="ru-RU"/>
        </w:rPr>
        <w:t xml:space="preserve"> </w:t>
      </w:r>
      <w:r w:rsidR="004A748B" w:rsidRPr="004A748B">
        <w:rPr>
          <w:sz w:val="28"/>
          <w:szCs w:val="28"/>
          <w:lang w:val="en-US"/>
        </w:rPr>
        <w:t>M</w:t>
      </w:r>
      <w:r w:rsidR="004A748B" w:rsidRPr="004A748B">
        <w:rPr>
          <w:sz w:val="28"/>
          <w:szCs w:val="28"/>
          <w:lang w:val="ru-RU"/>
        </w:rPr>
        <w:t>.</w:t>
      </w:r>
      <w:r w:rsidR="004A748B" w:rsidRPr="004A748B">
        <w:rPr>
          <w:sz w:val="28"/>
          <w:szCs w:val="28"/>
          <w:lang w:val="en-US"/>
        </w:rPr>
        <w:t>V</w:t>
      </w:r>
      <w:r w:rsidR="004A748B" w:rsidRPr="004A748B">
        <w:rPr>
          <w:sz w:val="28"/>
          <w:szCs w:val="28"/>
          <w:lang w:val="ru-RU"/>
        </w:rPr>
        <w:t>.</w:t>
      </w:r>
      <w:r w:rsidR="008A0DBE">
        <w:rPr>
          <w:rStyle w:val="a7"/>
          <w:sz w:val="28"/>
          <w:szCs w:val="28"/>
          <w:lang w:val="ru-RU"/>
        </w:rPr>
        <w:footnoteReference w:id="81"/>
      </w:r>
      <w:r w:rsidR="004A748B" w:rsidRPr="004A748B">
        <w:rPr>
          <w:sz w:val="28"/>
          <w:szCs w:val="28"/>
          <w:lang w:val="ru-RU"/>
        </w:rPr>
        <w:t xml:space="preserve"> — влияние качества корпоративного управления на ценообразование).</w:t>
      </w:r>
    </w:p>
    <w:p w14:paraId="49609817" w14:textId="445F444B" w:rsidR="004A748B" w:rsidRPr="004A748B"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В отечественной диссертационной науке направление представлено работами о развитии российского рынка акционерного капитала (Абгарян А.А., 2015</w:t>
      </w:r>
      <w:r w:rsidR="005729C8">
        <w:rPr>
          <w:rStyle w:val="a7"/>
          <w:sz w:val="28"/>
          <w:szCs w:val="28"/>
          <w:lang w:val="ru-RU"/>
        </w:rPr>
        <w:footnoteReference w:id="82"/>
      </w:r>
      <w:r w:rsidRPr="004A748B">
        <w:rPr>
          <w:sz w:val="28"/>
          <w:szCs w:val="28"/>
          <w:lang w:val="ru-RU"/>
        </w:rPr>
        <w:t>), факторах динамики первичных размещений на мировом рынке в условиях глобализации (Мусихина Е.А., 2017</w:t>
      </w:r>
      <w:r w:rsidR="005729C8">
        <w:rPr>
          <w:rStyle w:val="a7"/>
          <w:sz w:val="28"/>
          <w:szCs w:val="28"/>
          <w:lang w:val="ru-RU"/>
        </w:rPr>
        <w:footnoteReference w:id="83"/>
      </w:r>
      <w:r w:rsidRPr="004A748B">
        <w:rPr>
          <w:sz w:val="28"/>
          <w:szCs w:val="28"/>
          <w:lang w:val="ru-RU"/>
        </w:rPr>
        <w:t xml:space="preserve">), финансировании инновационно-ориентированной компании через механизм </w:t>
      </w:r>
      <w:r w:rsidRPr="004A748B">
        <w:rPr>
          <w:sz w:val="28"/>
          <w:szCs w:val="28"/>
          <w:lang w:val="en-US"/>
        </w:rPr>
        <w:t>IPO</w:t>
      </w:r>
      <w:r w:rsidRPr="004A748B">
        <w:rPr>
          <w:sz w:val="28"/>
          <w:szCs w:val="28"/>
          <w:lang w:val="ru-RU"/>
        </w:rPr>
        <w:t xml:space="preserve"> (Самылов И.О., 2021</w:t>
      </w:r>
      <w:r w:rsidR="009C6219">
        <w:rPr>
          <w:rStyle w:val="a7"/>
          <w:sz w:val="28"/>
          <w:szCs w:val="28"/>
          <w:lang w:val="ru-RU"/>
        </w:rPr>
        <w:footnoteReference w:id="84"/>
      </w:r>
      <w:r w:rsidRPr="004A748B">
        <w:rPr>
          <w:sz w:val="28"/>
          <w:szCs w:val="28"/>
          <w:lang w:val="ru-RU"/>
        </w:rPr>
        <w:t xml:space="preserve">), формировании стоимости российских компаний на основе акционирования в </w:t>
      </w:r>
      <w:r w:rsidRPr="004A748B">
        <w:rPr>
          <w:sz w:val="28"/>
          <w:szCs w:val="28"/>
          <w:lang w:val="ru-RU"/>
        </w:rPr>
        <w:lastRenderedPageBreak/>
        <w:t>условиях цифровой экономики (Шестакова Е.Д., 2024</w:t>
      </w:r>
      <w:r w:rsidR="009C6219">
        <w:rPr>
          <w:rStyle w:val="a7"/>
          <w:sz w:val="28"/>
          <w:szCs w:val="28"/>
          <w:lang w:val="ru-RU"/>
        </w:rPr>
        <w:footnoteReference w:id="85"/>
      </w:r>
      <w:r w:rsidRPr="004A748B">
        <w:rPr>
          <w:sz w:val="28"/>
          <w:szCs w:val="28"/>
          <w:lang w:val="ru-RU"/>
        </w:rPr>
        <w:t>), управлении капитализацией публичных компаний (Земскова И.М., 2024</w:t>
      </w:r>
      <w:r w:rsidR="009C6219">
        <w:rPr>
          <w:rStyle w:val="a7"/>
          <w:sz w:val="28"/>
          <w:szCs w:val="28"/>
          <w:lang w:val="ru-RU"/>
        </w:rPr>
        <w:footnoteReference w:id="86"/>
      </w:r>
      <w:r w:rsidRPr="004A748B">
        <w:rPr>
          <w:sz w:val="28"/>
          <w:szCs w:val="28"/>
          <w:lang w:val="ru-RU"/>
        </w:rPr>
        <w:t>; Гарбави М.А.Х., 2019</w:t>
      </w:r>
      <w:r w:rsidR="009C6219">
        <w:rPr>
          <w:rStyle w:val="a7"/>
          <w:sz w:val="28"/>
          <w:szCs w:val="28"/>
          <w:lang w:val="ru-RU"/>
        </w:rPr>
        <w:footnoteReference w:id="87"/>
      </w:r>
      <w:r w:rsidRPr="004A748B">
        <w:rPr>
          <w:sz w:val="28"/>
          <w:szCs w:val="28"/>
          <w:lang w:val="ru-RU"/>
        </w:rPr>
        <w:t>) и финансовой стратегии публичной компании (Почитаев А.Ю., 2018</w:t>
      </w:r>
      <w:r w:rsidR="00F51137">
        <w:rPr>
          <w:rStyle w:val="a7"/>
          <w:sz w:val="28"/>
          <w:szCs w:val="28"/>
          <w:lang w:val="ru-RU"/>
        </w:rPr>
        <w:footnoteReference w:id="88"/>
      </w:r>
      <w:r w:rsidRPr="004A748B">
        <w:rPr>
          <w:sz w:val="28"/>
          <w:szCs w:val="28"/>
          <w:lang w:val="ru-RU"/>
        </w:rPr>
        <w:t xml:space="preserve">). Работа Самылова рассматривает </w:t>
      </w:r>
      <w:r w:rsidRPr="004A748B">
        <w:rPr>
          <w:sz w:val="28"/>
          <w:szCs w:val="28"/>
          <w:lang w:val="en-US"/>
        </w:rPr>
        <w:t>IPO</w:t>
      </w:r>
      <w:r w:rsidRPr="004A748B">
        <w:rPr>
          <w:sz w:val="28"/>
          <w:szCs w:val="28"/>
          <w:lang w:val="ru-RU"/>
        </w:rPr>
        <w:t xml:space="preserve"> как механизм финансирования, а не как объект оценочной методологии; работы Земсковой и Гарбави посвящены управлению капитализацией уже публичных компаний — то есть периоду после того рубежа, на котором заканчивается предмет настоящей работы.</w:t>
      </w:r>
    </w:p>
    <w:p w14:paraId="3114FB4D" w14:textId="13D8538E" w:rsidR="004A748B" w:rsidRPr="004A748B"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Наиболее близкой к предмету настоящего исследования является диссертация Р.Г. Тонояна</w:t>
      </w:r>
      <w:r w:rsidR="00F51137">
        <w:rPr>
          <w:rStyle w:val="a7"/>
          <w:sz w:val="28"/>
          <w:szCs w:val="28"/>
          <w:lang w:val="ru-RU"/>
        </w:rPr>
        <w:footnoteReference w:id="89"/>
      </w:r>
      <w:r w:rsidRPr="004A748B">
        <w:rPr>
          <w:sz w:val="28"/>
          <w:szCs w:val="28"/>
          <w:lang w:val="ru-RU"/>
        </w:rPr>
        <w:t xml:space="preserve"> (2025, выборка российских размещений 2010-2024 гг.), рассчитывающая показатель </w:t>
      </w:r>
      <w:r w:rsidRPr="004A748B">
        <w:rPr>
          <w:sz w:val="28"/>
          <w:szCs w:val="28"/>
          <w:lang w:val="en-US"/>
        </w:rPr>
        <w:t>IPO</w:t>
      </w:r>
      <w:r w:rsidRPr="004A748B">
        <w:rPr>
          <w:sz w:val="28"/>
          <w:szCs w:val="28"/>
          <w:lang w:val="ru-RU"/>
        </w:rPr>
        <w:t>-дисконта и выявляющая ухудшение корпоративного управления как значимый фактор стоимости. Отличие — по трём основаниям. По этапу: предмет Тонояна — момент самой сделки (книга заявок, аллокация)</w:t>
      </w:r>
      <w:r w:rsidR="00F51137">
        <w:rPr>
          <w:sz w:val="28"/>
          <w:szCs w:val="28"/>
          <w:lang w:val="ru-RU"/>
        </w:rPr>
        <w:t>, в то время как</w:t>
      </w:r>
      <w:r w:rsidRPr="004A748B">
        <w:rPr>
          <w:sz w:val="28"/>
          <w:szCs w:val="28"/>
          <w:lang w:val="ru-RU"/>
        </w:rPr>
        <w:t xml:space="preserve"> настоящее исследование заканчивается там, где начинается его предмет. По природе дисконта: у Тонояна — переговорно-маркетинговый параметр сравнительного подхода</w:t>
      </w:r>
      <w:r w:rsidR="00F51137">
        <w:rPr>
          <w:sz w:val="28"/>
          <w:szCs w:val="28"/>
          <w:lang w:val="ru-RU"/>
        </w:rPr>
        <w:t>, в данном исследовании</w:t>
      </w:r>
      <w:r w:rsidRPr="004A748B">
        <w:rPr>
          <w:sz w:val="28"/>
          <w:szCs w:val="28"/>
          <w:lang w:val="ru-RU"/>
        </w:rPr>
        <w:t xml:space="preserve"> — компонент доходного подхода внутри </w:t>
      </w:r>
      <w:r w:rsidRPr="004A748B">
        <w:rPr>
          <w:sz w:val="28"/>
          <w:szCs w:val="28"/>
          <w:lang w:val="en-US"/>
        </w:rPr>
        <w:t>DCF</w:t>
      </w:r>
      <w:r w:rsidRPr="004A748B">
        <w:rPr>
          <w:sz w:val="28"/>
          <w:szCs w:val="28"/>
          <w:lang w:val="ru-RU"/>
        </w:rPr>
        <w:t xml:space="preserve"> до сделки. По уровню формализации: Тоноян перечисляет те же качественные источники риска, но не переводит их в формализованную, воспроизводимую процедуру.</w:t>
      </w:r>
    </w:p>
    <w:p w14:paraId="0CF98EEB" w14:textId="77777777" w:rsidR="004A748B" w:rsidRPr="004A748B" w:rsidRDefault="004A748B" w:rsidP="004A748B">
      <w:pPr>
        <w:pBdr>
          <w:top w:val="nil"/>
          <w:left w:val="nil"/>
          <w:bottom w:val="nil"/>
          <w:right w:val="nil"/>
          <w:between w:val="nil"/>
        </w:pBdr>
        <w:spacing w:line="360" w:lineRule="auto"/>
        <w:ind w:left="140" w:right="137" w:firstLine="708"/>
        <w:jc w:val="both"/>
        <w:rPr>
          <w:sz w:val="28"/>
          <w:szCs w:val="28"/>
          <w:lang w:val="ru-RU"/>
        </w:rPr>
      </w:pPr>
      <w:r w:rsidRPr="004A748B">
        <w:rPr>
          <w:sz w:val="28"/>
          <w:szCs w:val="28"/>
          <w:lang w:val="ru-RU"/>
        </w:rPr>
        <w:t xml:space="preserve">Принципиальное ограничение всего направления в целом — на каждом из трёх этапов (венчур, </w:t>
      </w:r>
      <w:r w:rsidRPr="004A748B">
        <w:rPr>
          <w:sz w:val="28"/>
          <w:szCs w:val="28"/>
          <w:lang w:val="en-US"/>
        </w:rPr>
        <w:t>PE</w:t>
      </w:r>
      <w:r w:rsidRPr="004A748B">
        <w:rPr>
          <w:sz w:val="28"/>
          <w:szCs w:val="28"/>
          <w:lang w:val="ru-RU"/>
        </w:rPr>
        <w:t xml:space="preserve">, </w:t>
      </w:r>
      <w:r w:rsidRPr="004A748B">
        <w:rPr>
          <w:sz w:val="28"/>
          <w:szCs w:val="28"/>
          <w:lang w:val="en-US"/>
        </w:rPr>
        <w:t>IPO</w:t>
      </w:r>
      <w:r w:rsidRPr="004A748B">
        <w:rPr>
          <w:sz w:val="28"/>
          <w:szCs w:val="28"/>
          <w:lang w:val="ru-RU"/>
        </w:rPr>
        <w:t>) литература объясняет структуру сделки, поведение цены, доходность фонда или прозрачность рынка в целом, но не содержит методики диагностики готовности конкретной компании к капиталу до момента самой сделки или размещения.</w:t>
      </w:r>
    </w:p>
    <w:p w14:paraId="3AFE1882" w14:textId="77777777" w:rsidR="008422E0" w:rsidRPr="008422E0" w:rsidRDefault="008422E0" w:rsidP="008422E0">
      <w:pPr>
        <w:pBdr>
          <w:top w:val="nil"/>
          <w:left w:val="nil"/>
          <w:bottom w:val="nil"/>
          <w:right w:val="nil"/>
          <w:between w:val="nil"/>
        </w:pBdr>
        <w:spacing w:line="360" w:lineRule="auto"/>
        <w:ind w:left="140" w:right="137" w:firstLine="708"/>
        <w:jc w:val="both"/>
        <w:rPr>
          <w:sz w:val="28"/>
          <w:szCs w:val="28"/>
          <w:lang w:val="ru-RU"/>
        </w:rPr>
      </w:pPr>
      <w:r w:rsidRPr="008422E0">
        <w:rPr>
          <w:sz w:val="28"/>
          <w:szCs w:val="28"/>
          <w:lang w:val="ru-RU"/>
        </w:rPr>
        <w:t xml:space="preserve">Четвёртое направление — исследования готовности компании к </w:t>
      </w:r>
      <w:r w:rsidRPr="008422E0">
        <w:rPr>
          <w:sz w:val="28"/>
          <w:szCs w:val="28"/>
          <w:lang w:val="ru-RU"/>
        </w:rPr>
        <w:lastRenderedPageBreak/>
        <w:t>привлечению институционального капитала (</w:t>
      </w:r>
      <w:r w:rsidRPr="008422E0">
        <w:rPr>
          <w:sz w:val="28"/>
          <w:szCs w:val="28"/>
          <w:lang w:val="en-US"/>
        </w:rPr>
        <w:t>readiness</w:t>
      </w:r>
      <w:r w:rsidRPr="008422E0">
        <w:rPr>
          <w:sz w:val="28"/>
          <w:szCs w:val="28"/>
          <w:lang w:val="ru-RU"/>
        </w:rPr>
        <w:t xml:space="preserve"> </w:t>
      </w:r>
      <w:r w:rsidRPr="008422E0">
        <w:rPr>
          <w:sz w:val="28"/>
          <w:szCs w:val="28"/>
          <w:lang w:val="en-US"/>
        </w:rPr>
        <w:t>diagnostics</w:t>
      </w:r>
      <w:r w:rsidRPr="008422E0">
        <w:rPr>
          <w:sz w:val="28"/>
          <w:szCs w:val="28"/>
          <w:lang w:val="ru-RU"/>
        </w:rPr>
        <w:t>) и метод анализа иерархий как инструмент формализации весов.</w:t>
      </w:r>
    </w:p>
    <w:p w14:paraId="40FF0F3D" w14:textId="4E23EC32" w:rsidR="008422E0" w:rsidRPr="008422E0" w:rsidRDefault="008422E0" w:rsidP="008422E0">
      <w:pPr>
        <w:pBdr>
          <w:top w:val="nil"/>
          <w:left w:val="nil"/>
          <w:bottom w:val="nil"/>
          <w:right w:val="nil"/>
          <w:between w:val="nil"/>
        </w:pBdr>
        <w:spacing w:line="360" w:lineRule="auto"/>
        <w:ind w:left="140" w:right="137" w:firstLine="708"/>
        <w:jc w:val="both"/>
        <w:rPr>
          <w:sz w:val="28"/>
          <w:szCs w:val="28"/>
          <w:lang w:val="ru-RU"/>
        </w:rPr>
      </w:pPr>
      <w:r w:rsidRPr="008422E0">
        <w:rPr>
          <w:sz w:val="28"/>
          <w:szCs w:val="28"/>
          <w:lang w:val="ru-RU"/>
        </w:rPr>
        <w:t>Теоретическим основанием самой категории готовности служат классические работы об информационной асимметрии и агентских издержках: Дж. Акерлоф</w:t>
      </w:r>
      <w:r w:rsidR="000C06B5">
        <w:rPr>
          <w:rStyle w:val="a7"/>
          <w:sz w:val="28"/>
          <w:szCs w:val="28"/>
          <w:lang w:val="ru-RU"/>
        </w:rPr>
        <w:footnoteReference w:id="90"/>
      </w:r>
      <w:r w:rsidRPr="008422E0">
        <w:rPr>
          <w:sz w:val="28"/>
          <w:szCs w:val="28"/>
          <w:lang w:val="ru-RU"/>
        </w:rPr>
        <w:t xml:space="preserve"> показал, что асимметрия информации между продавцом и покупателем актива ведёт к системному вытеснению качественных активов с рынка (проблема рынка лимонов)</w:t>
      </w:r>
      <w:r w:rsidR="000C06B5" w:rsidRPr="000C06B5">
        <w:rPr>
          <w:sz w:val="28"/>
          <w:szCs w:val="28"/>
          <w:lang w:val="ru-RU"/>
        </w:rPr>
        <w:t>.</w:t>
      </w:r>
      <w:r w:rsidRPr="008422E0">
        <w:rPr>
          <w:sz w:val="28"/>
          <w:szCs w:val="28"/>
          <w:lang w:val="ru-RU"/>
        </w:rPr>
        <w:t xml:space="preserve"> М. Спенс</w:t>
      </w:r>
      <w:r w:rsidR="000C06B5">
        <w:rPr>
          <w:rStyle w:val="a7"/>
          <w:sz w:val="28"/>
          <w:szCs w:val="28"/>
          <w:lang w:val="ru-RU"/>
        </w:rPr>
        <w:footnoteReference w:id="91"/>
      </w:r>
      <w:r w:rsidRPr="008422E0">
        <w:rPr>
          <w:sz w:val="28"/>
          <w:szCs w:val="28"/>
          <w:lang w:val="ru-RU"/>
        </w:rPr>
        <w:t xml:space="preserve"> предложил сигнальную модель, объясняющую, почему стороне с частной информацией выгодно нести издержки для подтверждения качества перед контрагентом</w:t>
      </w:r>
      <w:r w:rsidR="000C06B5" w:rsidRPr="000C06B5">
        <w:rPr>
          <w:sz w:val="28"/>
          <w:szCs w:val="28"/>
          <w:lang w:val="ru-RU"/>
        </w:rPr>
        <w:t xml:space="preserve">. </w:t>
      </w:r>
      <w:r w:rsidRPr="008422E0">
        <w:rPr>
          <w:sz w:val="28"/>
          <w:szCs w:val="28"/>
          <w:lang w:val="ru-RU"/>
        </w:rPr>
        <w:t>С. Майерс и Н. Мэджлаф</w:t>
      </w:r>
      <w:r w:rsidR="000C06B5">
        <w:rPr>
          <w:rStyle w:val="a7"/>
          <w:sz w:val="28"/>
          <w:szCs w:val="28"/>
          <w:lang w:val="ru-RU"/>
        </w:rPr>
        <w:footnoteReference w:id="92"/>
      </w:r>
      <w:r w:rsidRPr="008422E0">
        <w:rPr>
          <w:sz w:val="28"/>
          <w:szCs w:val="28"/>
          <w:lang w:val="ru-RU"/>
        </w:rPr>
        <w:t xml:space="preserve"> распространили эту логику на корпоративные финансы, показав, что асимметрия информации между менеджментом и внешними инвесторами определяет иерархию источников финансирования (</w:t>
      </w:r>
      <w:r w:rsidRPr="008422E0">
        <w:rPr>
          <w:sz w:val="28"/>
          <w:szCs w:val="28"/>
          <w:lang w:val="en-US"/>
        </w:rPr>
        <w:t>pecking</w:t>
      </w:r>
      <w:r w:rsidRPr="008422E0">
        <w:rPr>
          <w:sz w:val="28"/>
          <w:szCs w:val="28"/>
          <w:lang w:val="ru-RU"/>
        </w:rPr>
        <w:t xml:space="preserve"> </w:t>
      </w:r>
      <w:r w:rsidRPr="008422E0">
        <w:rPr>
          <w:sz w:val="28"/>
          <w:szCs w:val="28"/>
          <w:lang w:val="en-US"/>
        </w:rPr>
        <w:t>order</w:t>
      </w:r>
      <w:r w:rsidRPr="008422E0">
        <w:rPr>
          <w:sz w:val="28"/>
          <w:szCs w:val="28"/>
          <w:lang w:val="ru-RU"/>
        </w:rPr>
        <w:t xml:space="preserve"> </w:t>
      </w:r>
      <w:r w:rsidRPr="008422E0">
        <w:rPr>
          <w:sz w:val="28"/>
          <w:szCs w:val="28"/>
          <w:lang w:val="en-US"/>
        </w:rPr>
        <w:t>theory</w:t>
      </w:r>
      <w:r w:rsidRPr="008422E0">
        <w:rPr>
          <w:sz w:val="28"/>
          <w:szCs w:val="28"/>
          <w:lang w:val="ru-RU"/>
        </w:rPr>
        <w:t>). М. Дженсен и У. Меклинг</w:t>
      </w:r>
      <w:r w:rsidR="00730D41">
        <w:rPr>
          <w:rStyle w:val="a7"/>
          <w:sz w:val="28"/>
          <w:szCs w:val="28"/>
          <w:lang w:val="ru-RU"/>
        </w:rPr>
        <w:footnoteReference w:id="93"/>
      </w:r>
      <w:r w:rsidRPr="008422E0">
        <w:rPr>
          <w:sz w:val="28"/>
          <w:szCs w:val="28"/>
          <w:lang w:val="ru-RU"/>
        </w:rPr>
        <w:t xml:space="preserve"> заложили теорию агентских издержек, прямо связывающую структуру собственности и контроля с издержками привлечения внешнего капитала — эта работа теоретически обосновывает сам смысл</w:t>
      </w:r>
      <w:r w:rsidR="00730D41" w:rsidRPr="00730D41">
        <w:rPr>
          <w:sz w:val="28"/>
          <w:szCs w:val="28"/>
          <w:lang w:val="ru-RU"/>
        </w:rPr>
        <w:t xml:space="preserve"> </w:t>
      </w:r>
      <w:r w:rsidR="00730D41">
        <w:rPr>
          <w:sz w:val="28"/>
          <w:szCs w:val="28"/>
          <w:lang w:val="ru-RU"/>
        </w:rPr>
        <w:t>разработанных автором</w:t>
      </w:r>
      <w:r w:rsidRPr="008422E0">
        <w:rPr>
          <w:sz w:val="28"/>
          <w:szCs w:val="28"/>
          <w:lang w:val="ru-RU"/>
        </w:rPr>
        <w:t xml:space="preserve"> факторов К1 (прозрачность владения) и К2 (сделки со связанными сторонами) как измеримых прокси агентских издержек.</w:t>
      </w:r>
    </w:p>
    <w:p w14:paraId="13F8731A" w14:textId="038CCACD" w:rsidR="008422E0" w:rsidRPr="008422E0" w:rsidRDefault="00C122AD" w:rsidP="008422E0">
      <w:pPr>
        <w:pBdr>
          <w:top w:val="nil"/>
          <w:left w:val="nil"/>
          <w:bottom w:val="nil"/>
          <w:right w:val="nil"/>
          <w:between w:val="nil"/>
        </w:pBdr>
        <w:spacing w:line="360" w:lineRule="auto"/>
        <w:ind w:left="140" w:right="137" w:firstLine="708"/>
        <w:jc w:val="both"/>
        <w:rPr>
          <w:sz w:val="28"/>
          <w:szCs w:val="28"/>
          <w:lang w:val="ru-RU"/>
        </w:rPr>
      </w:pPr>
      <w:r>
        <w:rPr>
          <w:sz w:val="28"/>
          <w:szCs w:val="28"/>
          <w:lang w:val="ru-RU"/>
        </w:rPr>
        <w:t xml:space="preserve">В контексте оценки инвесторами компании-объекта большую роль играют экспертные суждения как заинтересованных сторон, так и независимых экспертов. </w:t>
      </w:r>
      <w:r w:rsidR="008422E0" w:rsidRPr="008422E0">
        <w:rPr>
          <w:sz w:val="28"/>
          <w:szCs w:val="28"/>
          <w:lang w:val="ru-RU"/>
        </w:rPr>
        <w:t>Метод анализа иерархий Т. Саати</w:t>
      </w:r>
      <w:r>
        <w:rPr>
          <w:rStyle w:val="a7"/>
          <w:sz w:val="28"/>
          <w:szCs w:val="28"/>
          <w:lang w:val="ru-RU"/>
        </w:rPr>
        <w:footnoteReference w:id="94"/>
      </w:r>
      <w:r w:rsidR="008422E0" w:rsidRPr="008422E0">
        <w:rPr>
          <w:sz w:val="28"/>
          <w:szCs w:val="28"/>
          <w:lang w:val="ru-RU"/>
        </w:rPr>
        <w:t xml:space="preserve"> представляет собой общепризнанный инструмент формализации экспертных суждений через матрицы парных сравнений с обязательной проверкой согласованности (</w:t>
      </w:r>
      <w:r w:rsidR="008422E0" w:rsidRPr="008422E0">
        <w:rPr>
          <w:sz w:val="28"/>
          <w:szCs w:val="28"/>
          <w:lang w:val="en-US"/>
        </w:rPr>
        <w:t>Consistency</w:t>
      </w:r>
      <w:r w:rsidR="008422E0" w:rsidRPr="008422E0">
        <w:rPr>
          <w:sz w:val="28"/>
          <w:szCs w:val="28"/>
          <w:lang w:val="ru-RU"/>
        </w:rPr>
        <w:t xml:space="preserve"> </w:t>
      </w:r>
      <w:r w:rsidR="008422E0" w:rsidRPr="008422E0">
        <w:rPr>
          <w:sz w:val="28"/>
          <w:szCs w:val="28"/>
          <w:lang w:val="en-US"/>
        </w:rPr>
        <w:t>Ratio</w:t>
      </w:r>
      <w:r w:rsidR="008422E0" w:rsidRPr="008422E0">
        <w:rPr>
          <w:sz w:val="28"/>
          <w:szCs w:val="28"/>
          <w:lang w:val="ru-RU"/>
        </w:rPr>
        <w:t xml:space="preserve">) и широко применяется в самых разных областях экономических исследований — от выбора инвестиционных проектов до оценки рисков. Вместе с тем данный метод не </w:t>
      </w:r>
      <w:r w:rsidR="008422E0" w:rsidRPr="008422E0">
        <w:rPr>
          <w:sz w:val="28"/>
          <w:szCs w:val="28"/>
          <w:lang w:val="ru-RU"/>
        </w:rPr>
        <w:lastRenderedPageBreak/>
        <w:t xml:space="preserve">адаптирован к задаче определения весов факторов </w:t>
      </w:r>
      <w:r w:rsidR="008422E0" w:rsidRPr="008422E0">
        <w:rPr>
          <w:sz w:val="28"/>
          <w:szCs w:val="28"/>
          <w:lang w:val="en-US"/>
        </w:rPr>
        <w:t>company</w:t>
      </w:r>
      <w:r w:rsidR="008422E0" w:rsidRPr="008422E0">
        <w:rPr>
          <w:sz w:val="28"/>
          <w:szCs w:val="28"/>
          <w:lang w:val="ru-RU"/>
        </w:rPr>
        <w:t>-</w:t>
      </w:r>
      <w:r w:rsidR="008422E0" w:rsidRPr="008422E0">
        <w:rPr>
          <w:sz w:val="28"/>
          <w:szCs w:val="28"/>
          <w:lang w:val="en-US"/>
        </w:rPr>
        <w:t>specific</w:t>
      </w:r>
      <w:r w:rsidR="008422E0" w:rsidRPr="008422E0">
        <w:rPr>
          <w:sz w:val="28"/>
          <w:szCs w:val="28"/>
          <w:lang w:val="ru-RU"/>
        </w:rPr>
        <w:t xml:space="preserve"> </w:t>
      </w:r>
      <w:r w:rsidR="008422E0" w:rsidRPr="008422E0">
        <w:rPr>
          <w:sz w:val="28"/>
          <w:szCs w:val="28"/>
          <w:lang w:val="en-US"/>
        </w:rPr>
        <w:t>premium</w:t>
      </w:r>
      <w:r w:rsidR="008422E0" w:rsidRPr="008422E0">
        <w:rPr>
          <w:sz w:val="28"/>
          <w:szCs w:val="28"/>
          <w:lang w:val="ru-RU"/>
        </w:rPr>
        <w:t xml:space="preserve"> в оценке компаний </w:t>
      </w:r>
      <w:r>
        <w:rPr>
          <w:sz w:val="28"/>
          <w:szCs w:val="28"/>
          <w:lang w:val="ru-RU"/>
        </w:rPr>
        <w:t xml:space="preserve">на разных этапах привлечения капитала </w:t>
      </w:r>
      <w:r w:rsidR="008422E0" w:rsidRPr="008422E0">
        <w:rPr>
          <w:sz w:val="28"/>
          <w:szCs w:val="28"/>
          <w:lang w:val="ru-RU"/>
        </w:rPr>
        <w:t>— то есть остаётся общим инструментом многокритериального анализа, не встроенным в конкретную задачу оценки готовности компании к привлечению капитала</w:t>
      </w:r>
      <w:r>
        <w:rPr>
          <w:sz w:val="28"/>
          <w:szCs w:val="28"/>
          <w:lang w:val="ru-RU"/>
        </w:rPr>
        <w:t xml:space="preserve"> единым и универсальным методом</w:t>
      </w:r>
      <w:r w:rsidR="008422E0" w:rsidRPr="008422E0">
        <w:rPr>
          <w:sz w:val="28"/>
          <w:szCs w:val="28"/>
          <w:lang w:val="ru-RU"/>
        </w:rPr>
        <w:t>.</w:t>
      </w:r>
    </w:p>
    <w:p w14:paraId="1C586DC2" w14:textId="187057D6" w:rsidR="001A5C1E" w:rsidRPr="001A5C1E" w:rsidRDefault="008422E0" w:rsidP="001A5C1E">
      <w:pPr>
        <w:pBdr>
          <w:top w:val="nil"/>
          <w:left w:val="nil"/>
          <w:bottom w:val="nil"/>
          <w:right w:val="nil"/>
          <w:between w:val="nil"/>
        </w:pBdr>
        <w:spacing w:line="360" w:lineRule="auto"/>
        <w:ind w:left="140" w:right="137" w:firstLine="708"/>
        <w:jc w:val="both"/>
        <w:rPr>
          <w:sz w:val="28"/>
          <w:szCs w:val="28"/>
          <w:lang w:val="ru-RU"/>
        </w:rPr>
      </w:pPr>
      <w:r w:rsidRPr="008422E0">
        <w:rPr>
          <w:sz w:val="28"/>
          <w:szCs w:val="28"/>
          <w:lang w:val="ru-RU"/>
        </w:rPr>
        <w:t xml:space="preserve">В </w:t>
      </w:r>
      <w:r w:rsidR="00293182" w:rsidRPr="00293182">
        <w:rPr>
          <w:sz w:val="28"/>
          <w:szCs w:val="28"/>
        </w:rPr>
        <w:t>практической и консалтинговой литературе последних лет готовность компании к привлечению институционального капитала — будь то очередной венчурный раунд, сделка с фондом прямых инвестиций или публичное размещение — продолжает трактоваться как многомерный чеклист требований к раскрытию, финансовой отчётности, внутреннему контролю и корпоративному управлению</w:t>
      </w:r>
      <w:r w:rsidR="00293182">
        <w:rPr>
          <w:rStyle w:val="a7"/>
          <w:sz w:val="28"/>
          <w:szCs w:val="28"/>
        </w:rPr>
        <w:footnoteReference w:id="95"/>
      </w:r>
      <w:r w:rsidR="00293182" w:rsidRPr="00293182">
        <w:rPr>
          <w:sz w:val="28"/>
          <w:szCs w:val="28"/>
        </w:rPr>
        <w:t>, что подтверждает устойчивость качественного, неколичественного подхода к теме на протяжении всего рассматриваемого периода — то есть даже практика, ежедневно работающая с этой проблемой на разных этапах пути компании к капиталу, не перешла от описательного перечня к формализованной, взвешенной процедуре.</w:t>
      </w:r>
      <w:r w:rsidR="001A5C1E">
        <w:rPr>
          <w:sz w:val="28"/>
          <w:szCs w:val="28"/>
          <w:lang w:val="ru-RU"/>
        </w:rPr>
        <w:t xml:space="preserve"> </w:t>
      </w:r>
      <w:r w:rsidR="001A5C1E" w:rsidRPr="001A5C1E">
        <w:rPr>
          <w:sz w:val="28"/>
          <w:szCs w:val="28"/>
          <w:lang w:val="ru-RU"/>
        </w:rPr>
        <w:t xml:space="preserve">Показательно, что и сама Московская Биржа предлагает потенциальным эмитентам аналогичный по духу инструмент — экспресс-опрос для самостоятельной оценки готовности к </w:t>
      </w:r>
      <w:r w:rsidR="001A5C1E" w:rsidRPr="001A5C1E">
        <w:rPr>
          <w:sz w:val="28"/>
          <w:szCs w:val="28"/>
          <w:lang w:val="en-US"/>
        </w:rPr>
        <w:t>IPO</w:t>
      </w:r>
      <w:r w:rsidR="001A5C1E">
        <w:rPr>
          <w:rStyle w:val="a7"/>
          <w:sz w:val="28"/>
          <w:szCs w:val="28"/>
          <w:lang w:val="en-US"/>
        </w:rPr>
        <w:footnoteReference w:id="96"/>
      </w:r>
      <w:r w:rsidR="001A5C1E" w:rsidRPr="001A5C1E">
        <w:rPr>
          <w:sz w:val="28"/>
          <w:szCs w:val="28"/>
          <w:lang w:val="ru-RU"/>
        </w:rPr>
        <w:t>, построенный на той же логике описательного чек-листа, а не формализованной взвешенной процедуры.</w:t>
      </w:r>
    </w:p>
    <w:p w14:paraId="2E02507C" w14:textId="721092FE" w:rsidR="00B37E3E" w:rsidRDefault="00B37E3E" w:rsidP="008422E0">
      <w:pPr>
        <w:pBdr>
          <w:top w:val="nil"/>
          <w:left w:val="nil"/>
          <w:bottom w:val="nil"/>
          <w:right w:val="nil"/>
          <w:between w:val="nil"/>
        </w:pBdr>
        <w:spacing w:line="360" w:lineRule="auto"/>
        <w:ind w:left="140" w:right="137" w:firstLine="708"/>
        <w:jc w:val="both"/>
        <w:rPr>
          <w:sz w:val="28"/>
          <w:szCs w:val="28"/>
          <w:lang w:val="ru-RU"/>
        </w:rPr>
      </w:pPr>
      <w:r w:rsidRPr="00B37E3E">
        <w:rPr>
          <w:sz w:val="28"/>
          <w:szCs w:val="28"/>
        </w:rPr>
        <w:t>Одной из первых попыток формализовать саму идею готовности компании к выходу на биржу стала работа С.В. Гвардина</w:t>
      </w:r>
      <w:r>
        <w:rPr>
          <w:rStyle w:val="a7"/>
          <w:sz w:val="28"/>
          <w:szCs w:val="28"/>
        </w:rPr>
        <w:footnoteReference w:id="97"/>
      </w:r>
      <w:r w:rsidRPr="00B37E3E">
        <w:rPr>
          <w:sz w:val="28"/>
          <w:szCs w:val="28"/>
        </w:rPr>
        <w:t xml:space="preserve"> (2008), предложившего критерии оценки уровня готовности компании к размещению акций и методику ранжирования рисков подготовки к IPO по степени их воздействия. Однако и критерии, и ранжирование рисков остаются экспертными, без формализованных весов и без единой воспроизводимой процедуры — то есть представляют собой описательный, качественный подход, </w:t>
      </w:r>
      <w:r>
        <w:rPr>
          <w:sz w:val="28"/>
          <w:szCs w:val="28"/>
          <w:lang w:val="ru-RU"/>
        </w:rPr>
        <w:t>более чем</w:t>
      </w:r>
      <w:r w:rsidRPr="00B37E3E">
        <w:rPr>
          <w:sz w:val="28"/>
          <w:szCs w:val="28"/>
        </w:rPr>
        <w:t xml:space="preserve"> на семнадцать лет предвосхищающий саму постановку проблемы, но не решающий её тем </w:t>
      </w:r>
      <w:r w:rsidRPr="00B37E3E">
        <w:rPr>
          <w:sz w:val="28"/>
          <w:szCs w:val="28"/>
        </w:rPr>
        <w:lastRenderedPageBreak/>
        <w:t>инструментом, который предлагается в настоящем исследовании.</w:t>
      </w:r>
    </w:p>
    <w:p w14:paraId="4E05DAD0" w14:textId="7289DD79" w:rsidR="008422E0" w:rsidRPr="008422E0" w:rsidRDefault="008422E0" w:rsidP="008422E0">
      <w:pPr>
        <w:pBdr>
          <w:top w:val="nil"/>
          <w:left w:val="nil"/>
          <w:bottom w:val="nil"/>
          <w:right w:val="nil"/>
          <w:between w:val="nil"/>
        </w:pBdr>
        <w:spacing w:line="360" w:lineRule="auto"/>
        <w:ind w:left="140" w:right="137" w:firstLine="708"/>
        <w:jc w:val="both"/>
        <w:rPr>
          <w:sz w:val="28"/>
          <w:szCs w:val="28"/>
          <w:lang w:val="ru-RU"/>
        </w:rPr>
      </w:pPr>
      <w:r w:rsidRPr="008422E0">
        <w:rPr>
          <w:sz w:val="28"/>
          <w:szCs w:val="28"/>
          <w:lang w:val="ru-RU"/>
        </w:rPr>
        <w:t>Эмпирические, статистические попытки предсказать успех привлечения капитала представлены рядом отечественных работ последних лет. Е.О. Яковлев</w:t>
      </w:r>
      <w:r w:rsidR="00E652E2">
        <w:rPr>
          <w:rStyle w:val="a7"/>
          <w:sz w:val="28"/>
          <w:szCs w:val="28"/>
          <w:lang w:val="ru-RU"/>
        </w:rPr>
        <w:footnoteReference w:id="98"/>
      </w:r>
      <w:r w:rsidRPr="008422E0">
        <w:rPr>
          <w:sz w:val="28"/>
          <w:szCs w:val="28"/>
          <w:lang w:val="ru-RU"/>
        </w:rPr>
        <w:t xml:space="preserve"> построил регрессионную модель зависимости объёма привлечённого финансирования от эмпирических факторов (состояние фондового рынка, число сооснователей, принадлежность к </w:t>
      </w:r>
      <w:r w:rsidRPr="008422E0">
        <w:rPr>
          <w:sz w:val="28"/>
          <w:szCs w:val="28"/>
          <w:lang w:val="en-US"/>
        </w:rPr>
        <w:t>IT</w:t>
      </w:r>
      <w:r w:rsidRPr="008422E0">
        <w:rPr>
          <w:sz w:val="28"/>
          <w:szCs w:val="28"/>
          <w:lang w:val="ru-RU"/>
        </w:rPr>
        <w:t>, публичность, выручка, участие венчурного фонда) на выборке 1007 российских технологических компаний. А.В. Кожанова</w:t>
      </w:r>
      <w:r w:rsidR="00E652E2">
        <w:rPr>
          <w:rStyle w:val="a7"/>
          <w:sz w:val="28"/>
          <w:szCs w:val="28"/>
          <w:lang w:val="ru-RU"/>
        </w:rPr>
        <w:footnoteReference w:id="99"/>
      </w:r>
      <w:r w:rsidR="00E652E2" w:rsidRPr="00E652E2">
        <w:rPr>
          <w:sz w:val="28"/>
          <w:szCs w:val="28"/>
          <w:lang w:val="ru-RU"/>
        </w:rPr>
        <w:t xml:space="preserve"> </w:t>
      </w:r>
      <w:r w:rsidRPr="008422E0">
        <w:rPr>
          <w:sz w:val="28"/>
          <w:szCs w:val="28"/>
          <w:lang w:val="ru-RU"/>
        </w:rPr>
        <w:t>разработала логит-модель вероятности дефолта стартапов на разных стадиях роста, основанную на 11 финансовых коэффициентах с адаптированными для стартапов пороговыми значениями. А.Р. Агаев</w:t>
      </w:r>
      <w:r w:rsidR="00E652E2">
        <w:rPr>
          <w:rStyle w:val="a7"/>
          <w:sz w:val="28"/>
          <w:szCs w:val="28"/>
          <w:lang w:val="ru-RU"/>
        </w:rPr>
        <w:footnoteReference w:id="100"/>
      </w:r>
      <w:r w:rsidRPr="008422E0">
        <w:rPr>
          <w:sz w:val="28"/>
          <w:szCs w:val="28"/>
          <w:lang w:val="ru-RU"/>
        </w:rPr>
        <w:t xml:space="preserve"> предложил аналитические индикаторы отбора непубличных компаний как портфельных активов (независимость органов управления, наличие судебных исков, соблюдение требований стейкхолдеров), проверенные через регрессию и нейросеть. Е.А. Обухова</w:t>
      </w:r>
      <w:r w:rsidR="00E652E2">
        <w:rPr>
          <w:rStyle w:val="a7"/>
          <w:sz w:val="28"/>
          <w:szCs w:val="28"/>
          <w:lang w:val="ru-RU"/>
        </w:rPr>
        <w:footnoteReference w:id="101"/>
      </w:r>
      <w:r w:rsidRPr="008422E0">
        <w:rPr>
          <w:sz w:val="28"/>
          <w:szCs w:val="28"/>
          <w:lang w:val="ru-RU"/>
        </w:rPr>
        <w:t xml:space="preserve"> разработала скоринговую методику на основе теории сигналов для отбора инновационных проектов на ранней стадии.</w:t>
      </w:r>
    </w:p>
    <w:p w14:paraId="51A83647" w14:textId="77777777" w:rsidR="008422E0" w:rsidRPr="008422E0" w:rsidRDefault="008422E0" w:rsidP="008422E0">
      <w:pPr>
        <w:pBdr>
          <w:top w:val="nil"/>
          <w:left w:val="nil"/>
          <w:bottom w:val="nil"/>
          <w:right w:val="nil"/>
          <w:between w:val="nil"/>
        </w:pBdr>
        <w:spacing w:line="360" w:lineRule="auto"/>
        <w:ind w:left="140" w:right="137" w:firstLine="708"/>
        <w:jc w:val="both"/>
        <w:rPr>
          <w:sz w:val="28"/>
          <w:szCs w:val="28"/>
          <w:lang w:val="ru-RU"/>
        </w:rPr>
      </w:pPr>
      <w:r w:rsidRPr="008422E0">
        <w:rPr>
          <w:sz w:val="28"/>
          <w:szCs w:val="28"/>
          <w:lang w:val="ru-RU"/>
        </w:rPr>
        <w:t xml:space="preserve">Все четыре работы объединяет общая методологическая черта, принципиально отличающая их от настоящего исследования: значимость факторов устанавливается статистически, по выборке из множества компаний или проектов, а не рассчитывается как формализованная, взвешенная процедура для диагностики одного конкретного объекта. Кроме того, ни одна из работ не использует метод анализа иерархий, не строит </w:t>
      </w:r>
      <w:r w:rsidRPr="008422E0">
        <w:rPr>
          <w:sz w:val="28"/>
          <w:szCs w:val="28"/>
          <w:lang w:val="en-US"/>
        </w:rPr>
        <w:t>DCF</w:t>
      </w:r>
      <w:r w:rsidRPr="008422E0">
        <w:rPr>
          <w:sz w:val="28"/>
          <w:szCs w:val="28"/>
          <w:lang w:val="ru-RU"/>
        </w:rPr>
        <w:t>-модель и не рассматривает диагностику в каскадной логике — на последовательных контрольных точках пути компании к капиталу, с сопоставлением динамики стоимости и структурной готовности.</w:t>
      </w:r>
    </w:p>
    <w:p w14:paraId="1C1F267B" w14:textId="77777777" w:rsidR="00A63D1B" w:rsidRPr="00BD4F9E" w:rsidRDefault="00A63D1B">
      <w:pPr>
        <w:pBdr>
          <w:top w:val="nil"/>
          <w:left w:val="nil"/>
          <w:bottom w:val="nil"/>
          <w:right w:val="nil"/>
          <w:between w:val="nil"/>
        </w:pBdr>
        <w:spacing w:line="360" w:lineRule="auto"/>
        <w:ind w:left="140" w:right="137" w:firstLine="708"/>
        <w:jc w:val="both"/>
        <w:rPr>
          <w:color w:val="808080" w:themeColor="background1" w:themeShade="80"/>
          <w:sz w:val="28"/>
          <w:szCs w:val="28"/>
        </w:rPr>
      </w:pPr>
    </w:p>
    <w:p w14:paraId="1C1F267C" w14:textId="77777777" w:rsidR="00A63D1B" w:rsidRPr="00BD1C0C" w:rsidRDefault="0018149E">
      <w:pPr>
        <w:pStyle w:val="1"/>
        <w:ind w:firstLine="140"/>
        <w:jc w:val="both"/>
        <w:rPr>
          <w:b w:val="0"/>
          <w:bCs w:val="0"/>
        </w:rPr>
      </w:pPr>
      <w:r w:rsidRPr="00BD1C0C">
        <w:t>Объект исследования</w:t>
      </w:r>
    </w:p>
    <w:p w14:paraId="1C1F267D" w14:textId="77777777" w:rsidR="00A63D1B" w:rsidRPr="00BD4F9E" w:rsidRDefault="00A63D1B">
      <w:pPr>
        <w:pBdr>
          <w:top w:val="nil"/>
          <w:left w:val="nil"/>
          <w:bottom w:val="nil"/>
          <w:right w:val="nil"/>
          <w:between w:val="nil"/>
        </w:pBdr>
        <w:rPr>
          <w:color w:val="808080" w:themeColor="background1" w:themeShade="80"/>
          <w:sz w:val="28"/>
          <w:szCs w:val="28"/>
        </w:rPr>
      </w:pPr>
    </w:p>
    <w:p w14:paraId="1C1F267E" w14:textId="2199CAEC" w:rsidR="00A63D1B" w:rsidRDefault="0018149E">
      <w:pPr>
        <w:pBdr>
          <w:top w:val="nil"/>
          <w:left w:val="nil"/>
          <w:bottom w:val="nil"/>
          <w:right w:val="nil"/>
          <w:between w:val="nil"/>
        </w:pBdr>
        <w:spacing w:line="360" w:lineRule="auto"/>
        <w:ind w:left="140" w:right="140" w:firstLine="708"/>
        <w:jc w:val="both"/>
        <w:rPr>
          <w:sz w:val="28"/>
          <w:szCs w:val="28"/>
        </w:rPr>
      </w:pPr>
      <w:r w:rsidRPr="00BD1C0C">
        <w:rPr>
          <w:sz w:val="28"/>
          <w:szCs w:val="28"/>
        </w:rPr>
        <w:lastRenderedPageBreak/>
        <w:t>Объектом исследования явля</w:t>
      </w:r>
      <w:r w:rsidR="00BD1C0C" w:rsidRPr="00BD1C0C">
        <w:rPr>
          <w:sz w:val="28"/>
          <w:szCs w:val="28"/>
          <w:lang w:val="ru-RU"/>
        </w:rPr>
        <w:t>ю</w:t>
      </w:r>
      <w:r w:rsidRPr="00BD1C0C">
        <w:rPr>
          <w:sz w:val="28"/>
          <w:szCs w:val="28"/>
        </w:rPr>
        <w:t xml:space="preserve">тся </w:t>
      </w:r>
      <w:r w:rsidR="00BD1C0C" w:rsidRPr="00BD1C0C">
        <w:rPr>
          <w:sz w:val="28"/>
          <w:szCs w:val="28"/>
        </w:rPr>
        <w:t xml:space="preserve">компании, привлекающие внешний </w:t>
      </w:r>
      <w:r w:rsidR="00BD1C0C" w:rsidRPr="00350DCE">
        <w:rPr>
          <w:sz w:val="28"/>
          <w:szCs w:val="28"/>
          <w:highlight w:val="cyan"/>
        </w:rPr>
        <w:t>институциональный</w:t>
      </w:r>
      <w:r w:rsidR="00BD1C0C" w:rsidRPr="00BD1C0C">
        <w:rPr>
          <w:sz w:val="28"/>
          <w:szCs w:val="28"/>
        </w:rPr>
        <w:t xml:space="preserve"> капитал на этапах от венчурного финансирования до первичного публичного размещения.</w:t>
      </w:r>
    </w:p>
    <w:p w14:paraId="240A8B30" w14:textId="5DBF439D" w:rsidR="00A648EF" w:rsidRDefault="00A648EF">
      <w:pPr>
        <w:pBdr>
          <w:top w:val="nil"/>
          <w:left w:val="nil"/>
          <w:bottom w:val="nil"/>
          <w:right w:val="nil"/>
          <w:between w:val="nil"/>
        </w:pBdr>
        <w:spacing w:line="360" w:lineRule="auto"/>
        <w:ind w:left="140" w:right="140" w:firstLine="708"/>
        <w:jc w:val="both"/>
        <w:rPr>
          <w:sz w:val="28"/>
          <w:szCs w:val="28"/>
        </w:rPr>
      </w:pPr>
      <w:r w:rsidRPr="00A648EF">
        <w:rPr>
          <w:highlight w:val="cyan"/>
        </w:rPr>
        <w:t xml:space="preserve">Процесс привлечения </w:t>
      </w:r>
      <w:r w:rsidR="00350DCE">
        <w:rPr>
          <w:highlight w:val="cyan"/>
          <w:lang w:val="ru-RU"/>
        </w:rPr>
        <w:t>институционального</w:t>
      </w:r>
      <w:r w:rsidRPr="00A648EF">
        <w:rPr>
          <w:highlight w:val="cyan"/>
        </w:rPr>
        <w:t xml:space="preserve"> капитала компаниями на ключевых этапах их жизненного цикла, а также их финансово-экономическое состояние, определяющее степень готовности к привлечению внешнего финансирования.</w:t>
      </w:r>
    </w:p>
    <w:p w14:paraId="34663D49" w14:textId="5149EC8A" w:rsidR="00A648EF" w:rsidRDefault="00A648EF">
      <w:pPr>
        <w:pBdr>
          <w:top w:val="nil"/>
          <w:left w:val="nil"/>
          <w:bottom w:val="nil"/>
          <w:right w:val="nil"/>
          <w:between w:val="nil"/>
        </w:pBdr>
        <w:spacing w:line="360" w:lineRule="auto"/>
        <w:ind w:left="140" w:right="140" w:firstLine="708"/>
        <w:jc w:val="both"/>
        <w:rPr>
          <w:sz w:val="28"/>
          <w:szCs w:val="28"/>
        </w:rPr>
      </w:pPr>
    </w:p>
    <w:p w14:paraId="1C1F267F" w14:textId="00A67541" w:rsidR="00A63D1B" w:rsidRDefault="00350DCE" w:rsidP="00350DCE">
      <w:pPr>
        <w:pBdr>
          <w:top w:val="nil"/>
          <w:left w:val="nil"/>
          <w:bottom w:val="nil"/>
          <w:right w:val="nil"/>
          <w:between w:val="nil"/>
        </w:pBdr>
        <w:spacing w:line="360" w:lineRule="auto"/>
        <w:ind w:right="140" w:firstLine="720"/>
        <w:jc w:val="both"/>
      </w:pPr>
      <w:r w:rsidRPr="00350DCE">
        <w:rPr>
          <w:highlight w:val="cyan"/>
          <w:lang w:val="ru-RU"/>
        </w:rPr>
        <w:t xml:space="preserve">Механизм </w:t>
      </w:r>
      <w:r w:rsidRPr="00350DCE">
        <w:rPr>
          <w:highlight w:val="cyan"/>
        </w:rPr>
        <w:t xml:space="preserve"> мобилизации инвестиционного</w:t>
      </w:r>
      <w:r w:rsidRPr="00350DCE">
        <w:rPr>
          <w:highlight w:val="cyan"/>
          <w:lang w:val="ru-RU"/>
        </w:rPr>
        <w:t xml:space="preserve">/институционального </w:t>
      </w:r>
      <w:r w:rsidRPr="00350DCE">
        <w:rPr>
          <w:highlight w:val="cyan"/>
        </w:rPr>
        <w:t xml:space="preserve"> капитала хозяйствующими субъектами на различных стадиях их жизненного цикла, а также оценка их финансово-экономического потенциала как детерминанты инвестиционной привлекательности и готовности к </w:t>
      </w:r>
      <w:r w:rsidRPr="00350DCE">
        <w:rPr>
          <w:highlight w:val="cyan"/>
          <w:lang w:val="ru-RU"/>
        </w:rPr>
        <w:t>привлечению</w:t>
      </w:r>
      <w:r w:rsidRPr="00350DCE">
        <w:rPr>
          <w:highlight w:val="cyan"/>
        </w:rPr>
        <w:t xml:space="preserve"> внешнего финансирования»</w:t>
      </w:r>
    </w:p>
    <w:p w14:paraId="2CB7A1FC" w14:textId="77777777" w:rsidR="00350DCE" w:rsidRPr="00BD4F9E" w:rsidRDefault="00350DCE" w:rsidP="00350DCE">
      <w:pPr>
        <w:pBdr>
          <w:top w:val="nil"/>
          <w:left w:val="nil"/>
          <w:bottom w:val="nil"/>
          <w:right w:val="nil"/>
          <w:between w:val="nil"/>
        </w:pBdr>
        <w:spacing w:line="360" w:lineRule="auto"/>
        <w:ind w:right="140"/>
        <w:jc w:val="both"/>
        <w:rPr>
          <w:color w:val="808080" w:themeColor="background1" w:themeShade="80"/>
          <w:sz w:val="28"/>
          <w:szCs w:val="28"/>
        </w:rPr>
      </w:pPr>
    </w:p>
    <w:p w14:paraId="1C1F2680" w14:textId="77777777" w:rsidR="00A63D1B" w:rsidRPr="00BD1C0C" w:rsidRDefault="0018149E">
      <w:pPr>
        <w:pStyle w:val="1"/>
        <w:ind w:firstLine="140"/>
        <w:jc w:val="both"/>
      </w:pPr>
      <w:r w:rsidRPr="00BD1C0C">
        <w:t>Предмет исследования</w:t>
      </w:r>
    </w:p>
    <w:p w14:paraId="1C1F2681" w14:textId="77777777" w:rsidR="00A63D1B" w:rsidRPr="00BD4F9E" w:rsidRDefault="00A63D1B">
      <w:pPr>
        <w:pBdr>
          <w:top w:val="nil"/>
          <w:left w:val="nil"/>
          <w:bottom w:val="nil"/>
          <w:right w:val="nil"/>
          <w:between w:val="nil"/>
        </w:pBdr>
        <w:spacing w:line="360" w:lineRule="auto"/>
        <w:ind w:left="140" w:right="140" w:firstLine="708"/>
        <w:jc w:val="both"/>
        <w:rPr>
          <w:color w:val="808080" w:themeColor="background1" w:themeShade="80"/>
          <w:sz w:val="28"/>
          <w:szCs w:val="28"/>
        </w:rPr>
      </w:pPr>
    </w:p>
    <w:p w14:paraId="1C1F2682" w14:textId="44DA348D" w:rsidR="00A63D1B" w:rsidRPr="00BD1C0C" w:rsidRDefault="0018149E">
      <w:pPr>
        <w:pBdr>
          <w:top w:val="nil"/>
          <w:left w:val="nil"/>
          <w:bottom w:val="nil"/>
          <w:right w:val="nil"/>
          <w:between w:val="nil"/>
        </w:pBdr>
        <w:spacing w:line="360" w:lineRule="auto"/>
        <w:ind w:left="140" w:right="140" w:firstLine="708"/>
        <w:jc w:val="both"/>
        <w:rPr>
          <w:sz w:val="28"/>
          <w:szCs w:val="28"/>
        </w:rPr>
      </w:pPr>
      <w:r w:rsidRPr="00BD1C0C">
        <w:rPr>
          <w:sz w:val="28"/>
          <w:szCs w:val="28"/>
        </w:rPr>
        <w:t>Предметом исследования являются</w:t>
      </w:r>
      <w:r w:rsidR="00BD1C0C" w:rsidRPr="00BD1C0C">
        <w:rPr>
          <w:sz w:val="28"/>
          <w:szCs w:val="28"/>
          <w:lang w:val="ru-RU"/>
        </w:rPr>
        <w:t xml:space="preserve"> процесс</w:t>
      </w:r>
      <w:r w:rsidRPr="00BD1C0C">
        <w:rPr>
          <w:sz w:val="28"/>
          <w:szCs w:val="28"/>
        </w:rPr>
        <w:t xml:space="preserve"> </w:t>
      </w:r>
      <w:r w:rsidR="00BD1C0C" w:rsidRPr="00BD1C0C">
        <w:rPr>
          <w:sz w:val="28"/>
          <w:szCs w:val="28"/>
        </w:rPr>
        <w:t>диагностик</w:t>
      </w:r>
      <w:r w:rsidR="00BD1C0C" w:rsidRPr="00BD1C0C">
        <w:rPr>
          <w:sz w:val="28"/>
          <w:szCs w:val="28"/>
          <w:lang w:val="ru-RU"/>
        </w:rPr>
        <w:t>и</w:t>
      </w:r>
      <w:r w:rsidR="00BD1C0C" w:rsidRPr="00BD1C0C">
        <w:rPr>
          <w:sz w:val="28"/>
          <w:szCs w:val="28"/>
        </w:rPr>
        <w:t xml:space="preserve"> инвестиционной готовности компании и расчёт её стоимости на ключевых этапах привлечения капитала.</w:t>
      </w:r>
    </w:p>
    <w:p w14:paraId="1C1F2683" w14:textId="794B68D5" w:rsidR="00A63D1B" w:rsidRDefault="00350DCE" w:rsidP="00350DCE">
      <w:pPr>
        <w:pBdr>
          <w:top w:val="nil"/>
          <w:left w:val="nil"/>
          <w:bottom w:val="nil"/>
          <w:right w:val="nil"/>
          <w:between w:val="nil"/>
        </w:pBdr>
        <w:spacing w:before="162"/>
        <w:jc w:val="both"/>
      </w:pPr>
      <w:r w:rsidRPr="00350DCE">
        <w:rPr>
          <w:highlight w:val="cyan"/>
          <w:lang w:val="ru-RU"/>
        </w:rPr>
        <w:t>С</w:t>
      </w:r>
      <w:r>
        <w:rPr>
          <w:highlight w:val="cyan"/>
          <w:lang w:val="ru-RU"/>
        </w:rPr>
        <w:t xml:space="preserve">овокупность </w:t>
      </w:r>
      <w:r w:rsidRPr="00350DCE">
        <w:rPr>
          <w:highlight w:val="cyan"/>
        </w:rPr>
        <w:t>экономических и организационно-управленческих отношений, а также аналитических инструментов и методических подходов к оценке инвестиционной готовности компаний на основе метода дисконтированных денежных потоков (DCF).</w:t>
      </w:r>
    </w:p>
    <w:p w14:paraId="2F3C4541" w14:textId="36399F50" w:rsidR="00350DCE" w:rsidRDefault="00350DCE">
      <w:pPr>
        <w:pBdr>
          <w:top w:val="nil"/>
          <w:left w:val="nil"/>
          <w:bottom w:val="nil"/>
          <w:right w:val="nil"/>
          <w:between w:val="nil"/>
        </w:pBdr>
        <w:spacing w:before="162"/>
        <w:rPr>
          <w:color w:val="808080" w:themeColor="background1" w:themeShade="80"/>
          <w:sz w:val="28"/>
          <w:szCs w:val="28"/>
        </w:rPr>
      </w:pPr>
    </w:p>
    <w:p w14:paraId="5BA18B97" w14:textId="77777777" w:rsidR="00350DCE" w:rsidRPr="00BD4F9E" w:rsidRDefault="00350DCE">
      <w:pPr>
        <w:pBdr>
          <w:top w:val="nil"/>
          <w:left w:val="nil"/>
          <w:bottom w:val="nil"/>
          <w:right w:val="nil"/>
          <w:between w:val="nil"/>
        </w:pBdr>
        <w:spacing w:before="162"/>
        <w:rPr>
          <w:color w:val="808080" w:themeColor="background1" w:themeShade="80"/>
          <w:sz w:val="28"/>
          <w:szCs w:val="28"/>
        </w:rPr>
      </w:pPr>
    </w:p>
    <w:p w14:paraId="1C1F2684" w14:textId="77777777" w:rsidR="00A63D1B" w:rsidRPr="00BD1C0C" w:rsidRDefault="0018149E">
      <w:pPr>
        <w:pStyle w:val="1"/>
        <w:ind w:firstLine="140"/>
        <w:rPr>
          <w:b w:val="0"/>
          <w:bCs w:val="0"/>
        </w:rPr>
      </w:pPr>
      <w:r w:rsidRPr="00BD1C0C">
        <w:t>Гипотеза / Цель диссертационного исследования</w:t>
      </w:r>
      <w:r w:rsidRPr="00BD1C0C">
        <w:rPr>
          <w:b w:val="0"/>
          <w:bCs w:val="0"/>
        </w:rPr>
        <w:t>.</w:t>
      </w:r>
    </w:p>
    <w:p w14:paraId="1C1F2685" w14:textId="77777777" w:rsidR="00A63D1B" w:rsidRPr="00BD4F9E" w:rsidRDefault="00A63D1B">
      <w:pPr>
        <w:pBdr>
          <w:top w:val="nil"/>
          <w:left w:val="nil"/>
          <w:bottom w:val="nil"/>
          <w:right w:val="nil"/>
          <w:between w:val="nil"/>
        </w:pBdr>
        <w:spacing w:line="360" w:lineRule="auto"/>
        <w:ind w:left="140" w:right="140" w:firstLine="708"/>
        <w:jc w:val="both"/>
        <w:rPr>
          <w:color w:val="808080" w:themeColor="background1" w:themeShade="80"/>
          <w:sz w:val="28"/>
          <w:szCs w:val="28"/>
        </w:rPr>
      </w:pPr>
    </w:p>
    <w:p w14:paraId="1C1F2686" w14:textId="0CECF324" w:rsidR="00A63D1B" w:rsidRDefault="0018149E">
      <w:pPr>
        <w:pBdr>
          <w:top w:val="nil"/>
          <w:left w:val="nil"/>
          <w:bottom w:val="nil"/>
          <w:right w:val="nil"/>
          <w:between w:val="nil"/>
        </w:pBdr>
        <w:spacing w:line="360" w:lineRule="auto"/>
        <w:ind w:left="140" w:right="140" w:firstLine="708"/>
        <w:jc w:val="both"/>
        <w:rPr>
          <w:sz w:val="28"/>
          <w:szCs w:val="28"/>
        </w:rPr>
      </w:pPr>
      <w:r w:rsidRPr="00350DCE">
        <w:rPr>
          <w:sz w:val="28"/>
          <w:szCs w:val="28"/>
          <w:highlight w:val="green"/>
        </w:rPr>
        <w:t xml:space="preserve">Целью работы является </w:t>
      </w:r>
      <w:r w:rsidR="00792F09" w:rsidRPr="00350DCE">
        <w:rPr>
          <w:sz w:val="28"/>
          <w:szCs w:val="28"/>
          <w:highlight w:val="green"/>
        </w:rPr>
        <w:t>разработк</w:t>
      </w:r>
      <w:r w:rsidR="00792F09" w:rsidRPr="00350DCE">
        <w:rPr>
          <w:sz w:val="28"/>
          <w:szCs w:val="28"/>
          <w:highlight w:val="green"/>
          <w:lang w:val="ru-RU"/>
        </w:rPr>
        <w:t>а</w:t>
      </w:r>
      <w:r w:rsidR="00792F09" w:rsidRPr="00350DCE">
        <w:rPr>
          <w:sz w:val="28"/>
          <w:szCs w:val="28"/>
          <w:highlight w:val="green"/>
        </w:rPr>
        <w:t xml:space="preserve"> комплексной методики диагностики инвестиционной готовности компании на ключевых этапах привлечения капитала на основе формализованного расчёта дисконта за неготовность к публичности в рамках DCF-модели, включая алгоритм анализа факторов, определяющий как количественные, так и качественные показатели, подлежащие оценке на начало и конец каждого этапа.</w:t>
      </w:r>
    </w:p>
    <w:p w14:paraId="79386C37" w14:textId="049C71E8" w:rsidR="00350DCE" w:rsidRDefault="00350DCE">
      <w:pPr>
        <w:pBdr>
          <w:top w:val="nil"/>
          <w:left w:val="nil"/>
          <w:bottom w:val="nil"/>
          <w:right w:val="nil"/>
          <w:between w:val="nil"/>
        </w:pBdr>
        <w:spacing w:line="360" w:lineRule="auto"/>
        <w:ind w:left="140" w:right="140" w:firstLine="708"/>
        <w:jc w:val="both"/>
        <w:rPr>
          <w:sz w:val="28"/>
          <w:szCs w:val="28"/>
        </w:rPr>
      </w:pPr>
    </w:p>
    <w:p w14:paraId="00CA8D27" w14:textId="77777777" w:rsidR="00350DCE" w:rsidRPr="00792F09" w:rsidRDefault="00350DCE">
      <w:pPr>
        <w:pBdr>
          <w:top w:val="nil"/>
          <w:left w:val="nil"/>
          <w:bottom w:val="nil"/>
          <w:right w:val="nil"/>
          <w:between w:val="nil"/>
        </w:pBdr>
        <w:spacing w:line="360" w:lineRule="auto"/>
        <w:ind w:left="140" w:right="140" w:firstLine="708"/>
        <w:jc w:val="both"/>
        <w:rPr>
          <w:sz w:val="28"/>
          <w:szCs w:val="28"/>
        </w:rPr>
      </w:pPr>
    </w:p>
    <w:p w14:paraId="1C1F2687" w14:textId="5FDAC7F1" w:rsidR="00A63D1B" w:rsidRPr="00792F09" w:rsidRDefault="0018149E">
      <w:pPr>
        <w:pBdr>
          <w:top w:val="nil"/>
          <w:left w:val="nil"/>
          <w:bottom w:val="nil"/>
          <w:right w:val="nil"/>
          <w:between w:val="nil"/>
        </w:pBdr>
        <w:spacing w:line="360" w:lineRule="auto"/>
        <w:ind w:left="140" w:right="140" w:firstLine="708"/>
        <w:jc w:val="both"/>
        <w:rPr>
          <w:sz w:val="28"/>
          <w:szCs w:val="28"/>
          <w:lang w:val="ru-RU"/>
        </w:rPr>
      </w:pPr>
      <w:r w:rsidRPr="00792F09">
        <w:rPr>
          <w:sz w:val="28"/>
          <w:szCs w:val="28"/>
        </w:rPr>
        <w:t xml:space="preserve">Гипотеза исследования заключается в предположении о том, что </w:t>
      </w:r>
      <w:r w:rsidR="00BD1C0C" w:rsidRPr="00792F09">
        <w:rPr>
          <w:sz w:val="28"/>
          <w:szCs w:val="28"/>
          <w:lang w:val="ru-RU"/>
        </w:rPr>
        <w:lastRenderedPageBreak/>
        <w:t>и</w:t>
      </w:r>
      <w:r w:rsidR="00BD1C0C" w:rsidRPr="00792F09">
        <w:rPr>
          <w:sz w:val="28"/>
          <w:szCs w:val="28"/>
        </w:rPr>
        <w:t xml:space="preserve">нвестиционная готовность компании к привлечению институционального капитала определяется не стадией её жизненного цикла и не возрастом бизнеса, а качеством </w:t>
      </w:r>
      <w:r w:rsidR="00BD1C0C" w:rsidRPr="00350DCE">
        <w:rPr>
          <w:sz w:val="28"/>
          <w:szCs w:val="28"/>
          <w:highlight w:val="green"/>
        </w:rPr>
        <w:t>стратегии управления</w:t>
      </w:r>
      <w:r w:rsidR="00BD1C0C" w:rsidRPr="00792F09">
        <w:rPr>
          <w:sz w:val="28"/>
          <w:szCs w:val="28"/>
        </w:rPr>
        <w:t xml:space="preserve"> — то есть последовательностью управленческих решений, накапливающих измеримую историю по ограниченному набору внутренних, устранимых компанией факторов риска</w:t>
      </w:r>
      <w:r w:rsidR="00BD1C0C" w:rsidRPr="00792F09">
        <w:rPr>
          <w:sz w:val="28"/>
          <w:szCs w:val="28"/>
          <w:lang w:val="ru-RU"/>
        </w:rPr>
        <w:t>.</w:t>
      </w:r>
      <w:r w:rsidR="00BD1C0C" w:rsidRPr="00792F09">
        <w:rPr>
          <w:sz w:val="28"/>
          <w:szCs w:val="28"/>
        </w:rPr>
        <w:t xml:space="preserve"> </w:t>
      </w:r>
      <w:r w:rsidR="00BD1C0C" w:rsidRPr="00792F09">
        <w:rPr>
          <w:sz w:val="28"/>
          <w:szCs w:val="28"/>
          <w:lang w:val="ru-RU"/>
        </w:rPr>
        <w:t>П</w:t>
      </w:r>
      <w:r w:rsidR="00BD1C0C" w:rsidRPr="00792F09">
        <w:rPr>
          <w:sz w:val="28"/>
          <w:szCs w:val="28"/>
        </w:rPr>
        <w:t>ри формализованной диагностике этих факторов и их последовательном применении на каждом этапе привлечения капитала — от венчурного финансирования до IPO — возможно построить единый, воспроизводимый инструмент оценки готовности, не зависящий от типа привлекаемого капитала и позволяющий отделить создание стоимости компанией от роста её структурной готовности к публичности.</w:t>
      </w:r>
    </w:p>
    <w:p w14:paraId="4452948B" w14:textId="77777777" w:rsidR="00A24741" w:rsidRPr="00BD4F9E" w:rsidRDefault="00A24741">
      <w:pPr>
        <w:pBdr>
          <w:top w:val="nil"/>
          <w:left w:val="nil"/>
          <w:bottom w:val="nil"/>
          <w:right w:val="nil"/>
          <w:between w:val="nil"/>
        </w:pBdr>
        <w:spacing w:line="360" w:lineRule="auto"/>
        <w:ind w:left="140" w:right="140" w:firstLine="708"/>
        <w:jc w:val="both"/>
        <w:rPr>
          <w:color w:val="808080" w:themeColor="background1" w:themeShade="80"/>
          <w:sz w:val="28"/>
          <w:szCs w:val="28"/>
          <w:lang w:val="ru-RU"/>
        </w:rPr>
      </w:pPr>
    </w:p>
    <w:p w14:paraId="1C1F2688" w14:textId="72034495" w:rsidR="00A63D1B" w:rsidRPr="00BD4F9E" w:rsidRDefault="00A24741" w:rsidP="00A24741">
      <w:pPr>
        <w:pStyle w:val="1"/>
        <w:ind w:firstLine="140"/>
        <w:rPr>
          <w:color w:val="808080" w:themeColor="background1" w:themeShade="80"/>
          <w:lang w:val="ru-RU"/>
        </w:rPr>
      </w:pPr>
      <w:r w:rsidRPr="00BD4F9E">
        <w:rPr>
          <w:color w:val="808080" w:themeColor="background1" w:themeShade="80"/>
        </w:rPr>
        <w:t>Задачи исследования.</w:t>
      </w:r>
    </w:p>
    <w:p w14:paraId="108F90E5" w14:textId="77777777" w:rsidR="00A24741" w:rsidRPr="00BD4F9E" w:rsidRDefault="00A24741" w:rsidP="00A24741">
      <w:pPr>
        <w:rPr>
          <w:color w:val="808080" w:themeColor="background1" w:themeShade="80"/>
          <w:lang w:val="ru-RU"/>
        </w:rPr>
      </w:pPr>
    </w:p>
    <w:p w14:paraId="078819BC" w14:textId="0D12F414" w:rsidR="00A24741" w:rsidRPr="00BD4F9E" w:rsidRDefault="00664426" w:rsidP="00A24741">
      <w:pPr>
        <w:pBdr>
          <w:top w:val="nil"/>
          <w:left w:val="nil"/>
          <w:bottom w:val="nil"/>
          <w:right w:val="nil"/>
          <w:between w:val="nil"/>
        </w:pBdr>
        <w:spacing w:line="360" w:lineRule="auto"/>
        <w:ind w:left="140" w:right="137" w:firstLine="708"/>
        <w:jc w:val="both"/>
        <w:rPr>
          <w:color w:val="808080" w:themeColor="background1" w:themeShade="80"/>
          <w:sz w:val="28"/>
          <w:szCs w:val="28"/>
        </w:rPr>
      </w:pPr>
      <w:r w:rsidRPr="00BD4F9E">
        <w:rPr>
          <w:color w:val="808080" w:themeColor="background1" w:themeShade="80"/>
          <w:sz w:val="28"/>
          <w:szCs w:val="28"/>
        </w:rPr>
        <w:t>Для достижения поставленной цели в работе последовательно решаются следующие задачи</w:t>
      </w:r>
      <w:r w:rsidR="00A24741" w:rsidRPr="00BD4F9E">
        <w:rPr>
          <w:color w:val="808080" w:themeColor="background1" w:themeShade="80"/>
          <w:sz w:val="28"/>
          <w:szCs w:val="28"/>
        </w:rPr>
        <w:t>:</w:t>
      </w:r>
    </w:p>
    <w:p w14:paraId="011C1935"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систематизировать теоретические подходы к оценке стоимости непубличной компании на этапе подготовки к </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и выявить методический разрыв между стоимостно-ориентированным управлением, оценочной методологией непубличных компаний, теорией ценообразования </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и практикой </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w:t>
      </w:r>
      <w:r w:rsidRPr="00BD4F9E">
        <w:rPr>
          <w:color w:val="808080" w:themeColor="background1" w:themeShade="80"/>
          <w:sz w:val="28"/>
          <w:szCs w:val="28"/>
          <w:lang w:val="en-US"/>
        </w:rPr>
        <w:t>readiness</w:t>
      </w:r>
      <w:r w:rsidRPr="00BD4F9E">
        <w:rPr>
          <w:color w:val="808080" w:themeColor="background1" w:themeShade="80"/>
          <w:sz w:val="28"/>
          <w:szCs w:val="28"/>
          <w:lang w:val="ru-RU"/>
        </w:rPr>
        <w:t>;</w:t>
      </w:r>
    </w:p>
    <w:p w14:paraId="2DFFA4FA" w14:textId="6707BF64"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проанализировать институциональную среду привлечения акционерного капитала в России и международную практику допуска к листингу, эмпирические данные о системной переоценке российских </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2023–2026 гг. и типологию рисков неготовности к публичности на контрастной выборке кейсов;</w:t>
      </w:r>
    </w:p>
    <w:p w14:paraId="4368D06E"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разработать алгоритм нормализации денежного потока и построения многостадийной терминальной стоимости </w:t>
      </w:r>
      <w:r w:rsidRPr="00BD4F9E">
        <w:rPr>
          <w:color w:val="808080" w:themeColor="background1" w:themeShade="80"/>
          <w:sz w:val="28"/>
          <w:szCs w:val="28"/>
          <w:lang w:val="en-US"/>
        </w:rPr>
        <w:t>pre</w:t>
      </w:r>
      <w:r w:rsidRPr="00BD4F9E">
        <w:rPr>
          <w:color w:val="808080" w:themeColor="background1" w:themeShade="80"/>
          <w:sz w:val="28"/>
          <w:szCs w:val="28"/>
          <w:lang w:val="ru-RU"/>
        </w:rPr>
        <w:t>-</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компании;</w:t>
      </w:r>
    </w:p>
    <w:p w14:paraId="2710E77D"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предложить алгоритм реконструкции ставки дисконтирования для непубличной компании в условиях дефицита сопоставимых аналогов, включая устранение циркулярности структуры капитала;</w:t>
      </w:r>
    </w:p>
    <w:p w14:paraId="4E8D6832"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разработать формализованную процедуру расчёта </w:t>
      </w:r>
      <w:r w:rsidRPr="00BD4F9E">
        <w:rPr>
          <w:color w:val="808080" w:themeColor="background1" w:themeShade="80"/>
          <w:sz w:val="28"/>
          <w:szCs w:val="28"/>
          <w:lang w:val="en-US"/>
        </w:rPr>
        <w:t>company</w:t>
      </w:r>
      <w:r w:rsidRPr="00BD4F9E">
        <w:rPr>
          <w:color w:val="808080" w:themeColor="background1" w:themeShade="80"/>
          <w:sz w:val="28"/>
          <w:szCs w:val="28"/>
          <w:lang w:val="ru-RU"/>
        </w:rPr>
        <w:t>-</w:t>
      </w:r>
      <w:r w:rsidRPr="00BD4F9E">
        <w:rPr>
          <w:color w:val="808080" w:themeColor="background1" w:themeShade="80"/>
          <w:sz w:val="28"/>
          <w:szCs w:val="28"/>
          <w:lang w:val="en-US"/>
        </w:rPr>
        <w:t>specific</w:t>
      </w:r>
      <w:r w:rsidRPr="00BD4F9E">
        <w:rPr>
          <w:color w:val="808080" w:themeColor="background1" w:themeShade="80"/>
          <w:sz w:val="28"/>
          <w:szCs w:val="28"/>
          <w:lang w:val="ru-RU"/>
        </w:rPr>
        <w:t xml:space="preserve"> </w:t>
      </w:r>
      <w:r w:rsidRPr="00BD4F9E">
        <w:rPr>
          <w:color w:val="808080" w:themeColor="background1" w:themeShade="80"/>
          <w:sz w:val="28"/>
          <w:szCs w:val="28"/>
          <w:lang w:val="en-US"/>
        </w:rPr>
        <w:t>premium</w:t>
      </w:r>
      <w:r w:rsidRPr="00BD4F9E">
        <w:rPr>
          <w:color w:val="808080" w:themeColor="background1" w:themeShade="80"/>
          <w:sz w:val="28"/>
          <w:szCs w:val="28"/>
          <w:lang w:val="ru-RU"/>
        </w:rPr>
        <w:t xml:space="preserve"> методом анализа иерархий Саати с проверкой согласованности </w:t>
      </w:r>
      <w:r w:rsidRPr="00BD4F9E">
        <w:rPr>
          <w:color w:val="808080" w:themeColor="background1" w:themeShade="80"/>
          <w:sz w:val="28"/>
          <w:szCs w:val="28"/>
          <w:lang w:val="ru-RU"/>
        </w:rPr>
        <w:lastRenderedPageBreak/>
        <w:t>экспертных суждений — взамен экспертного присвоения надбавки;</w:t>
      </w:r>
    </w:p>
    <w:p w14:paraId="21E33270"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разработать алгоритм расчёта </w:t>
      </w:r>
      <w:r w:rsidRPr="00BD4F9E">
        <w:rPr>
          <w:color w:val="808080" w:themeColor="background1" w:themeShade="80"/>
          <w:sz w:val="28"/>
          <w:szCs w:val="28"/>
          <w:lang w:val="en-US"/>
        </w:rPr>
        <w:t>DLOM</w:t>
      </w:r>
      <w:r w:rsidRPr="00BD4F9E">
        <w:rPr>
          <w:color w:val="808080" w:themeColor="background1" w:themeShade="80"/>
          <w:sz w:val="28"/>
          <w:szCs w:val="28"/>
          <w:lang w:val="ru-RU"/>
        </w:rPr>
        <w:t xml:space="preserve">-дисконта, учитывающий регуляторную динамику требований к минимальному </w:t>
      </w:r>
      <w:r w:rsidRPr="00BD4F9E">
        <w:rPr>
          <w:color w:val="808080" w:themeColor="background1" w:themeShade="80"/>
          <w:sz w:val="28"/>
          <w:szCs w:val="28"/>
          <w:lang w:val="en-US"/>
        </w:rPr>
        <w:t>free</w:t>
      </w:r>
      <w:r w:rsidRPr="00BD4F9E">
        <w:rPr>
          <w:color w:val="808080" w:themeColor="background1" w:themeShade="80"/>
          <w:sz w:val="28"/>
          <w:szCs w:val="28"/>
          <w:lang w:val="ru-RU"/>
        </w:rPr>
        <w:t>-</w:t>
      </w:r>
      <w:r w:rsidRPr="00BD4F9E">
        <w:rPr>
          <w:color w:val="808080" w:themeColor="background1" w:themeShade="80"/>
          <w:sz w:val="28"/>
          <w:szCs w:val="28"/>
          <w:lang w:val="en-US"/>
        </w:rPr>
        <w:t>float</w:t>
      </w:r>
      <w:r w:rsidRPr="00BD4F9E">
        <w:rPr>
          <w:color w:val="808080" w:themeColor="background1" w:themeShade="80"/>
          <w:sz w:val="28"/>
          <w:szCs w:val="28"/>
          <w:lang w:val="ru-RU"/>
        </w:rPr>
        <w:t xml:space="preserve"> 2023–2027 гг.;</w:t>
      </w:r>
    </w:p>
    <w:p w14:paraId="2412B839" w14:textId="73B895D9"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обосновать двухточечное применение методики на этапе </w:t>
      </w:r>
      <w:r w:rsidRPr="00BD4F9E">
        <w:rPr>
          <w:color w:val="808080" w:themeColor="background1" w:themeShade="80"/>
          <w:sz w:val="28"/>
          <w:szCs w:val="28"/>
          <w:lang w:val="en-US"/>
        </w:rPr>
        <w:t>pre</w:t>
      </w:r>
      <w:r w:rsidRPr="00BD4F9E">
        <w:rPr>
          <w:color w:val="808080" w:themeColor="background1" w:themeShade="80"/>
          <w:sz w:val="28"/>
          <w:szCs w:val="28"/>
          <w:lang w:val="ru-RU"/>
        </w:rPr>
        <w:t>-</w:t>
      </w:r>
      <w:r w:rsidRPr="00BD4F9E">
        <w:rPr>
          <w:color w:val="808080" w:themeColor="background1" w:themeShade="80"/>
          <w:sz w:val="28"/>
          <w:szCs w:val="28"/>
          <w:lang w:val="en-US"/>
        </w:rPr>
        <w:t>IPO</w:t>
      </w:r>
      <w:r w:rsidRPr="00BD4F9E">
        <w:rPr>
          <w:color w:val="808080" w:themeColor="background1" w:themeShade="80"/>
          <w:sz w:val="28"/>
          <w:szCs w:val="28"/>
          <w:lang w:val="ru-RU"/>
        </w:rPr>
        <w:t>: первая оценка с построением диагностической карты факторов риска, целенаправленная работа компании над их устранением, повторная оценка перед формированием книги заявок с измеримым снижением дисконта (</w:t>
      </w:r>
      <w:r w:rsidRPr="00BD4F9E">
        <w:rPr>
          <w:color w:val="808080" w:themeColor="background1" w:themeShade="80"/>
          <w:sz w:val="28"/>
          <w:szCs w:val="28"/>
          <w:lang w:val="en-US"/>
        </w:rPr>
        <w:t>ΔCSRP</w:t>
      </w:r>
      <w:r w:rsidRPr="00BD4F9E">
        <w:rPr>
          <w:color w:val="808080" w:themeColor="background1" w:themeShade="80"/>
          <w:sz w:val="28"/>
          <w:szCs w:val="28"/>
          <w:lang w:val="ru-RU"/>
        </w:rPr>
        <w:t>) как показателем прогресса подготовки к публичности;</w:t>
      </w:r>
    </w:p>
    <w:p w14:paraId="7D322BC2"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объединить нормализованный денежный поток, реконструированную ставку и оба компонента дисконта в единый сценарный </w:t>
      </w:r>
      <w:r w:rsidRPr="00BD4F9E">
        <w:rPr>
          <w:color w:val="808080" w:themeColor="background1" w:themeShade="80"/>
          <w:sz w:val="28"/>
          <w:szCs w:val="28"/>
          <w:lang w:val="en-US"/>
        </w:rPr>
        <w:t>DCF</w:t>
      </w:r>
      <w:r w:rsidRPr="00BD4F9E">
        <w:rPr>
          <w:color w:val="808080" w:themeColor="background1" w:themeShade="80"/>
          <w:sz w:val="28"/>
          <w:szCs w:val="28"/>
          <w:lang w:val="ru-RU"/>
        </w:rPr>
        <w:t>-инструмент с раздельным тестированием операционного блока и блока дисконта;</w:t>
      </w:r>
    </w:p>
    <w:p w14:paraId="08C5B581"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xml:space="preserve">— апробировать методику на контрастной эмпирической выборке российских </w:t>
      </w:r>
      <w:r w:rsidRPr="00BD4F9E">
        <w:rPr>
          <w:color w:val="808080" w:themeColor="background1" w:themeShade="80"/>
          <w:sz w:val="28"/>
          <w:szCs w:val="28"/>
          <w:lang w:val="en-US"/>
        </w:rPr>
        <w:t>IPO</w:t>
      </w:r>
      <w:r w:rsidRPr="00BD4F9E">
        <w:rPr>
          <w:color w:val="808080" w:themeColor="background1" w:themeShade="80"/>
          <w:sz w:val="28"/>
          <w:szCs w:val="28"/>
          <w:lang w:val="ru-RU"/>
        </w:rPr>
        <w:t xml:space="preserve"> 2023–2026 гг., сопоставив расчётную и фактически достигнутую капитализацию;</w:t>
      </w:r>
    </w:p>
    <w:p w14:paraId="23D0CB70" w14:textId="77777777" w:rsidR="00FA7A99" w:rsidRPr="00BD4F9E" w:rsidRDefault="00FA7A99"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r w:rsidRPr="00BD4F9E">
        <w:rPr>
          <w:color w:val="808080" w:themeColor="background1" w:themeShade="80"/>
          <w:sz w:val="28"/>
          <w:szCs w:val="28"/>
          <w:lang w:val="ru-RU"/>
        </w:rPr>
        <w:t>— сформулировать практические рекомендации для эмитентов, организаторов размещений и регулятора по применению методики, в том числе в контексте задач Указа Президента РФ №309.</w:t>
      </w:r>
    </w:p>
    <w:p w14:paraId="03B8CDB6" w14:textId="1C195CA9" w:rsidR="00A24741" w:rsidRPr="00BD4F9E" w:rsidRDefault="00A24741" w:rsidP="00FA7A99">
      <w:pPr>
        <w:pBdr>
          <w:top w:val="nil"/>
          <w:left w:val="nil"/>
          <w:bottom w:val="nil"/>
          <w:right w:val="nil"/>
          <w:between w:val="nil"/>
        </w:pBdr>
        <w:spacing w:line="360" w:lineRule="auto"/>
        <w:ind w:left="140" w:right="137" w:firstLine="708"/>
        <w:jc w:val="both"/>
        <w:rPr>
          <w:color w:val="808080" w:themeColor="background1" w:themeShade="80"/>
          <w:sz w:val="28"/>
          <w:szCs w:val="28"/>
          <w:lang w:val="ru-RU"/>
        </w:rPr>
      </w:pPr>
    </w:p>
    <w:p w14:paraId="1C1F2689" w14:textId="77777777" w:rsidR="00A63D1B" w:rsidRPr="008A5A4A" w:rsidRDefault="0018149E">
      <w:pPr>
        <w:pStyle w:val="1"/>
        <w:ind w:firstLine="140"/>
        <w:jc w:val="both"/>
      </w:pPr>
      <w:r w:rsidRPr="008A5A4A">
        <w:t>Область исследования.</w:t>
      </w:r>
    </w:p>
    <w:p w14:paraId="1C1F268A" w14:textId="77777777" w:rsidR="00A63D1B" w:rsidRPr="008A5A4A" w:rsidRDefault="00A63D1B">
      <w:pPr>
        <w:pBdr>
          <w:top w:val="nil"/>
          <w:left w:val="nil"/>
          <w:bottom w:val="nil"/>
          <w:right w:val="nil"/>
          <w:between w:val="nil"/>
        </w:pBdr>
        <w:rPr>
          <w:b/>
          <w:bCs/>
          <w:sz w:val="28"/>
          <w:szCs w:val="28"/>
        </w:rPr>
      </w:pPr>
    </w:p>
    <w:p w14:paraId="1C1F268C" w14:textId="1BB493C9" w:rsidR="00A63D1B" w:rsidRPr="008A5A4A" w:rsidRDefault="008A5A4A">
      <w:pPr>
        <w:pBdr>
          <w:top w:val="nil"/>
          <w:left w:val="nil"/>
          <w:bottom w:val="nil"/>
          <w:right w:val="nil"/>
          <w:between w:val="nil"/>
        </w:pBdr>
        <w:spacing w:line="360" w:lineRule="auto"/>
        <w:ind w:left="140" w:right="140" w:firstLine="708"/>
        <w:jc w:val="both"/>
        <w:rPr>
          <w:sz w:val="28"/>
          <w:szCs w:val="28"/>
          <w:lang w:val="ru-RU"/>
        </w:rPr>
      </w:pPr>
      <w:r w:rsidRPr="008A5A4A">
        <w:rPr>
          <w:sz w:val="28"/>
          <w:szCs w:val="28"/>
        </w:rPr>
        <w:t>Исследование выполнено в соответствии с пп. 16 «Оценочная деятельность. Оценка стоимости предприятия (бизнеса), активов и прав» и 18 «Проектное и венчурное финансирование» Паспорта научной специальности 5.2.4 Финансы (экономические науки).</w:t>
      </w:r>
    </w:p>
    <w:p w14:paraId="1C3D8566" w14:textId="77777777" w:rsidR="008A5A4A" w:rsidRPr="0028137D" w:rsidRDefault="008A5A4A">
      <w:pPr>
        <w:pBdr>
          <w:top w:val="nil"/>
          <w:left w:val="nil"/>
          <w:bottom w:val="nil"/>
          <w:right w:val="nil"/>
          <w:between w:val="nil"/>
        </w:pBdr>
        <w:spacing w:line="360" w:lineRule="auto"/>
        <w:ind w:left="140" w:right="140" w:firstLine="708"/>
        <w:jc w:val="both"/>
        <w:rPr>
          <w:color w:val="808080" w:themeColor="background1" w:themeShade="80"/>
          <w:sz w:val="28"/>
          <w:szCs w:val="28"/>
          <w:lang w:val="ru-RU"/>
        </w:rPr>
      </w:pPr>
    </w:p>
    <w:p w14:paraId="1C1F268D" w14:textId="2AD6B52E" w:rsidR="00A63D1B" w:rsidRPr="0010172A" w:rsidRDefault="0018149E">
      <w:pPr>
        <w:pStyle w:val="1"/>
        <w:ind w:firstLine="140"/>
        <w:jc w:val="both"/>
      </w:pPr>
      <w:r w:rsidRPr="0010172A">
        <w:t>Теоретико-методологическ</w:t>
      </w:r>
      <w:r w:rsidR="00F70782" w:rsidRPr="0010172A">
        <w:rPr>
          <w:lang w:val="ru-RU"/>
        </w:rPr>
        <w:t>ая</w:t>
      </w:r>
      <w:r w:rsidRPr="0010172A">
        <w:t xml:space="preserve"> основ</w:t>
      </w:r>
      <w:r w:rsidR="00F70782" w:rsidRPr="0010172A">
        <w:rPr>
          <w:lang w:val="ru-RU"/>
        </w:rPr>
        <w:t xml:space="preserve">а </w:t>
      </w:r>
      <w:r w:rsidRPr="0010172A">
        <w:t>исследования.</w:t>
      </w:r>
    </w:p>
    <w:p w14:paraId="1C1F268E" w14:textId="77777777" w:rsidR="00A63D1B" w:rsidRPr="0010172A" w:rsidRDefault="00A63D1B">
      <w:pPr>
        <w:pBdr>
          <w:top w:val="nil"/>
          <w:left w:val="nil"/>
          <w:bottom w:val="nil"/>
          <w:right w:val="nil"/>
          <w:between w:val="nil"/>
        </w:pBdr>
        <w:spacing w:line="360" w:lineRule="auto"/>
        <w:ind w:left="140" w:right="139" w:firstLine="708"/>
        <w:jc w:val="both"/>
        <w:rPr>
          <w:sz w:val="28"/>
          <w:szCs w:val="28"/>
        </w:rPr>
      </w:pPr>
    </w:p>
    <w:p w14:paraId="28BC954B" w14:textId="4CA2E4B7" w:rsidR="0010172A" w:rsidRPr="0010172A" w:rsidRDefault="0010172A" w:rsidP="0010172A">
      <w:pPr>
        <w:pBdr>
          <w:top w:val="nil"/>
          <w:left w:val="nil"/>
          <w:bottom w:val="nil"/>
          <w:right w:val="nil"/>
          <w:between w:val="nil"/>
        </w:pBdr>
        <w:spacing w:line="360" w:lineRule="auto"/>
        <w:ind w:left="140" w:right="139" w:firstLine="708"/>
        <w:jc w:val="both"/>
        <w:rPr>
          <w:sz w:val="28"/>
          <w:szCs w:val="28"/>
        </w:rPr>
      </w:pPr>
      <w:r w:rsidRPr="0010172A">
        <w:rPr>
          <w:sz w:val="28"/>
          <w:szCs w:val="28"/>
        </w:rPr>
        <w:t xml:space="preserve">В рамках формирования </w:t>
      </w:r>
      <w:r w:rsidRPr="0010172A">
        <w:rPr>
          <w:sz w:val="28"/>
          <w:szCs w:val="28"/>
          <w:lang w:val="ru-RU"/>
        </w:rPr>
        <w:t>теоретической</w:t>
      </w:r>
      <w:r w:rsidRPr="0010172A">
        <w:rPr>
          <w:sz w:val="28"/>
          <w:szCs w:val="28"/>
        </w:rPr>
        <w:t xml:space="preserve"> базы исследования использованы ключевые концепции теории оценки стоимости бизнеса и стоимостно-ориентированного управления (А. Раппапорт, Т. Коупленд, Дж. Муррин, И.В. Ивашковская, Н.И. Берзон, Т.В. Теплова), при этом важное значение имели </w:t>
      </w:r>
      <w:r w:rsidRPr="0010172A">
        <w:rPr>
          <w:sz w:val="28"/>
          <w:szCs w:val="28"/>
        </w:rPr>
        <w:lastRenderedPageBreak/>
        <w:t>результаты исследований теории и практики привлечения институционального капитала на последовательных этапах — от венчурного финансирования (У. Сахлман, П. Гомперс, П. Гомперс и Дж. Лернер) и фондов прямых инвестиций (М. Дженсен, С. Каплан и П. Стрёмберг, С. Каплан и А. Шоар) до ценообразования при публичном размещении (К. Рок, Х. Лиланд и Д. Пайл, Дж. Риттер), — а также отдельных вопросов оценки дисконтов и премий за индивидуальный риск компании (С. Пратт, А. Дамодаран) и диагностики инвестиционной готовности как самостоятельной категории, опирающейся на теорию информационной асимметрии и агентских издержек (Дж. Акерлоф, М. Спенс, М. Дженсен и У. Меклинг), как российских (С.В. Захаров, О.Д. Ксенофонтова, И.И. Гулевич, С.В. Гвардин), так и зарубежных авторов.</w:t>
      </w:r>
    </w:p>
    <w:p w14:paraId="65B81AB6" w14:textId="551D90F9" w:rsidR="0010172A" w:rsidRPr="0010172A" w:rsidRDefault="0010172A" w:rsidP="0010172A">
      <w:pPr>
        <w:pBdr>
          <w:top w:val="nil"/>
          <w:left w:val="nil"/>
          <w:bottom w:val="nil"/>
          <w:right w:val="nil"/>
          <w:between w:val="nil"/>
        </w:pBdr>
        <w:spacing w:line="360" w:lineRule="auto"/>
        <w:ind w:left="140" w:right="139" w:firstLine="708"/>
        <w:jc w:val="both"/>
        <w:rPr>
          <w:sz w:val="28"/>
          <w:szCs w:val="28"/>
        </w:rPr>
      </w:pPr>
      <w:r w:rsidRPr="0010172A">
        <w:rPr>
          <w:sz w:val="28"/>
          <w:szCs w:val="28"/>
        </w:rPr>
        <w:t>В работе применён комплекс общенаучных и эмпирических методов исследования, в том числе систематизация и классификация, группировка и сравнительный анализ, аналогия и абстрагирование, финансовый и графический анализ, логический анализ и метод анализа иерархий Т. Саати с проверкой согласованности экспертных суждений, а также методы оценки стоимости бизнеса в рамках доходного подхода, включая многостадийную модель дисконтированных денежных потоков</w:t>
      </w:r>
      <w:r w:rsidR="00E563E1">
        <w:rPr>
          <w:sz w:val="28"/>
          <w:szCs w:val="28"/>
          <w:lang w:val="ru-RU"/>
        </w:rPr>
        <w:t xml:space="preserve">, </w:t>
      </w:r>
      <w:r w:rsidRPr="0010172A">
        <w:rPr>
          <w:sz w:val="28"/>
          <w:szCs w:val="28"/>
        </w:rPr>
        <w:t>модел</w:t>
      </w:r>
      <w:r w:rsidR="00E563E1">
        <w:rPr>
          <w:sz w:val="28"/>
          <w:szCs w:val="28"/>
          <w:lang w:val="ru-RU"/>
        </w:rPr>
        <w:t>и</w:t>
      </w:r>
      <w:r w:rsidRPr="0010172A">
        <w:rPr>
          <w:sz w:val="28"/>
          <w:szCs w:val="28"/>
        </w:rPr>
        <w:t xml:space="preserve"> Хамады</w:t>
      </w:r>
      <w:r w:rsidR="00E563E1">
        <w:rPr>
          <w:sz w:val="28"/>
          <w:szCs w:val="28"/>
          <w:lang w:val="ru-RU"/>
        </w:rPr>
        <w:t xml:space="preserve"> и Харрис-Прингл</w:t>
      </w:r>
      <w:r w:rsidRPr="0010172A">
        <w:rPr>
          <w:sz w:val="28"/>
          <w:szCs w:val="28"/>
        </w:rPr>
        <w:t xml:space="preserve"> для реконструкции синтетической беты непубличной компании. Также в рамках исследования применялся метод анализа конкретных ситуаций для подтверждения применимости научно-практических рекомендаций на контрастной эмпирической выборке современных российских кейсов венчурного финансирования, pre-IPO и IPO.</w:t>
      </w:r>
    </w:p>
    <w:p w14:paraId="1C1F2691" w14:textId="62E5A85C" w:rsidR="00A63D1B" w:rsidRPr="0010172A" w:rsidRDefault="0010172A" w:rsidP="0010172A">
      <w:pPr>
        <w:pBdr>
          <w:top w:val="nil"/>
          <w:left w:val="nil"/>
          <w:bottom w:val="nil"/>
          <w:right w:val="nil"/>
          <w:between w:val="nil"/>
        </w:pBdr>
        <w:spacing w:line="360" w:lineRule="auto"/>
        <w:ind w:left="140" w:right="139" w:firstLine="708"/>
        <w:jc w:val="both"/>
        <w:rPr>
          <w:sz w:val="28"/>
          <w:szCs w:val="28"/>
        </w:rPr>
      </w:pPr>
      <w:r w:rsidRPr="0010172A">
        <w:rPr>
          <w:sz w:val="28"/>
          <w:szCs w:val="28"/>
        </w:rPr>
        <w:t>Программный комплекс, состоящий из пакета программ MS Office и перечня информационно-аналитических ресурсов, использован для получения и обработки данных, проведения расчётов и графической визуализации результатов.</w:t>
      </w:r>
    </w:p>
    <w:p w14:paraId="73DEB48B" w14:textId="77777777" w:rsidR="0010172A" w:rsidRPr="0028137D" w:rsidRDefault="0010172A" w:rsidP="0010172A">
      <w:pPr>
        <w:pBdr>
          <w:top w:val="nil"/>
          <w:left w:val="nil"/>
          <w:bottom w:val="nil"/>
          <w:right w:val="nil"/>
          <w:between w:val="nil"/>
        </w:pBdr>
        <w:spacing w:before="160"/>
        <w:rPr>
          <w:sz w:val="28"/>
          <w:szCs w:val="28"/>
          <w:lang w:val="ru-RU"/>
        </w:rPr>
      </w:pPr>
    </w:p>
    <w:p w14:paraId="1C1F2692" w14:textId="77777777" w:rsidR="00A63D1B" w:rsidRPr="0028137D" w:rsidRDefault="0018149E">
      <w:pPr>
        <w:pStyle w:val="1"/>
        <w:ind w:left="849"/>
      </w:pPr>
      <w:r w:rsidRPr="0028137D">
        <w:t>Информационная база исследования.</w:t>
      </w:r>
    </w:p>
    <w:p w14:paraId="1C1F2693" w14:textId="77777777" w:rsidR="00A63D1B" w:rsidRPr="0028137D" w:rsidRDefault="00A63D1B">
      <w:pPr>
        <w:pBdr>
          <w:top w:val="nil"/>
          <w:left w:val="nil"/>
          <w:bottom w:val="nil"/>
          <w:right w:val="nil"/>
          <w:between w:val="nil"/>
        </w:pBdr>
        <w:rPr>
          <w:b/>
          <w:bCs/>
          <w:sz w:val="28"/>
          <w:szCs w:val="28"/>
        </w:rPr>
      </w:pPr>
    </w:p>
    <w:p w14:paraId="03D36588" w14:textId="77777777" w:rsidR="0028137D" w:rsidRPr="004637FB" w:rsidRDefault="0028137D" w:rsidP="0028137D">
      <w:pPr>
        <w:pBdr>
          <w:top w:val="nil"/>
          <w:left w:val="nil"/>
          <w:bottom w:val="nil"/>
          <w:right w:val="nil"/>
          <w:between w:val="nil"/>
        </w:pBdr>
        <w:spacing w:before="2" w:line="360" w:lineRule="auto"/>
        <w:ind w:left="140" w:right="145" w:firstLine="708"/>
        <w:jc w:val="both"/>
        <w:rPr>
          <w:sz w:val="28"/>
          <w:szCs w:val="28"/>
          <w:lang w:val="ru-RU"/>
        </w:rPr>
      </w:pPr>
      <w:r w:rsidRPr="0028137D">
        <w:rPr>
          <w:sz w:val="28"/>
          <w:szCs w:val="28"/>
        </w:rPr>
        <w:t xml:space="preserve">Информационную базу исследования составили: </w:t>
      </w:r>
    </w:p>
    <w:p w14:paraId="250B5911"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lastRenderedPageBreak/>
        <w:t xml:space="preserve">Указ Президента Российской Федерации №309 от 07.05.2024 и Единый план по достижению национальных целей развития (static.government.ru); </w:t>
      </w:r>
    </w:p>
    <w:p w14:paraId="113755E0"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Стратегия развития финансового рынка Российской Федерации до 2030 года (Минфин России, Банк России); </w:t>
      </w:r>
    </w:p>
    <w:p w14:paraId="25D34501"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Правила листинга Публичного акционерного общества «Московская Биржа ММВБ-РТС» (утв. 26.02.2026, Протокол №12); </w:t>
      </w:r>
    </w:p>
    <w:p w14:paraId="7F1F48EE"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проспекты эмиссии и финансовая отчётность компаний, привлекавших институциональный капитал на этапах от венчурного финансирования до IPO в 2023–2026 гг., раскрываемые в установленном порядке (e-disclosure.ru, страницы эмитентов на Московской Бирже, платформа MOEX Start); </w:t>
      </w:r>
    </w:p>
    <w:p w14:paraId="529FAE56"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данные Московской Биржи (moex.com), включая годовые отчёты и статистику по динамике котировок, объёмам торгов, числу эмитентов и фактическому free-float; </w:t>
      </w:r>
    </w:p>
    <w:p w14:paraId="59224BC0"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данные Единого реестра субъектов малого и среднего предпринимательства о численности юридических лиц; </w:t>
      </w:r>
    </w:p>
    <w:p w14:paraId="6A13CDEC"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аналитические отчёты компании Dsight «Венчурная Евразия» о динамике российского венчурного рынка; </w:t>
      </w:r>
    </w:p>
    <w:p w14:paraId="7FBE3D2C"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кривая бескупонной доходности ОФЗ Банка России (cbr.ru) как основа реконструкции безрисковой ставки; </w:t>
      </w:r>
    </w:p>
    <w:p w14:paraId="1CC45934"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 xml:space="preserve">аналитические и статистические материалы Банка России, НАУФОР, ВТБ и отраслевых брокеров о динамике и доходности российского рынка капитала (РБК Инвестиции, Коммерсантъ, Известия — с указанием конкретных дат публикаций в тексте работы); </w:t>
      </w:r>
    </w:p>
    <w:p w14:paraId="7896B8E4" w14:textId="77777777" w:rsidR="0028137D"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материалы конкретных кейсов компаний, привлекавших капитал на разных этапах пути к публичности (</w:t>
      </w:r>
      <w:r w:rsidRPr="0028137D">
        <w:rPr>
          <w:sz w:val="28"/>
          <w:szCs w:val="28"/>
          <w:lang w:val="ru-RU"/>
        </w:rPr>
        <w:t xml:space="preserve">в том числе </w:t>
      </w:r>
      <w:r w:rsidRPr="0028137D">
        <w:rPr>
          <w:sz w:val="28"/>
          <w:szCs w:val="28"/>
        </w:rPr>
        <w:t xml:space="preserve">Whoosh, ПАО «ЮГК», АО «Петрокартон», KupiVIP и др.); </w:t>
      </w:r>
    </w:p>
    <w:p w14:paraId="1C1F269D" w14:textId="64C870A8" w:rsidR="00A63D1B" w:rsidRPr="0028137D" w:rsidRDefault="0028137D" w:rsidP="0028137D">
      <w:pPr>
        <w:pStyle w:val="a9"/>
        <w:numPr>
          <w:ilvl w:val="0"/>
          <w:numId w:val="4"/>
        </w:numPr>
        <w:pBdr>
          <w:top w:val="nil"/>
          <w:left w:val="nil"/>
          <w:bottom w:val="nil"/>
          <w:right w:val="nil"/>
          <w:between w:val="nil"/>
        </w:pBdr>
        <w:spacing w:before="2" w:line="360" w:lineRule="auto"/>
        <w:ind w:right="145"/>
        <w:jc w:val="both"/>
        <w:rPr>
          <w:sz w:val="28"/>
          <w:szCs w:val="28"/>
        </w:rPr>
      </w:pPr>
      <w:r w:rsidRPr="0028137D">
        <w:rPr>
          <w:sz w:val="28"/>
          <w:szCs w:val="28"/>
        </w:rPr>
        <w:t>результаты попарных экспертных сравнений факторов риска неготовности к публичности, полученные в рамках применения метода анализа иерархий Саати.</w:t>
      </w:r>
    </w:p>
    <w:p w14:paraId="1C1F269E" w14:textId="77777777" w:rsidR="00A63D1B" w:rsidRPr="00BD4F9E" w:rsidRDefault="00A63D1B">
      <w:pPr>
        <w:pBdr>
          <w:top w:val="nil"/>
          <w:left w:val="nil"/>
          <w:bottom w:val="nil"/>
          <w:right w:val="nil"/>
          <w:between w:val="nil"/>
        </w:pBdr>
        <w:rPr>
          <w:color w:val="808080" w:themeColor="background1" w:themeShade="80"/>
          <w:sz w:val="28"/>
          <w:szCs w:val="28"/>
        </w:rPr>
      </w:pPr>
    </w:p>
    <w:p w14:paraId="1C1F269F" w14:textId="77777777" w:rsidR="00A63D1B" w:rsidRPr="00C018CD" w:rsidRDefault="0018149E">
      <w:pPr>
        <w:pStyle w:val="1"/>
        <w:ind w:firstLine="140"/>
        <w:rPr>
          <w:b w:val="0"/>
          <w:bCs w:val="0"/>
        </w:rPr>
      </w:pPr>
      <w:r w:rsidRPr="00C018CD">
        <w:lastRenderedPageBreak/>
        <w:t>Предполагаемые научные результаты / научная новизна</w:t>
      </w:r>
      <w:r w:rsidRPr="00C018CD">
        <w:rPr>
          <w:b w:val="0"/>
          <w:bCs w:val="0"/>
        </w:rPr>
        <w:t>.</w:t>
      </w:r>
    </w:p>
    <w:p w14:paraId="660FC125" w14:textId="77777777" w:rsidR="006B67AA" w:rsidRPr="00C018CD" w:rsidRDefault="006B67AA">
      <w:pPr>
        <w:pBdr>
          <w:top w:val="nil"/>
          <w:left w:val="nil"/>
          <w:bottom w:val="nil"/>
          <w:right w:val="nil"/>
          <w:between w:val="nil"/>
        </w:pBdr>
        <w:spacing w:line="360" w:lineRule="auto"/>
        <w:ind w:left="140" w:right="139" w:firstLine="708"/>
        <w:jc w:val="both"/>
        <w:rPr>
          <w:sz w:val="28"/>
          <w:szCs w:val="28"/>
          <w:lang w:val="ru-RU"/>
        </w:rPr>
      </w:pPr>
    </w:p>
    <w:p w14:paraId="6AD81053" w14:textId="77777777"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В ходе исследования предполагается получение следующих результатов, содержащих элементы научной новизны:</w:t>
      </w:r>
    </w:p>
    <w:p w14:paraId="7DF73842" w14:textId="51BE44FE"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 xml:space="preserve">— </w:t>
      </w:r>
      <w:r w:rsidRPr="00350DCE">
        <w:rPr>
          <w:sz w:val="28"/>
          <w:szCs w:val="28"/>
          <w:highlight w:val="cyan"/>
          <w:lang w:val="ru-RU"/>
        </w:rPr>
        <w:t>Обоснована граница применимости методики диагностики инвестиционной готовности компании</w:t>
      </w:r>
      <w:r w:rsidRPr="00C018CD">
        <w:rPr>
          <w:sz w:val="28"/>
          <w:szCs w:val="28"/>
          <w:lang w:val="ru-RU"/>
        </w:rPr>
        <w:t xml:space="preserve">: определяющим критерием выступает не стадия жизненного цикла или возраст компании, а фактическое наличие измеримой истории по пяти факторам риска, отражающим уровень развития стратегии в компании, — в отличие от действующей практики, связывающей готовность к капиталу с описательной стадией развития </w:t>
      </w:r>
      <w:commentRangeStart w:id="1"/>
      <w:r w:rsidRPr="00C018CD">
        <w:rPr>
          <w:sz w:val="28"/>
          <w:szCs w:val="28"/>
          <w:lang w:val="ru-RU"/>
        </w:rPr>
        <w:t>бизнеса</w:t>
      </w:r>
      <w:commentRangeEnd w:id="1"/>
      <w:r w:rsidR="00350DCE">
        <w:rPr>
          <w:rStyle w:val="af2"/>
        </w:rPr>
        <w:commentReference w:id="1"/>
      </w:r>
      <w:r w:rsidRPr="00C018CD">
        <w:rPr>
          <w:sz w:val="28"/>
          <w:szCs w:val="28"/>
          <w:lang w:val="ru-RU"/>
        </w:rPr>
        <w:t>;</w:t>
      </w:r>
    </w:p>
    <w:p w14:paraId="103642C7" w14:textId="77777777"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 xml:space="preserve">— </w:t>
      </w:r>
      <w:r w:rsidRPr="00350DCE">
        <w:rPr>
          <w:sz w:val="28"/>
          <w:szCs w:val="28"/>
          <w:highlight w:val="cyan"/>
          <w:lang w:val="ru-RU"/>
        </w:rPr>
        <w:t xml:space="preserve">Разработана методика каскадной оценки, применяющая единую архитектуру </w:t>
      </w:r>
      <w:r w:rsidRPr="00350DCE">
        <w:rPr>
          <w:sz w:val="28"/>
          <w:szCs w:val="28"/>
          <w:highlight w:val="cyan"/>
          <w:lang w:val="en-US"/>
        </w:rPr>
        <w:t>DCF</w:t>
      </w:r>
      <w:r w:rsidRPr="00350DCE">
        <w:rPr>
          <w:sz w:val="28"/>
          <w:szCs w:val="28"/>
          <w:highlight w:val="cyan"/>
          <w:lang w:val="ru-RU"/>
        </w:rPr>
        <w:t>+</w:t>
      </w:r>
      <w:r w:rsidRPr="00350DCE">
        <w:rPr>
          <w:sz w:val="28"/>
          <w:szCs w:val="28"/>
          <w:highlight w:val="cyan"/>
          <w:lang w:val="en-US"/>
        </w:rPr>
        <w:t>CSRP</w:t>
      </w:r>
      <w:r w:rsidRPr="00350DCE">
        <w:rPr>
          <w:sz w:val="28"/>
          <w:szCs w:val="28"/>
          <w:highlight w:val="cyan"/>
          <w:lang w:val="ru-RU"/>
        </w:rPr>
        <w:t>+</w:t>
      </w:r>
      <w:r w:rsidRPr="00350DCE">
        <w:rPr>
          <w:sz w:val="28"/>
          <w:szCs w:val="28"/>
          <w:highlight w:val="cyan"/>
          <w:lang w:val="en-US"/>
        </w:rPr>
        <w:t>DLOM</w:t>
      </w:r>
      <w:r w:rsidRPr="00C018CD">
        <w:rPr>
          <w:sz w:val="28"/>
          <w:szCs w:val="28"/>
          <w:lang w:val="ru-RU"/>
        </w:rPr>
        <w:t xml:space="preserve"> последовательно на нескольких контрольных точках пути компании к капиталу — от венчурного финансирования до </w:t>
      </w:r>
      <w:r w:rsidRPr="00C018CD">
        <w:rPr>
          <w:sz w:val="28"/>
          <w:szCs w:val="28"/>
          <w:lang w:val="en-US"/>
        </w:rPr>
        <w:t>IPO</w:t>
      </w:r>
      <w:r w:rsidRPr="00C018CD">
        <w:rPr>
          <w:sz w:val="28"/>
          <w:szCs w:val="28"/>
          <w:lang w:val="ru-RU"/>
        </w:rPr>
        <w:t xml:space="preserve">, — с уточнением входных параметров (весов </w:t>
      </w:r>
      <w:r w:rsidRPr="00C018CD">
        <w:rPr>
          <w:sz w:val="28"/>
          <w:szCs w:val="28"/>
          <w:lang w:val="en-US"/>
        </w:rPr>
        <w:t>CSRP</w:t>
      </w:r>
      <w:r w:rsidRPr="00C018CD">
        <w:rPr>
          <w:sz w:val="28"/>
          <w:szCs w:val="28"/>
          <w:lang w:val="ru-RU"/>
        </w:rPr>
        <w:t xml:space="preserve">, точности ставки дисконтирования, величины </w:t>
      </w:r>
      <w:r w:rsidRPr="00C018CD">
        <w:rPr>
          <w:sz w:val="28"/>
          <w:szCs w:val="28"/>
          <w:lang w:val="en-US"/>
        </w:rPr>
        <w:t>DLOM</w:t>
      </w:r>
      <w:r w:rsidRPr="00C018CD">
        <w:rPr>
          <w:sz w:val="28"/>
          <w:szCs w:val="28"/>
          <w:lang w:val="ru-RU"/>
        </w:rPr>
        <w:t xml:space="preserve">) на каждой точке, в отличие от однократного применения оценочного инструментария в действующей </w:t>
      </w:r>
      <w:commentRangeStart w:id="2"/>
      <w:r w:rsidRPr="00C018CD">
        <w:rPr>
          <w:sz w:val="28"/>
          <w:szCs w:val="28"/>
          <w:lang w:val="ru-RU"/>
        </w:rPr>
        <w:t>практике</w:t>
      </w:r>
      <w:commentRangeEnd w:id="2"/>
      <w:r w:rsidR="00350DCE">
        <w:rPr>
          <w:rStyle w:val="af2"/>
        </w:rPr>
        <w:commentReference w:id="2"/>
      </w:r>
      <w:r w:rsidRPr="00C018CD">
        <w:rPr>
          <w:sz w:val="28"/>
          <w:szCs w:val="28"/>
          <w:lang w:val="ru-RU"/>
        </w:rPr>
        <w:t>;</w:t>
      </w:r>
    </w:p>
    <w:p w14:paraId="0CAC7715" w14:textId="77777777"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 xml:space="preserve">— Впервые предложено разделение динамики стоимости и </w:t>
      </w:r>
      <w:r w:rsidRPr="00350DCE">
        <w:rPr>
          <w:sz w:val="28"/>
          <w:szCs w:val="28"/>
          <w:highlight w:val="cyan"/>
          <w:lang w:val="ru-RU"/>
        </w:rPr>
        <w:t>структурной готовности компании</w:t>
      </w:r>
      <w:r w:rsidRPr="00C018CD">
        <w:rPr>
          <w:sz w:val="28"/>
          <w:szCs w:val="28"/>
          <w:lang w:val="ru-RU"/>
        </w:rPr>
        <w:t xml:space="preserve"> на одних и тех же контрольных точках (</w:t>
      </w:r>
      <w:r w:rsidRPr="00C018CD">
        <w:rPr>
          <w:sz w:val="28"/>
          <w:szCs w:val="28"/>
          <w:lang w:val="en-US"/>
        </w:rPr>
        <w:t>ΔDCF</w:t>
      </w:r>
      <w:r w:rsidRPr="00C018CD">
        <w:rPr>
          <w:sz w:val="28"/>
          <w:szCs w:val="28"/>
          <w:lang w:val="ru-RU"/>
        </w:rPr>
        <w:t xml:space="preserve"> и </w:t>
      </w:r>
      <w:r w:rsidRPr="00C018CD">
        <w:rPr>
          <w:sz w:val="28"/>
          <w:szCs w:val="28"/>
          <w:lang w:val="en-US"/>
        </w:rPr>
        <w:t>ΔCSRP</w:t>
      </w:r>
      <w:r w:rsidRPr="00C018CD">
        <w:rPr>
          <w:sz w:val="28"/>
          <w:szCs w:val="28"/>
          <w:lang w:val="ru-RU"/>
        </w:rPr>
        <w:t xml:space="preserve">), позволяющее диагностировать случаи, при которых рост расчётной стоимости компании сопровождается </w:t>
      </w:r>
      <w:r w:rsidRPr="00350DCE">
        <w:rPr>
          <w:sz w:val="28"/>
          <w:szCs w:val="28"/>
          <w:highlight w:val="cyan"/>
          <w:lang w:val="ru-RU"/>
        </w:rPr>
        <w:t xml:space="preserve">деградацией её структурной готовности к привлечению </w:t>
      </w:r>
      <w:commentRangeStart w:id="3"/>
      <w:r w:rsidRPr="00350DCE">
        <w:rPr>
          <w:sz w:val="28"/>
          <w:szCs w:val="28"/>
          <w:highlight w:val="cyan"/>
          <w:lang w:val="ru-RU"/>
        </w:rPr>
        <w:t>капитала</w:t>
      </w:r>
      <w:commentRangeEnd w:id="3"/>
      <w:r w:rsidR="00350DCE">
        <w:rPr>
          <w:rStyle w:val="af2"/>
        </w:rPr>
        <w:commentReference w:id="3"/>
      </w:r>
      <w:r w:rsidRPr="00350DCE">
        <w:rPr>
          <w:sz w:val="28"/>
          <w:szCs w:val="28"/>
          <w:highlight w:val="cyan"/>
          <w:lang w:val="ru-RU"/>
        </w:rPr>
        <w:t>;</w:t>
      </w:r>
    </w:p>
    <w:p w14:paraId="4F61093D" w14:textId="77777777"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 xml:space="preserve">— </w:t>
      </w:r>
      <w:r w:rsidRPr="00350DCE">
        <w:rPr>
          <w:sz w:val="28"/>
          <w:szCs w:val="28"/>
          <w:highlight w:val="cyan"/>
          <w:lang w:val="en-US"/>
        </w:rPr>
        <w:t>Company</w:t>
      </w:r>
      <w:r w:rsidRPr="00350DCE">
        <w:rPr>
          <w:sz w:val="28"/>
          <w:szCs w:val="28"/>
          <w:highlight w:val="cyan"/>
          <w:lang w:val="ru-RU"/>
        </w:rPr>
        <w:t>-</w:t>
      </w:r>
      <w:r w:rsidRPr="00350DCE">
        <w:rPr>
          <w:sz w:val="28"/>
          <w:szCs w:val="28"/>
          <w:highlight w:val="cyan"/>
          <w:lang w:val="en-US"/>
        </w:rPr>
        <w:t>specific</w:t>
      </w:r>
      <w:r w:rsidRPr="00350DCE">
        <w:rPr>
          <w:sz w:val="28"/>
          <w:szCs w:val="28"/>
          <w:highlight w:val="cyan"/>
          <w:lang w:val="ru-RU"/>
        </w:rPr>
        <w:t xml:space="preserve"> </w:t>
      </w:r>
      <w:r w:rsidRPr="00350DCE">
        <w:rPr>
          <w:sz w:val="28"/>
          <w:szCs w:val="28"/>
          <w:highlight w:val="cyan"/>
          <w:lang w:val="en-US"/>
        </w:rPr>
        <w:t>premium</w:t>
      </w:r>
      <w:r w:rsidRPr="00C018CD">
        <w:rPr>
          <w:sz w:val="28"/>
          <w:szCs w:val="28"/>
          <w:lang w:val="ru-RU"/>
        </w:rPr>
        <w:t xml:space="preserve"> предложено определять не экспертным присвоением значения, а формализованной моделью, веса факторов которой получены методом </w:t>
      </w:r>
      <w:r w:rsidRPr="00350DCE">
        <w:rPr>
          <w:sz w:val="28"/>
          <w:szCs w:val="28"/>
          <w:highlight w:val="cyan"/>
          <w:lang w:val="ru-RU"/>
        </w:rPr>
        <w:t>анализа иерархий Саати</w:t>
      </w:r>
      <w:r w:rsidRPr="00C018CD">
        <w:rPr>
          <w:sz w:val="28"/>
          <w:szCs w:val="28"/>
          <w:lang w:val="ru-RU"/>
        </w:rPr>
        <w:t xml:space="preserve"> с проверкой согласованности экспертных суждений, применительно к компании на любом из этапов привлечения капитала, а не только на этапе непосредственной подготовки к </w:t>
      </w:r>
      <w:r w:rsidRPr="00C018CD">
        <w:rPr>
          <w:sz w:val="28"/>
          <w:szCs w:val="28"/>
          <w:lang w:val="en-US"/>
        </w:rPr>
        <w:t>IPO</w:t>
      </w:r>
      <w:r w:rsidRPr="00C018CD">
        <w:rPr>
          <w:sz w:val="28"/>
          <w:szCs w:val="28"/>
          <w:lang w:val="ru-RU"/>
        </w:rPr>
        <w:t>;</w:t>
      </w:r>
    </w:p>
    <w:p w14:paraId="58AC543B" w14:textId="046D1FB4"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 xml:space="preserve">— Предложен гибридный алгоритм реконструкции ставки дисконтирования для компании без рыночных котировок, сочетающий </w:t>
      </w:r>
      <w:r w:rsidRPr="00C018CD">
        <w:rPr>
          <w:sz w:val="28"/>
          <w:szCs w:val="28"/>
          <w:lang w:val="en-US"/>
        </w:rPr>
        <w:t>CAPM</w:t>
      </w:r>
      <w:r w:rsidRPr="00C018CD">
        <w:rPr>
          <w:sz w:val="28"/>
          <w:szCs w:val="28"/>
          <w:lang w:val="ru-RU"/>
        </w:rPr>
        <w:t xml:space="preserve"> с синтетической бетой (метод Хамады</w:t>
      </w:r>
      <w:r w:rsidR="00E563E1">
        <w:rPr>
          <w:sz w:val="28"/>
          <w:szCs w:val="28"/>
          <w:lang w:val="ru-RU"/>
        </w:rPr>
        <w:t>/Харрис-Прингл</w:t>
      </w:r>
      <w:r w:rsidRPr="00C018CD">
        <w:rPr>
          <w:sz w:val="28"/>
          <w:szCs w:val="28"/>
          <w:lang w:val="ru-RU"/>
        </w:rPr>
        <w:t xml:space="preserve">) для систематического риска и формализованную (не экспертную) </w:t>
      </w:r>
      <w:r w:rsidRPr="00C018CD">
        <w:rPr>
          <w:sz w:val="28"/>
          <w:szCs w:val="28"/>
          <w:lang w:val="en-US"/>
        </w:rPr>
        <w:t>build</w:t>
      </w:r>
      <w:r w:rsidRPr="00C018CD">
        <w:rPr>
          <w:sz w:val="28"/>
          <w:szCs w:val="28"/>
          <w:lang w:val="ru-RU"/>
        </w:rPr>
        <w:t>-</w:t>
      </w:r>
      <w:r w:rsidRPr="00C018CD">
        <w:rPr>
          <w:sz w:val="28"/>
          <w:szCs w:val="28"/>
          <w:lang w:val="en-US"/>
        </w:rPr>
        <w:t>up</w:t>
      </w:r>
      <w:r w:rsidRPr="00C018CD">
        <w:rPr>
          <w:sz w:val="28"/>
          <w:szCs w:val="28"/>
          <w:lang w:val="ru-RU"/>
        </w:rPr>
        <w:t>-надбавку за специфический риск компании;</w:t>
      </w:r>
    </w:p>
    <w:p w14:paraId="66284AED" w14:textId="0FDDB780" w:rsid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lastRenderedPageBreak/>
        <w:t xml:space="preserve">— Обосновано понимание </w:t>
      </w:r>
      <w:r w:rsidRPr="00C018CD">
        <w:rPr>
          <w:sz w:val="28"/>
          <w:szCs w:val="28"/>
          <w:lang w:val="en-US"/>
        </w:rPr>
        <w:t>pre</w:t>
      </w:r>
      <w:r w:rsidRPr="00C018CD">
        <w:rPr>
          <w:sz w:val="28"/>
          <w:szCs w:val="28"/>
          <w:lang w:val="ru-RU"/>
        </w:rPr>
        <w:t>-</w:t>
      </w:r>
      <w:r w:rsidRPr="00C018CD">
        <w:rPr>
          <w:sz w:val="28"/>
          <w:szCs w:val="28"/>
          <w:lang w:val="en-US"/>
        </w:rPr>
        <w:t>IPO</w:t>
      </w:r>
      <w:r w:rsidRPr="00C018CD">
        <w:rPr>
          <w:sz w:val="28"/>
          <w:szCs w:val="28"/>
          <w:lang w:val="ru-RU"/>
        </w:rPr>
        <w:t xml:space="preserve"> как метки горизонта листинга, присоединяемой к любому этапу привлечения капитала (венчурному или </w:t>
      </w:r>
      <w:r w:rsidRPr="00C018CD">
        <w:rPr>
          <w:sz w:val="28"/>
          <w:szCs w:val="28"/>
          <w:lang w:val="en-US"/>
        </w:rPr>
        <w:t>PE</w:t>
      </w:r>
      <w:r w:rsidRPr="00C018CD">
        <w:rPr>
          <w:sz w:val="28"/>
          <w:szCs w:val="28"/>
          <w:lang w:val="ru-RU"/>
        </w:rPr>
        <w:t xml:space="preserve">), а не как жёстко зафиксированного отдельного этапа, — в отличие от действующей практики, рассматривающей </w:t>
      </w:r>
      <w:r w:rsidRPr="00C018CD">
        <w:rPr>
          <w:sz w:val="28"/>
          <w:szCs w:val="28"/>
          <w:lang w:val="en-US"/>
        </w:rPr>
        <w:t>pre</w:t>
      </w:r>
      <w:r w:rsidRPr="00C018CD">
        <w:rPr>
          <w:sz w:val="28"/>
          <w:szCs w:val="28"/>
          <w:lang w:val="ru-RU"/>
        </w:rPr>
        <w:t>-</w:t>
      </w:r>
      <w:r w:rsidRPr="00C018CD">
        <w:rPr>
          <w:sz w:val="28"/>
          <w:szCs w:val="28"/>
          <w:lang w:val="en-US"/>
        </w:rPr>
        <w:t>IPO</w:t>
      </w:r>
      <w:r w:rsidRPr="00C018CD">
        <w:rPr>
          <w:sz w:val="28"/>
          <w:szCs w:val="28"/>
          <w:lang w:val="ru-RU"/>
        </w:rPr>
        <w:t xml:space="preserve"> как самостоятельную, строго определённую стадию.</w:t>
      </w:r>
    </w:p>
    <w:p w14:paraId="47D567C4" w14:textId="757FEF51" w:rsidR="000B2458" w:rsidRPr="000B2458" w:rsidRDefault="000B2458" w:rsidP="000B2458">
      <w:pPr>
        <w:pStyle w:val="a9"/>
        <w:numPr>
          <w:ilvl w:val="0"/>
          <w:numId w:val="4"/>
        </w:numPr>
        <w:pBdr>
          <w:top w:val="nil"/>
          <w:left w:val="nil"/>
          <w:bottom w:val="nil"/>
          <w:right w:val="nil"/>
          <w:between w:val="nil"/>
        </w:pBdr>
        <w:spacing w:line="360" w:lineRule="auto"/>
        <w:ind w:right="139"/>
        <w:jc w:val="both"/>
        <w:rPr>
          <w:sz w:val="28"/>
          <w:szCs w:val="28"/>
          <w:highlight w:val="cyan"/>
          <w:lang w:val="en-US"/>
        </w:rPr>
      </w:pPr>
      <w:r w:rsidRPr="000B2458">
        <w:rPr>
          <w:sz w:val="28"/>
          <w:szCs w:val="28"/>
          <w:highlight w:val="cyan"/>
          <w:lang w:val="ru-RU"/>
        </w:rPr>
        <w:t xml:space="preserve">Методика как результат </w:t>
      </w:r>
    </w:p>
    <w:p w14:paraId="32CF4ABA" w14:textId="77777777" w:rsidR="00C018CD" w:rsidRPr="00C018CD" w:rsidRDefault="00C018CD" w:rsidP="00C018CD">
      <w:pPr>
        <w:pBdr>
          <w:top w:val="nil"/>
          <w:left w:val="nil"/>
          <w:bottom w:val="nil"/>
          <w:right w:val="nil"/>
          <w:between w:val="nil"/>
        </w:pBdr>
        <w:spacing w:line="360" w:lineRule="auto"/>
        <w:ind w:left="140" w:right="139" w:firstLine="708"/>
        <w:jc w:val="both"/>
        <w:rPr>
          <w:sz w:val="28"/>
          <w:szCs w:val="28"/>
          <w:lang w:val="ru-RU"/>
        </w:rPr>
      </w:pPr>
      <w:r w:rsidRPr="00C018CD">
        <w:rPr>
          <w:sz w:val="28"/>
          <w:szCs w:val="28"/>
          <w:lang w:val="ru-RU"/>
        </w:rPr>
        <w:t>Методика апробирована на контрастной эмпирической выборке реальных кейсов российских компаний, привлекавших капитал на различных этапах в 2023–2026 гг., что позволило содержательно связать результаты исследования с задачей повышения качества (а не только объёма) реализации Указа Президента РФ №309, а также с задачами Стратегии развития финансового рынка Российской Федерации до 2030 года в части развития венчурного финансирования и рынка капитала как единой, взаимосвязанной цепочки привлечения институционального капитала, а не двух независимых сегментов.</w:t>
      </w:r>
    </w:p>
    <w:p w14:paraId="1C1F26A9" w14:textId="77777777" w:rsidR="00A63D1B" w:rsidRPr="00BD4F9E" w:rsidRDefault="00A63D1B">
      <w:pPr>
        <w:pBdr>
          <w:top w:val="nil"/>
          <w:left w:val="nil"/>
          <w:bottom w:val="nil"/>
          <w:right w:val="nil"/>
          <w:between w:val="nil"/>
        </w:pBdr>
        <w:spacing w:line="360" w:lineRule="auto"/>
        <w:ind w:left="140" w:right="139" w:firstLine="708"/>
        <w:jc w:val="both"/>
        <w:rPr>
          <w:color w:val="808080" w:themeColor="background1" w:themeShade="80"/>
          <w:sz w:val="28"/>
          <w:szCs w:val="28"/>
        </w:rPr>
      </w:pPr>
    </w:p>
    <w:p w14:paraId="1C1F26AA" w14:textId="77777777" w:rsidR="00A63D1B" w:rsidRPr="0039174C" w:rsidRDefault="0018149E">
      <w:pPr>
        <w:pStyle w:val="1"/>
        <w:spacing w:before="73" w:line="360" w:lineRule="auto"/>
        <w:ind w:right="146" w:firstLine="708"/>
        <w:jc w:val="both"/>
        <w:rPr>
          <w:b w:val="0"/>
          <w:bCs w:val="0"/>
          <w:lang w:val="ru-RU"/>
        </w:rPr>
      </w:pPr>
      <w:r w:rsidRPr="0039174C">
        <w:t>Теоретическая и практическая значимость результатов диссертационного исследования</w:t>
      </w:r>
      <w:r w:rsidRPr="0039174C">
        <w:rPr>
          <w:b w:val="0"/>
          <w:bCs w:val="0"/>
        </w:rPr>
        <w:t>.</w:t>
      </w:r>
    </w:p>
    <w:p w14:paraId="4C20F78E" w14:textId="77777777" w:rsidR="0039174C" w:rsidRPr="0039174C" w:rsidRDefault="0039174C" w:rsidP="0039174C">
      <w:pPr>
        <w:rPr>
          <w:lang w:val="ru-RU"/>
        </w:rPr>
      </w:pPr>
    </w:p>
    <w:p w14:paraId="4B267A4C" w14:textId="77777777" w:rsidR="0039174C" w:rsidRPr="0039174C" w:rsidRDefault="0039174C" w:rsidP="0039174C">
      <w:pPr>
        <w:pBdr>
          <w:top w:val="nil"/>
          <w:left w:val="nil"/>
          <w:bottom w:val="nil"/>
          <w:right w:val="nil"/>
          <w:between w:val="nil"/>
        </w:pBdr>
        <w:spacing w:before="2" w:line="360" w:lineRule="auto"/>
        <w:ind w:left="140" w:right="145" w:firstLine="708"/>
        <w:jc w:val="both"/>
        <w:rPr>
          <w:sz w:val="28"/>
          <w:szCs w:val="28"/>
        </w:rPr>
      </w:pPr>
      <w:r w:rsidRPr="0039174C">
        <w:rPr>
          <w:sz w:val="28"/>
          <w:szCs w:val="28"/>
        </w:rPr>
        <w:t xml:space="preserve">Теоретическая значимость исследования состоит в развитии методологии диагностики инвестиционной готовности компании применительно ко всей последовательности этапов привлечения институционального капитала — от венчурного финансирования и фондов прямых инвестиций до pre-IPO и первичного публичного размещения — как единому объекту исследования, не сводимому ни к классическому стоимостно-ориентированному управлению, ни к механике ценообразования отдельной сделки. Предложенная каскадная архитектура, применяющая единую процедуру DCF+CSRP+DLOM последовательно на нескольких контрольных точках пути компании, дополняет существующую методологию оценки непубличных компаний (build-up модель С. Пратта) формализованной процедурой определения весов факторов риска методом анализа иерархий Саати. Разделение динамики стоимости и структурной готовности </w:t>
      </w:r>
      <w:r w:rsidRPr="0039174C">
        <w:rPr>
          <w:sz w:val="28"/>
          <w:szCs w:val="28"/>
        </w:rPr>
        <w:lastRenderedPageBreak/>
        <w:t>компании на одних и тех же контрольных точках развивает теорию информационной асимметрии и агентских издержек применительно к задаче диагностики, а обоснование pre-IPO как присоединяемой метки горизонта листинга, а не жёстко зафиксированного этапа, уточняет существующие представления о структуре пути компании к публичности.</w:t>
      </w:r>
    </w:p>
    <w:p w14:paraId="1E2E802A" w14:textId="77777777" w:rsidR="0039174C" w:rsidRPr="0039174C" w:rsidRDefault="0039174C" w:rsidP="0039174C">
      <w:pPr>
        <w:pBdr>
          <w:top w:val="nil"/>
          <w:left w:val="nil"/>
          <w:bottom w:val="nil"/>
          <w:right w:val="nil"/>
          <w:between w:val="nil"/>
        </w:pBdr>
        <w:spacing w:before="2" w:line="360" w:lineRule="auto"/>
        <w:ind w:left="140" w:right="145" w:firstLine="708"/>
        <w:jc w:val="both"/>
        <w:rPr>
          <w:sz w:val="28"/>
          <w:szCs w:val="28"/>
        </w:rPr>
      </w:pPr>
      <w:r w:rsidRPr="0039174C">
        <w:rPr>
          <w:sz w:val="28"/>
          <w:szCs w:val="28"/>
        </w:rPr>
        <w:t>Практическая значимость исследования заключается в возможности использования разработанной методики финансовыми службами и консультантами компаний на любом этапе привлечения капитала — от венчурного раунда до подготовки к листингу — для объективной самодиагностики риска переоценки и целенаправленной работы над устранением конкретных факторов неготовности. Методика применима институциональными инвесторами (венчурными фондами, фондами прямых инвестиций) при отборе портфельных компаний и оценке прогресса их подготовки к следующему раунду, а также инвестиционными банками-организаторами размещений — при формировании ценового диапазона. Результаты исследования могут быть использованы Банком России и Министерством финансов Российской Федерации в качестве индикатора качества (наряду с объёмными показателями) реализации Указа Президента РФ №309 и Стратегии развития финансового рынка Российской Федерации до 2030 года в части развития венчурного финансирования и рынка капитала как единой цепочки.</w:t>
      </w:r>
    </w:p>
    <w:p w14:paraId="13E8AB88" w14:textId="6C78EC39" w:rsidR="006605AA" w:rsidRPr="0039174C" w:rsidRDefault="00AF70B1" w:rsidP="0039174C">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Показательно, что с</w:t>
      </w:r>
      <w:r w:rsidR="0039174C" w:rsidRPr="0039174C">
        <w:rPr>
          <w:sz w:val="28"/>
          <w:szCs w:val="28"/>
        </w:rPr>
        <w:t xml:space="preserve"> запуском Московской биржей платформы MOEX Start для внебиржевого размещения акций непубличных компаний по закрытой подписке (первые сделки — 2024–2025 гг.: SR Space, Экзалтер, Цифровые привычки) оценка стоимости стала обязательным условием привлечения финансирования уже на раннем этапе: требования платформы к эмитенту включают наличие оценки от аккредитованного оценщика и инвестиционного кейса с планами последующего IPO</w:t>
      </w:r>
      <w:r>
        <w:rPr>
          <w:rStyle w:val="a7"/>
          <w:sz w:val="28"/>
          <w:szCs w:val="28"/>
        </w:rPr>
        <w:footnoteReference w:id="102"/>
      </w:r>
      <w:r w:rsidR="0039174C" w:rsidRPr="0039174C">
        <w:rPr>
          <w:sz w:val="28"/>
          <w:szCs w:val="28"/>
        </w:rPr>
        <w:t xml:space="preserve">. Каскадная логика методики позволяет применять единую процедуру на любом числе контрольных точек траектории компании — не только при непосредственной подготовке листинга, но и на </w:t>
      </w:r>
      <w:r w:rsidR="0039174C" w:rsidRPr="0039174C">
        <w:rPr>
          <w:sz w:val="28"/>
          <w:szCs w:val="28"/>
        </w:rPr>
        <w:lastRenderedPageBreak/>
        <w:t>предшествующих венчурных и PE-раундах, — где каждое повторное измерение с использованием единой процедуры отражает изменение дисконта по мере устранения или накопления факторов риска. Сопоставление оценок в последовательных точках даёт компании, инвестору и организаторам измеримый показатель прогресса подготовки к публичности на любом этапе пути, а не только непосредственно перед размещением.</w:t>
      </w:r>
    </w:p>
    <w:p w14:paraId="2B73A7C1" w14:textId="77777777" w:rsidR="006605AA" w:rsidRPr="00BD4F9E" w:rsidRDefault="006605AA" w:rsidP="006605AA">
      <w:pPr>
        <w:pBdr>
          <w:top w:val="nil"/>
          <w:left w:val="nil"/>
          <w:bottom w:val="nil"/>
          <w:right w:val="nil"/>
          <w:between w:val="nil"/>
        </w:pBdr>
        <w:spacing w:before="2" w:line="360" w:lineRule="auto"/>
        <w:ind w:left="140" w:right="145" w:firstLine="708"/>
        <w:jc w:val="both"/>
        <w:rPr>
          <w:color w:val="808080" w:themeColor="background1" w:themeShade="80"/>
          <w:sz w:val="28"/>
          <w:szCs w:val="28"/>
          <w:lang w:val="ru-RU"/>
        </w:rPr>
      </w:pPr>
    </w:p>
    <w:p w14:paraId="1C1F26AE" w14:textId="441C7CB3" w:rsidR="00A63D1B" w:rsidRPr="00BD4F9E" w:rsidRDefault="0018149E" w:rsidP="006605AA">
      <w:pPr>
        <w:pStyle w:val="1"/>
        <w:spacing w:before="73" w:line="360" w:lineRule="auto"/>
        <w:ind w:right="146" w:firstLine="708"/>
        <w:jc w:val="both"/>
        <w:rPr>
          <w:color w:val="808080" w:themeColor="background1" w:themeShade="80"/>
        </w:rPr>
      </w:pPr>
      <w:r w:rsidRPr="00BD4F9E">
        <w:rPr>
          <w:color w:val="808080" w:themeColor="background1" w:themeShade="80"/>
        </w:rPr>
        <w:t>Апробация результатов исследования.</w:t>
      </w:r>
    </w:p>
    <w:p w14:paraId="367A5819" w14:textId="67560EA5" w:rsidR="00AF70B1" w:rsidRPr="00AF70B1" w:rsidRDefault="00AF70B1" w:rsidP="00AF70B1">
      <w:pPr>
        <w:pBdr>
          <w:top w:val="nil"/>
          <w:left w:val="nil"/>
          <w:bottom w:val="nil"/>
          <w:right w:val="nil"/>
          <w:between w:val="nil"/>
        </w:pBdr>
        <w:spacing w:before="2" w:line="360" w:lineRule="auto"/>
        <w:ind w:left="140" w:right="145" w:firstLine="708"/>
        <w:jc w:val="both"/>
        <w:rPr>
          <w:sz w:val="28"/>
          <w:szCs w:val="28"/>
          <w:lang w:val="ru-RU"/>
        </w:rPr>
      </w:pPr>
      <w:r w:rsidRPr="00D069F3">
        <w:rPr>
          <w:sz w:val="28"/>
          <w:szCs w:val="28"/>
          <w:highlight w:val="cyan"/>
          <w:lang w:val="ru-RU"/>
        </w:rPr>
        <w:t xml:space="preserve">Апробация методики предполагается на контрастной эмпирической выборке российских </w:t>
      </w:r>
      <w:r w:rsidRPr="00D069F3">
        <w:rPr>
          <w:color w:val="EE0000"/>
          <w:sz w:val="28"/>
          <w:szCs w:val="28"/>
          <w:highlight w:val="cyan"/>
          <w:lang w:val="ru-RU"/>
        </w:rPr>
        <w:t>(и армянских?)</w:t>
      </w:r>
      <w:r w:rsidRPr="00AF70B1">
        <w:rPr>
          <w:sz w:val="28"/>
          <w:szCs w:val="28"/>
          <w:lang w:val="ru-RU"/>
        </w:rPr>
        <w:t xml:space="preserve"> компаний несырьевого сектора, привлекавших капитал на различных этапах пути к публичности в 2023–2026 гг.: группа компаний с устойчивой положительной динамикой капитализации после размещения (Озон Фармацевтика, Промомед, Группа Аренадата, АПРИ) и группа компаний с материализовавшимся риском неготовности к публичности на этапе </w:t>
      </w:r>
      <w:r w:rsidRPr="00AF70B1">
        <w:rPr>
          <w:sz w:val="28"/>
          <w:szCs w:val="28"/>
          <w:lang w:val="en-US"/>
        </w:rPr>
        <w:t>pre</w:t>
      </w:r>
      <w:r w:rsidRPr="00AF70B1">
        <w:rPr>
          <w:sz w:val="28"/>
          <w:szCs w:val="28"/>
          <w:lang w:val="ru-RU"/>
        </w:rPr>
        <w:t>-</w:t>
      </w:r>
      <w:r w:rsidRPr="00AF70B1">
        <w:rPr>
          <w:sz w:val="28"/>
          <w:szCs w:val="28"/>
          <w:lang w:val="en-US"/>
        </w:rPr>
        <w:t>IPO</w:t>
      </w:r>
      <w:r w:rsidRPr="00AF70B1">
        <w:rPr>
          <w:sz w:val="28"/>
          <w:szCs w:val="28"/>
          <w:lang w:val="ru-RU"/>
        </w:rPr>
        <w:t>/</w:t>
      </w:r>
      <w:r w:rsidRPr="00AF70B1">
        <w:rPr>
          <w:sz w:val="28"/>
          <w:szCs w:val="28"/>
          <w:lang w:val="en-US"/>
        </w:rPr>
        <w:t>IPO</w:t>
      </w:r>
      <w:r w:rsidRPr="00AF70B1">
        <w:rPr>
          <w:sz w:val="28"/>
          <w:szCs w:val="28"/>
          <w:lang w:val="ru-RU"/>
        </w:rPr>
        <w:t xml:space="preserve"> (ПАО «ЮГК» — национализация активов вследствие непрозрачной структуры владения; </w:t>
      </w:r>
      <w:r w:rsidRPr="00AF70B1">
        <w:rPr>
          <w:sz w:val="28"/>
          <w:szCs w:val="28"/>
          <w:lang w:val="en-US"/>
        </w:rPr>
        <w:t>IVA</w:t>
      </w:r>
      <w:r w:rsidRPr="00AF70B1">
        <w:rPr>
          <w:sz w:val="28"/>
          <w:szCs w:val="28"/>
          <w:lang w:val="ru-RU"/>
        </w:rPr>
        <w:t xml:space="preserve"> </w:t>
      </w:r>
      <w:r w:rsidRPr="00AF70B1">
        <w:rPr>
          <w:sz w:val="28"/>
          <w:szCs w:val="28"/>
          <w:lang w:val="en-US"/>
        </w:rPr>
        <w:t>Technologies</w:t>
      </w:r>
      <w:r w:rsidRPr="00AF70B1">
        <w:rPr>
          <w:sz w:val="28"/>
          <w:szCs w:val="28"/>
          <w:lang w:val="ru-RU"/>
        </w:rPr>
        <w:t xml:space="preserve"> — структурный риск низкой ликвидности при </w:t>
      </w:r>
      <w:r w:rsidRPr="00AF70B1">
        <w:rPr>
          <w:sz w:val="28"/>
          <w:szCs w:val="28"/>
          <w:lang w:val="en-US"/>
        </w:rPr>
        <w:t>free</w:t>
      </w:r>
      <w:r w:rsidRPr="00AF70B1">
        <w:rPr>
          <w:sz w:val="28"/>
          <w:szCs w:val="28"/>
          <w:lang w:val="ru-RU"/>
        </w:rPr>
        <w:t>-</w:t>
      </w:r>
      <w:r w:rsidRPr="00AF70B1">
        <w:rPr>
          <w:sz w:val="28"/>
          <w:szCs w:val="28"/>
          <w:lang w:val="en-US"/>
        </w:rPr>
        <w:t>float</w:t>
      </w:r>
      <w:r w:rsidRPr="00AF70B1">
        <w:rPr>
          <w:sz w:val="28"/>
          <w:szCs w:val="28"/>
          <w:lang w:val="ru-RU"/>
        </w:rPr>
        <w:t xml:space="preserve"> 11% на старте торгов; Делимобиль — слабый финансовый менеджмент, высокая долговая нагрузка и убытки; Диасофт — несоответствие финансовых прогнозов реальности; </w:t>
      </w:r>
      <w:r w:rsidRPr="00AF70B1">
        <w:rPr>
          <w:sz w:val="28"/>
          <w:szCs w:val="28"/>
          <w:lang w:val="en-US"/>
        </w:rPr>
        <w:t>Whoosh</w:t>
      </w:r>
      <w:r w:rsidRPr="00AF70B1">
        <w:rPr>
          <w:sz w:val="28"/>
          <w:szCs w:val="28"/>
          <w:lang w:val="ru-RU"/>
        </w:rPr>
        <w:t xml:space="preserve"> — сочетание неподтверждённого качества финансового планирования и структуры признания выручки, вызвавшей впоследствии вопросы к соответствию налоговому режиму резидента «Сколково»). Дополнительно методика иллюстрируется на кейсах более ранних этапов привлечения капитала — срыв институциональной сделки и неудачная самостоятельная подготовка к </w:t>
      </w:r>
      <w:r w:rsidRPr="00AF70B1">
        <w:rPr>
          <w:sz w:val="28"/>
          <w:szCs w:val="28"/>
          <w:lang w:val="en-US"/>
        </w:rPr>
        <w:t>IPO</w:t>
      </w:r>
      <w:r w:rsidRPr="00AF70B1">
        <w:rPr>
          <w:sz w:val="28"/>
          <w:szCs w:val="28"/>
          <w:lang w:val="ru-RU"/>
        </w:rPr>
        <w:t xml:space="preserve"> (Штрих, Ареги), а также расхождение между объёмом привлечённого венчурного финансирования и итоговой структурной неготовностью компании (</w:t>
      </w:r>
      <w:r w:rsidRPr="00AF70B1">
        <w:rPr>
          <w:sz w:val="28"/>
          <w:szCs w:val="28"/>
          <w:lang w:val="en-US"/>
        </w:rPr>
        <w:t>KupiVIP</w:t>
      </w:r>
      <w:r w:rsidRPr="00AF70B1">
        <w:rPr>
          <w:sz w:val="28"/>
          <w:szCs w:val="28"/>
          <w:lang w:val="ru-RU"/>
        </w:rPr>
        <w:t xml:space="preserve">) — используемых как содержательная иллюстрация каскадной логики методики за пределами основной эмпирической выборки </w:t>
      </w:r>
      <w:r w:rsidRPr="00AF70B1">
        <w:rPr>
          <w:sz w:val="28"/>
          <w:szCs w:val="28"/>
          <w:lang w:val="en-US"/>
        </w:rPr>
        <w:t>IPO</w:t>
      </w:r>
      <w:r w:rsidRPr="00AF70B1">
        <w:rPr>
          <w:sz w:val="28"/>
          <w:szCs w:val="28"/>
          <w:lang w:val="ru-RU"/>
        </w:rPr>
        <w:t>-кейсов.</w:t>
      </w:r>
    </w:p>
    <w:p w14:paraId="0E9297E5" w14:textId="77777777" w:rsidR="00AF70B1" w:rsidRPr="00AF70B1" w:rsidRDefault="00AF70B1" w:rsidP="00AF70B1">
      <w:pPr>
        <w:pBdr>
          <w:top w:val="nil"/>
          <w:left w:val="nil"/>
          <w:bottom w:val="nil"/>
          <w:right w:val="nil"/>
          <w:between w:val="nil"/>
        </w:pBdr>
        <w:spacing w:before="2" w:line="360" w:lineRule="auto"/>
        <w:ind w:left="140" w:right="145" w:firstLine="708"/>
        <w:jc w:val="both"/>
        <w:rPr>
          <w:sz w:val="28"/>
          <w:szCs w:val="28"/>
          <w:lang w:val="ru-RU"/>
        </w:rPr>
      </w:pPr>
      <w:r w:rsidRPr="00AF70B1">
        <w:rPr>
          <w:sz w:val="28"/>
          <w:szCs w:val="28"/>
          <w:lang w:val="ru-RU"/>
        </w:rPr>
        <w:t xml:space="preserve">Основные положения и результаты диссертационного исследования планируется представить на научно-практических конференциях, а также </w:t>
      </w:r>
      <w:r w:rsidRPr="00AF70B1">
        <w:rPr>
          <w:sz w:val="28"/>
          <w:szCs w:val="28"/>
          <w:lang w:val="ru-RU"/>
        </w:rPr>
        <w:lastRenderedPageBreak/>
        <w:t>опубликовать в рецензируемых научных изданиях, рекомендованных ВАК Российской Федерации.</w:t>
      </w:r>
    </w:p>
    <w:p w14:paraId="1C1F26B1" w14:textId="780169FA" w:rsidR="00A63D1B" w:rsidRPr="00BD4F9E" w:rsidRDefault="0018149E">
      <w:pPr>
        <w:pBdr>
          <w:top w:val="nil"/>
          <w:left w:val="nil"/>
          <w:bottom w:val="nil"/>
          <w:right w:val="nil"/>
          <w:between w:val="nil"/>
        </w:pBdr>
        <w:spacing w:before="2" w:line="360" w:lineRule="auto"/>
        <w:ind w:left="140" w:right="145" w:firstLine="708"/>
        <w:jc w:val="both"/>
        <w:rPr>
          <w:color w:val="808080" w:themeColor="background1" w:themeShade="80"/>
          <w:sz w:val="28"/>
          <w:szCs w:val="28"/>
        </w:rPr>
        <w:sectPr w:rsidR="00A63D1B" w:rsidRPr="00BD4F9E">
          <w:footerReference w:type="default" r:id="rId11"/>
          <w:pgSz w:w="11910" w:h="16840"/>
          <w:pgMar w:top="1240" w:right="708" w:bottom="1240" w:left="992" w:header="0" w:footer="1051" w:gutter="0"/>
          <w:cols w:space="720"/>
        </w:sectPr>
      </w:pPr>
      <w:r w:rsidRPr="00BD4F9E">
        <w:rPr>
          <w:color w:val="808080" w:themeColor="background1" w:themeShade="80"/>
          <w:sz w:val="28"/>
          <w:szCs w:val="28"/>
        </w:rPr>
        <w:t xml:space="preserve"> </w:t>
      </w:r>
    </w:p>
    <w:p w14:paraId="1C1F26B2" w14:textId="77777777" w:rsidR="00A63D1B" w:rsidRPr="004637FB" w:rsidRDefault="0018149E">
      <w:pPr>
        <w:pStyle w:val="1"/>
        <w:tabs>
          <w:tab w:val="left" w:pos="3712"/>
          <w:tab w:val="left" w:pos="7626"/>
        </w:tabs>
        <w:spacing w:line="360" w:lineRule="auto"/>
        <w:ind w:right="141" w:firstLine="708"/>
        <w:jc w:val="both"/>
      </w:pPr>
      <w:r w:rsidRPr="004637FB">
        <w:lastRenderedPageBreak/>
        <w:t>СТРУКТУРА ДИССЕРТАЦИОННОГО ИССЛЕДОВАНИЯ</w:t>
      </w:r>
    </w:p>
    <w:p w14:paraId="1C1F26B3" w14:textId="77777777" w:rsidR="00A63D1B" w:rsidRPr="004637FB" w:rsidRDefault="00A63D1B">
      <w:pPr>
        <w:pBdr>
          <w:top w:val="nil"/>
          <w:left w:val="nil"/>
          <w:bottom w:val="nil"/>
          <w:right w:val="nil"/>
          <w:between w:val="nil"/>
        </w:pBdr>
        <w:rPr>
          <w:b/>
          <w:bCs/>
          <w:sz w:val="28"/>
          <w:szCs w:val="28"/>
        </w:rPr>
      </w:pPr>
    </w:p>
    <w:p w14:paraId="1C1F26B4" w14:textId="77777777" w:rsidR="00A63D1B" w:rsidRPr="004637FB" w:rsidRDefault="00A63D1B">
      <w:pPr>
        <w:pBdr>
          <w:top w:val="nil"/>
          <w:left w:val="nil"/>
          <w:bottom w:val="nil"/>
          <w:right w:val="nil"/>
          <w:between w:val="nil"/>
        </w:pBdr>
        <w:rPr>
          <w:b/>
          <w:bCs/>
          <w:sz w:val="28"/>
          <w:szCs w:val="28"/>
        </w:rPr>
      </w:pPr>
    </w:p>
    <w:p w14:paraId="1C1F26B5" w14:textId="77777777" w:rsidR="00A63D1B" w:rsidRPr="004637FB" w:rsidRDefault="0018149E">
      <w:pPr>
        <w:pStyle w:val="1"/>
        <w:tabs>
          <w:tab w:val="left" w:pos="3712"/>
          <w:tab w:val="left" w:pos="7626"/>
        </w:tabs>
        <w:spacing w:line="360" w:lineRule="auto"/>
        <w:ind w:right="141" w:firstLine="708"/>
        <w:jc w:val="both"/>
      </w:pPr>
      <w:r w:rsidRPr="004637FB">
        <w:t>Введение</w:t>
      </w:r>
    </w:p>
    <w:p w14:paraId="1C1F26B6" w14:textId="77777777" w:rsidR="00A63D1B" w:rsidRPr="00BD4F9E" w:rsidRDefault="00A63D1B">
      <w:pPr>
        <w:pBdr>
          <w:top w:val="nil"/>
          <w:left w:val="nil"/>
          <w:bottom w:val="nil"/>
          <w:right w:val="nil"/>
          <w:between w:val="nil"/>
        </w:pBdr>
        <w:rPr>
          <w:b/>
          <w:bCs/>
          <w:color w:val="808080" w:themeColor="background1" w:themeShade="80"/>
          <w:sz w:val="28"/>
          <w:szCs w:val="28"/>
        </w:rPr>
      </w:pPr>
    </w:p>
    <w:p w14:paraId="1C1F26B7" w14:textId="77777777" w:rsidR="00A63D1B" w:rsidRPr="00BD4F9E" w:rsidRDefault="00A63D1B">
      <w:pPr>
        <w:pBdr>
          <w:top w:val="nil"/>
          <w:left w:val="nil"/>
          <w:bottom w:val="nil"/>
          <w:right w:val="nil"/>
          <w:between w:val="nil"/>
        </w:pBdr>
        <w:spacing w:before="1"/>
        <w:rPr>
          <w:b/>
          <w:bCs/>
          <w:color w:val="808080" w:themeColor="background1" w:themeShade="80"/>
          <w:sz w:val="28"/>
          <w:szCs w:val="28"/>
        </w:rPr>
      </w:pPr>
    </w:p>
    <w:p w14:paraId="1C1F26B8" w14:textId="52B0A611" w:rsidR="00A63D1B" w:rsidRPr="004637FB" w:rsidRDefault="0018149E">
      <w:pPr>
        <w:pStyle w:val="1"/>
        <w:tabs>
          <w:tab w:val="left" w:pos="3712"/>
          <w:tab w:val="left" w:pos="7626"/>
        </w:tabs>
        <w:spacing w:line="360" w:lineRule="auto"/>
        <w:ind w:right="141" w:firstLine="708"/>
        <w:jc w:val="both"/>
      </w:pPr>
      <w:r w:rsidRPr="004637FB">
        <w:t xml:space="preserve">Глава 1. </w:t>
      </w:r>
      <w:r w:rsidR="004637FB" w:rsidRPr="004637FB">
        <w:t>ТЕОРЕТИКО-МЕТОДОЛОГИЧЕСКИЕ ОСНОВЫ ДИАГНОСТИКИ ИНВЕСТИЦИОННОЙ ГОТОВНОСТИ КОМПАНИИ НА ЭТАПАХ ПРИВЛЕЧЕНИЯ КАПИТАЛА</w:t>
      </w:r>
    </w:p>
    <w:p w14:paraId="354DF1E5" w14:textId="22EF519E" w:rsidR="00CE0A9C" w:rsidRPr="002177B0" w:rsidRDefault="00B53CC7" w:rsidP="00CE0A9C">
      <w:pPr>
        <w:numPr>
          <w:ilvl w:val="1"/>
          <w:numId w:val="3"/>
        </w:numPr>
        <w:pBdr>
          <w:top w:val="nil"/>
          <w:left w:val="nil"/>
          <w:bottom w:val="nil"/>
          <w:right w:val="nil"/>
          <w:between w:val="nil"/>
        </w:pBdr>
        <w:tabs>
          <w:tab w:val="left" w:pos="1381"/>
        </w:tabs>
        <w:spacing w:line="360" w:lineRule="auto"/>
        <w:ind w:right="148" w:firstLine="708"/>
        <w:jc w:val="both"/>
        <w:rPr>
          <w:i/>
          <w:iCs/>
          <w:color w:val="808080" w:themeColor="background1" w:themeShade="80"/>
          <w:sz w:val="24"/>
          <w:szCs w:val="24"/>
          <w:lang w:val="ru-RU"/>
        </w:rPr>
      </w:pPr>
      <w:r w:rsidRPr="00B53CC7">
        <w:rPr>
          <w:sz w:val="28"/>
          <w:szCs w:val="28"/>
        </w:rPr>
        <w:t>Стоимость компании как объект стратегического управления: эволюция концепций и проблема обоснованности оценочных допущений</w:t>
      </w:r>
      <w:r w:rsidR="0018149E" w:rsidRPr="004637FB">
        <w:rPr>
          <w:i/>
          <w:iCs/>
          <w:sz w:val="28"/>
          <w:szCs w:val="28"/>
        </w:rPr>
        <w:t xml:space="preserve"> </w:t>
      </w:r>
    </w:p>
    <w:p w14:paraId="2968A2D2" w14:textId="17949946" w:rsidR="002177B0" w:rsidRPr="00C2253D" w:rsidRDefault="002177B0" w:rsidP="002177B0">
      <w:pPr>
        <w:pBdr>
          <w:top w:val="nil"/>
          <w:left w:val="nil"/>
          <w:bottom w:val="nil"/>
          <w:right w:val="nil"/>
          <w:between w:val="nil"/>
        </w:pBdr>
        <w:spacing w:before="2" w:line="360" w:lineRule="auto"/>
        <w:ind w:left="140" w:right="145" w:firstLine="708"/>
        <w:jc w:val="both"/>
        <w:rPr>
          <w:sz w:val="28"/>
          <w:szCs w:val="28"/>
          <w:lang w:val="ru-RU"/>
        </w:rPr>
      </w:pPr>
      <w:r w:rsidRPr="002177B0">
        <w:rPr>
          <w:sz w:val="28"/>
          <w:szCs w:val="28"/>
          <w:lang w:val="ru-RU"/>
        </w:rPr>
        <w:t>Идея стоимости как генеральной цели управления компанией оформилась в англо-американской традиции корпоративных финансов на рубеже 1980–1990-х годов как реакция на господствовавший ранее бухгалтерский взгляд на успех бизнеса — через прибыль, рентабельность и темпы роста выручки. А. Раппапорт в основополагающей работе сформулировал тезис, ставший впоследствии почти аксиомой: единственная содержательная цель менеджмента — максимизация акционерной стоимости, а любые иные метрики являются в лучшем случае косвенными индикаторами, в худшем — источником управленческих искажений</w:t>
      </w:r>
      <w:r>
        <w:rPr>
          <w:rStyle w:val="a7"/>
          <w:sz w:val="28"/>
          <w:szCs w:val="28"/>
          <w:lang w:val="ru-RU"/>
        </w:rPr>
        <w:footnoteReference w:id="103"/>
      </w:r>
      <w:r w:rsidRPr="002177B0">
        <w:rPr>
          <w:sz w:val="28"/>
          <w:szCs w:val="28"/>
          <w:lang w:val="ru-RU"/>
        </w:rPr>
        <w:t>.</w:t>
      </w:r>
    </w:p>
    <w:p w14:paraId="66D16CC5" w14:textId="6ABFE7F7" w:rsidR="002177B0" w:rsidRPr="00C2253D" w:rsidRDefault="002177B0" w:rsidP="002177B0">
      <w:pPr>
        <w:pBdr>
          <w:top w:val="nil"/>
          <w:left w:val="nil"/>
          <w:bottom w:val="nil"/>
          <w:right w:val="nil"/>
          <w:between w:val="nil"/>
        </w:pBdr>
        <w:spacing w:before="2" w:line="360" w:lineRule="auto"/>
        <w:ind w:left="140" w:right="145" w:firstLine="708"/>
        <w:jc w:val="both"/>
        <w:rPr>
          <w:sz w:val="28"/>
          <w:szCs w:val="28"/>
          <w:lang w:val="ru-RU"/>
        </w:rPr>
      </w:pPr>
      <w:r w:rsidRPr="002177B0">
        <w:rPr>
          <w:sz w:val="28"/>
          <w:szCs w:val="28"/>
          <w:lang w:val="ru-RU"/>
        </w:rPr>
        <w:t>Предложенный им расчётный инструмент — метод добавленной акционерной стоимости (Shareholder Value Added, SVA) — раскладывает оценку компании на семь управляемых драйверов (темп роста продаж, операционная маржа, ставка налога, инвестиции в оборотный и основной капитал, WACC, период конкурентного преимущества) и определяет прирост стоимости как разницу между приведённой стоимостью прогнозных денежных потоков компании и величиной первоначально вложенного капитала.</w:t>
      </w:r>
    </w:p>
    <w:p w14:paraId="40BF1EB6" w14:textId="77777777" w:rsidR="005F2493" w:rsidRDefault="005F2493" w:rsidP="005F2493">
      <w:pPr>
        <w:pBdr>
          <w:top w:val="nil"/>
          <w:left w:val="nil"/>
          <w:bottom w:val="nil"/>
          <w:right w:val="nil"/>
          <w:between w:val="nil"/>
        </w:pBdr>
        <w:spacing w:before="2" w:line="360" w:lineRule="auto"/>
        <w:ind w:left="140" w:right="145" w:firstLine="708"/>
        <w:jc w:val="both"/>
        <w:rPr>
          <w:sz w:val="28"/>
          <w:szCs w:val="28"/>
          <w:lang w:val="ru-RU"/>
        </w:rPr>
      </w:pPr>
      <w:r w:rsidRPr="005F2493">
        <w:rPr>
          <w:sz w:val="28"/>
          <w:szCs w:val="28"/>
          <w:lang w:val="ru-RU"/>
        </w:rPr>
        <w:t xml:space="preserve">Здесь уместно занять критическую позицию, а не принимать тезис Раппапорта как данность. Его модель драйверов стоимости внутренне устроена так, что итоговая величина существенно зависит от периода конкурентного преимущества и производной от него терминальной (остаточной) стоимости — </w:t>
      </w:r>
      <w:r w:rsidRPr="005F2493">
        <w:rPr>
          <w:sz w:val="28"/>
          <w:szCs w:val="28"/>
          <w:lang w:val="ru-RU"/>
        </w:rPr>
        <w:lastRenderedPageBreak/>
        <w:t>компонента, чувствительность которой к небольшим изменениям в допущениях о темпе роста и длительности периода конкурентного преимущества признаётся в последующей литературе по оценке одним из системных недостатков модели. Модель, задуманная как инструмент дисциплины менеджмента здесь и сейчас, тем самым оказывается уязвима к одному из наименее верифицируемых допущений — о том, что будет с компанией через много лет вперёд. Точный количественный вклад терминальной стоимости в совокупную оценку варьируется от случая к случаю и требует эмпирической проверки на каждой из контрольных точек каскада этапов привлечения финансирования — от венчурного финансирования до IPO, — а не только применительно к одному, финальному этапу</w:t>
      </w:r>
      <w:r>
        <w:rPr>
          <w:sz w:val="28"/>
          <w:szCs w:val="28"/>
          <w:lang w:val="ru-RU"/>
        </w:rPr>
        <w:t>. Э</w:t>
      </w:r>
      <w:r w:rsidRPr="005F2493">
        <w:rPr>
          <w:sz w:val="28"/>
          <w:szCs w:val="28"/>
          <w:lang w:val="ru-RU"/>
        </w:rPr>
        <w:t>та задача решается в главе 3 настоящей работы через единый сценарный инструмент, применимый на любой точке пути компании к капиталу.</w:t>
      </w:r>
    </w:p>
    <w:p w14:paraId="43554F3D" w14:textId="4C01F0ED" w:rsidR="003046D5" w:rsidRDefault="005F2493" w:rsidP="005F2493">
      <w:pPr>
        <w:pBdr>
          <w:top w:val="nil"/>
          <w:left w:val="nil"/>
          <w:bottom w:val="nil"/>
          <w:right w:val="nil"/>
          <w:between w:val="nil"/>
        </w:pBdr>
        <w:spacing w:before="2" w:line="360" w:lineRule="auto"/>
        <w:ind w:left="140" w:right="145" w:firstLine="708"/>
        <w:jc w:val="both"/>
        <w:rPr>
          <w:sz w:val="28"/>
          <w:szCs w:val="28"/>
          <w:lang w:val="ru-RU"/>
        </w:rPr>
      </w:pPr>
      <w:r w:rsidRPr="005F2493">
        <w:rPr>
          <w:sz w:val="28"/>
          <w:szCs w:val="28"/>
          <w:lang w:val="ru-RU"/>
        </w:rPr>
        <w:t xml:space="preserve">Т. Коупленд, Т. Коллер и Дж. Муррин развили подход в более технологичном направлении, введя экономическую прибыль как метрику, увязывающую оценку с </w:t>
      </w:r>
      <w:r w:rsidRPr="005F2493">
        <w:rPr>
          <w:b/>
          <w:bCs/>
          <w:sz w:val="28"/>
          <w:szCs w:val="28"/>
          <w:lang w:val="ru-RU"/>
        </w:rPr>
        <w:t>ежепериодным</w:t>
      </w:r>
      <w:r w:rsidRPr="005F2493">
        <w:rPr>
          <w:sz w:val="28"/>
          <w:szCs w:val="28"/>
          <w:lang w:val="ru-RU"/>
        </w:rPr>
        <w:t xml:space="preserve"> контролем эффективности использования капитала: компания создаёт стоимость лишь тогда, когда рентабельность инвестированного капитала превышает средневзвешенную стоимость капитала</w:t>
      </w:r>
      <w:r>
        <w:rPr>
          <w:rStyle w:val="a7"/>
          <w:sz w:val="28"/>
          <w:szCs w:val="28"/>
          <w:lang w:val="ru-RU"/>
        </w:rPr>
        <w:footnoteReference w:id="104"/>
      </w:r>
      <w:r w:rsidRPr="005F2493">
        <w:rPr>
          <w:sz w:val="28"/>
          <w:szCs w:val="28"/>
          <w:lang w:val="ru-RU"/>
        </w:rPr>
        <w:t xml:space="preserve">. Однако оба классических подхода — и SVA Раппапорта, и экономическая прибыль Коупленда, Коллера и Муррина — предполагают, что </w:t>
      </w:r>
      <w:r w:rsidR="00F776D2">
        <w:rPr>
          <w:sz w:val="28"/>
          <w:szCs w:val="28"/>
          <w:lang w:val="ru-RU"/>
        </w:rPr>
        <w:t xml:space="preserve">ставка дисконтирования </w:t>
      </w:r>
      <w:r w:rsidR="00F776D2" w:rsidRPr="00F776D2">
        <w:rPr>
          <w:sz w:val="28"/>
          <w:szCs w:val="28"/>
          <w:lang w:val="ru-RU"/>
        </w:rPr>
        <w:t xml:space="preserve">(обычно </w:t>
      </w:r>
      <w:r w:rsidR="00F776D2" w:rsidRPr="00F776D2">
        <w:rPr>
          <w:sz w:val="28"/>
          <w:szCs w:val="28"/>
        </w:rPr>
        <w:t>средневзвешенн</w:t>
      </w:r>
      <w:r w:rsidR="00F776D2" w:rsidRPr="00F776D2">
        <w:rPr>
          <w:sz w:val="28"/>
          <w:szCs w:val="28"/>
          <w:lang w:val="ru-RU"/>
        </w:rPr>
        <w:t>ая</w:t>
      </w:r>
      <w:r w:rsidR="00F776D2" w:rsidRPr="00F776D2">
        <w:rPr>
          <w:sz w:val="28"/>
          <w:szCs w:val="28"/>
        </w:rPr>
        <w:t xml:space="preserve"> стоимость капитала</w:t>
      </w:r>
      <w:r w:rsidR="00F776D2" w:rsidRPr="00F776D2">
        <w:rPr>
          <w:sz w:val="28"/>
          <w:szCs w:val="28"/>
          <w:lang w:val="ru-RU"/>
        </w:rPr>
        <w:t xml:space="preserve">, или </w:t>
      </w:r>
      <w:r w:rsidRPr="00F776D2">
        <w:rPr>
          <w:sz w:val="28"/>
          <w:szCs w:val="28"/>
          <w:lang w:val="ru-RU"/>
        </w:rPr>
        <w:t>WACC</w:t>
      </w:r>
      <w:r w:rsidR="00F776D2" w:rsidRPr="00F776D2">
        <w:rPr>
          <w:sz w:val="28"/>
          <w:szCs w:val="28"/>
          <w:lang w:val="ru-RU"/>
        </w:rPr>
        <w:t>)</w:t>
      </w:r>
      <w:r w:rsidRPr="00F776D2">
        <w:rPr>
          <w:sz w:val="28"/>
          <w:szCs w:val="28"/>
          <w:lang w:val="ru-RU"/>
        </w:rPr>
        <w:t xml:space="preserve"> </w:t>
      </w:r>
      <w:r w:rsidRPr="005F2493">
        <w:rPr>
          <w:sz w:val="28"/>
          <w:szCs w:val="28"/>
          <w:lang w:val="ru-RU"/>
        </w:rPr>
        <w:t xml:space="preserve">поступает в модель как готовый, наблюдаемый на рынке параметр: у публичной компании он собирается из рыночной беты и рыночной структуры капитала. Для компании без рыночных котировок </w:t>
      </w:r>
      <w:r w:rsidR="00F776D2">
        <w:rPr>
          <w:sz w:val="28"/>
          <w:szCs w:val="28"/>
          <w:lang w:val="ru-RU"/>
        </w:rPr>
        <w:t>(а</w:t>
      </w:r>
      <w:r w:rsidRPr="005F2493">
        <w:rPr>
          <w:sz w:val="28"/>
          <w:szCs w:val="28"/>
          <w:lang w:val="ru-RU"/>
        </w:rPr>
        <w:t xml:space="preserve"> именно такой компания остаётся на всех этапах пути к капиталу вплоть до самого IPO</w:t>
      </w:r>
      <w:r w:rsidR="00F776D2">
        <w:rPr>
          <w:sz w:val="28"/>
          <w:szCs w:val="28"/>
          <w:lang w:val="ru-RU"/>
        </w:rPr>
        <w:t>)</w:t>
      </w:r>
      <w:r w:rsidRPr="005F2493">
        <w:rPr>
          <w:sz w:val="28"/>
          <w:szCs w:val="28"/>
          <w:lang w:val="ru-RU"/>
        </w:rPr>
        <w:t xml:space="preserve"> часть слагаемых WACC (</w:t>
      </w:r>
      <w:r w:rsidR="00F776D2">
        <w:rPr>
          <w:sz w:val="28"/>
          <w:szCs w:val="28"/>
          <w:lang w:val="ru-RU"/>
        </w:rPr>
        <w:t xml:space="preserve">такие как </w:t>
      </w:r>
      <w:r w:rsidRPr="005F2493">
        <w:rPr>
          <w:sz w:val="28"/>
          <w:szCs w:val="28"/>
          <w:lang w:val="ru-RU"/>
        </w:rPr>
        <w:t xml:space="preserve">безрисковая ставка, отраслевые данные по аналогам) остаётся столь же внешней, но два ключевых компонента — бета конкретной компании и надбавка за её индивидуальный риск — наблюдать неоткуда: их приходится не собирать с рынка, а реконструировать расчётным путём на каждой контрольной точке. Точка отсчёта, относительно которой оценивается создание или разрушение стоимости, оказывается тем самым </w:t>
      </w:r>
      <w:r w:rsidRPr="005F2493">
        <w:rPr>
          <w:sz w:val="28"/>
          <w:szCs w:val="28"/>
          <w:lang w:val="ru-RU"/>
        </w:rPr>
        <w:lastRenderedPageBreak/>
        <w:t>частично условной ещё до начала расчётов. Реконструкция беты через аналоги с дружественных рынков и замена экспертного присвоения надбавки за индивидуальный риск формализованной процедурой составляют предмет методической разработки в главе 3 настоящей работы.</w:t>
      </w:r>
    </w:p>
    <w:p w14:paraId="498EA96F" w14:textId="34062A61" w:rsidR="005F2493" w:rsidRDefault="005F2493" w:rsidP="005F2493">
      <w:pPr>
        <w:pBdr>
          <w:top w:val="nil"/>
          <w:left w:val="nil"/>
          <w:bottom w:val="nil"/>
          <w:right w:val="nil"/>
          <w:between w:val="nil"/>
        </w:pBdr>
        <w:spacing w:before="2" w:line="360" w:lineRule="auto"/>
        <w:ind w:left="140" w:right="145" w:firstLine="708"/>
        <w:jc w:val="both"/>
        <w:rPr>
          <w:sz w:val="28"/>
          <w:szCs w:val="28"/>
          <w:lang w:val="ru-RU"/>
        </w:rPr>
      </w:pPr>
      <w:r w:rsidRPr="005F2493">
        <w:rPr>
          <w:sz w:val="28"/>
          <w:szCs w:val="28"/>
          <w:lang w:val="ru-RU"/>
        </w:rPr>
        <w:t>Особое место в развитии идеи стоимости как объекта управления занимает А. Дамодаран, чьи работы по оценке молодых, непубличных и структурно сложных компаний методологически ближе к объекту настоящего исследования, чем классика VBM</w:t>
      </w:r>
      <w:r>
        <w:rPr>
          <w:rStyle w:val="a7"/>
          <w:sz w:val="28"/>
          <w:szCs w:val="28"/>
          <w:lang w:val="ru-RU"/>
        </w:rPr>
        <w:footnoteReference w:id="105"/>
      </w:r>
      <w:r w:rsidRPr="005F2493">
        <w:rPr>
          <w:sz w:val="28"/>
          <w:szCs w:val="28"/>
          <w:lang w:val="ru-RU"/>
        </w:rPr>
        <w:t>. Именно ему принадлежит систематизация bottom-up подхода к реконструкции беты через отраслевые аналоги для компаний без собственной рыночной истории</w:t>
      </w:r>
      <w:r>
        <w:rPr>
          <w:rStyle w:val="a7"/>
          <w:sz w:val="28"/>
          <w:szCs w:val="28"/>
          <w:lang w:val="ru-RU"/>
        </w:rPr>
        <w:footnoteReference w:id="106"/>
      </w:r>
      <w:r w:rsidRPr="005F2493">
        <w:rPr>
          <w:sz w:val="28"/>
          <w:szCs w:val="28"/>
          <w:lang w:val="ru-RU"/>
        </w:rPr>
        <w:t>. При этом показательна его последовательная критическая позиция в отношении экспертно присваиваемых премий за индивидуальный риск компании: Дамодаран</w:t>
      </w:r>
      <w:r w:rsidR="004D5B9B">
        <w:rPr>
          <w:sz w:val="28"/>
          <w:szCs w:val="28"/>
          <w:lang w:val="ru-RU"/>
        </w:rPr>
        <w:t xml:space="preserve"> </w:t>
      </w:r>
      <w:r w:rsidR="004D5B9B" w:rsidRPr="004D5B9B">
        <w:rPr>
          <w:sz w:val="28"/>
          <w:szCs w:val="28"/>
        </w:rPr>
        <w:t>указыва</w:t>
      </w:r>
      <w:r w:rsidR="004D5B9B">
        <w:rPr>
          <w:sz w:val="28"/>
          <w:szCs w:val="28"/>
          <w:lang w:val="ru-RU"/>
        </w:rPr>
        <w:t>ет</w:t>
      </w:r>
      <w:r w:rsidR="004D5B9B" w:rsidRPr="004D5B9B">
        <w:rPr>
          <w:sz w:val="28"/>
          <w:szCs w:val="28"/>
        </w:rPr>
        <w:t xml:space="preserve"> на отсутствие устойчивого эмпирического обоснования такой практики, и отдаёт предпочтение подразумеваемой премии за рыночный риск в рамках модели CAPM перед экспертными надбавками</w:t>
      </w:r>
      <w:r w:rsidR="004D5B9B">
        <w:rPr>
          <w:rStyle w:val="a7"/>
          <w:sz w:val="28"/>
          <w:szCs w:val="28"/>
        </w:rPr>
        <w:footnoteReference w:id="107"/>
      </w:r>
      <w:r w:rsidRPr="005F2493">
        <w:rPr>
          <w:sz w:val="28"/>
          <w:szCs w:val="28"/>
          <w:lang w:val="ru-RU"/>
        </w:rPr>
        <w:t>. Это не снимает методическую проблему, а обостряет её: если единого консенсуса относительно способа учёта индивидуального риска компании не существует даже среди ведущих теоретиков оценки, экспертное присвоение конкретного числа остаётся, по сути, единственным доступным выходом при отсутствии альтернативной, воспроизводимой процедуры — пробел, который настоящее исследование стремится закрыть в главе 3.</w:t>
      </w:r>
    </w:p>
    <w:p w14:paraId="63070620" w14:textId="415BC8EF" w:rsidR="00785E9B" w:rsidRPr="00CA6DFB" w:rsidRDefault="00785E9B" w:rsidP="00556DDC">
      <w:pPr>
        <w:pBdr>
          <w:top w:val="nil"/>
          <w:left w:val="nil"/>
          <w:bottom w:val="nil"/>
          <w:right w:val="nil"/>
          <w:between w:val="nil"/>
        </w:pBdr>
        <w:spacing w:before="2" w:line="360" w:lineRule="auto"/>
        <w:ind w:left="140" w:right="145" w:firstLine="708"/>
        <w:jc w:val="both"/>
        <w:rPr>
          <w:sz w:val="28"/>
          <w:szCs w:val="28"/>
          <w:lang w:val="ru-RU"/>
        </w:rPr>
      </w:pPr>
      <w:r w:rsidRPr="00785E9B">
        <w:rPr>
          <w:sz w:val="28"/>
          <w:szCs w:val="28"/>
        </w:rPr>
        <w:t>Показательно, что дискуссия о корректности базовых инструментов CAPM-механики не закрыта и в самой современной литературе</w:t>
      </w:r>
      <w:r w:rsidR="00156B64" w:rsidRPr="00156B64">
        <w:rPr>
          <w:sz w:val="28"/>
          <w:szCs w:val="28"/>
          <w:lang w:val="ru-RU"/>
        </w:rPr>
        <w:t xml:space="preserve">: </w:t>
      </w:r>
      <w:r w:rsidR="00156B64" w:rsidRPr="00156B64">
        <w:rPr>
          <w:sz w:val="28"/>
          <w:szCs w:val="28"/>
        </w:rPr>
        <w:t xml:space="preserve">П. Брюсов и Т. Филатова в опубликованном в 2025 году исследовании демонстрируют, что ни модель CAPM, ни WACC по отдельности не позволяют корректно рассчитать капитализацию компании, а популярная модель Хамады, лежащая в основе реконструкции синтетической беты, содержит методологические неточности и внутреннюю </w:t>
      </w:r>
      <w:r w:rsidR="00156B64" w:rsidRPr="00156B64">
        <w:rPr>
          <w:sz w:val="28"/>
          <w:szCs w:val="28"/>
        </w:rPr>
        <w:lastRenderedPageBreak/>
        <w:t>противоречивость</w:t>
      </w:r>
      <w:r w:rsidR="00156B64" w:rsidRPr="00156B64">
        <w:rPr>
          <w:rStyle w:val="a7"/>
          <w:sz w:val="28"/>
          <w:szCs w:val="28"/>
        </w:rPr>
        <w:footnoteReference w:id="108"/>
      </w:r>
      <w:r w:rsidR="00156B64" w:rsidRPr="00156B64">
        <w:rPr>
          <w:sz w:val="28"/>
          <w:szCs w:val="28"/>
        </w:rPr>
        <w:t xml:space="preserve">. </w:t>
      </w:r>
      <w:r w:rsidRPr="00156B64">
        <w:rPr>
          <w:sz w:val="28"/>
          <w:szCs w:val="28"/>
        </w:rPr>
        <w:t xml:space="preserve"> </w:t>
      </w:r>
      <w:r w:rsidRPr="00785E9B">
        <w:rPr>
          <w:sz w:val="28"/>
          <w:szCs w:val="28"/>
        </w:rPr>
        <w:t>Помимо классической формулы Хамады</w:t>
      </w:r>
      <w:r w:rsidR="00156B64" w:rsidRPr="00156B64">
        <w:rPr>
          <w:sz w:val="28"/>
          <w:szCs w:val="28"/>
          <w:lang w:val="ru-RU"/>
        </w:rPr>
        <w:t xml:space="preserve"> (1972)</w:t>
      </w:r>
      <w:r w:rsidRPr="00785E9B">
        <w:rPr>
          <w:sz w:val="28"/>
          <w:szCs w:val="28"/>
        </w:rPr>
        <w:t xml:space="preserve">, в оценочной практике параллельно применяется целое семейство альтернативных формул пересчёта беты между levered и unlevered состояниями — Харрис-Прингла (1985), Майлза-Эззелла (1980), Коннина (1980), Мункхауса (1997), — каждая из которых строится на собственном допущении о поведении компании относительно структуры долга: от постоянной суммы долга в </w:t>
      </w:r>
      <w:r w:rsidR="00156B64">
        <w:rPr>
          <w:sz w:val="28"/>
          <w:szCs w:val="28"/>
          <w:lang w:val="ru-RU"/>
        </w:rPr>
        <w:t>определенной валюте</w:t>
      </w:r>
      <w:r w:rsidRPr="00785E9B">
        <w:rPr>
          <w:sz w:val="28"/>
          <w:szCs w:val="28"/>
        </w:rPr>
        <w:t xml:space="preserve"> до постоянной пропорции долга к капиталу, пересматриваемой либо непрерывно, либо раз в период. По данным </w:t>
      </w:r>
      <w:r w:rsidR="00156B64" w:rsidRPr="00156B64">
        <w:rPr>
          <w:sz w:val="28"/>
          <w:szCs w:val="28"/>
        </w:rPr>
        <w:t>профессора корпоративных финансов бизнес-школы IESE Business School (Университет Наварры, Мадрид, Испания) П. Фернандеса</w:t>
      </w:r>
      <w:r w:rsidR="00156B64">
        <w:rPr>
          <w:rStyle w:val="a7"/>
          <w:sz w:val="28"/>
          <w:szCs w:val="28"/>
        </w:rPr>
        <w:footnoteReference w:id="109"/>
      </w:r>
      <w:r w:rsidRPr="00785E9B">
        <w:rPr>
          <w:sz w:val="28"/>
          <w:szCs w:val="28"/>
        </w:rPr>
        <w:t>, при ненулевой налоговой ставке результаты этих формул оказываются математически несовместимы друг с другом</w:t>
      </w:r>
      <w:r w:rsidR="00CA6DFB">
        <w:rPr>
          <w:sz w:val="28"/>
          <w:szCs w:val="28"/>
          <w:lang w:val="ru-RU"/>
        </w:rPr>
        <w:t>. Именно поэтому</w:t>
      </w:r>
      <w:r w:rsidRPr="00785E9B">
        <w:rPr>
          <w:sz w:val="28"/>
          <w:szCs w:val="28"/>
        </w:rPr>
        <w:t xml:space="preserve"> выбор конкретной формулы</w:t>
      </w:r>
      <w:r w:rsidR="00CA6DFB">
        <w:rPr>
          <w:sz w:val="28"/>
          <w:szCs w:val="28"/>
          <w:lang w:val="ru-RU"/>
        </w:rPr>
        <w:t xml:space="preserve"> является</w:t>
      </w:r>
      <w:r w:rsidRPr="00785E9B">
        <w:rPr>
          <w:sz w:val="28"/>
          <w:szCs w:val="28"/>
        </w:rPr>
        <w:t xml:space="preserve"> не техническ</w:t>
      </w:r>
      <w:r w:rsidR="00CA6DFB">
        <w:rPr>
          <w:sz w:val="28"/>
          <w:szCs w:val="28"/>
          <w:lang w:val="ru-RU"/>
        </w:rPr>
        <w:t>ой</w:t>
      </w:r>
      <w:r w:rsidRPr="00785E9B">
        <w:rPr>
          <w:sz w:val="28"/>
          <w:szCs w:val="28"/>
        </w:rPr>
        <w:t xml:space="preserve"> деталь</w:t>
      </w:r>
      <w:r w:rsidR="00CA6DFB">
        <w:rPr>
          <w:sz w:val="28"/>
          <w:szCs w:val="28"/>
          <w:lang w:val="ru-RU"/>
        </w:rPr>
        <w:t>ю</w:t>
      </w:r>
      <w:r w:rsidRPr="00785E9B">
        <w:rPr>
          <w:sz w:val="28"/>
          <w:szCs w:val="28"/>
        </w:rPr>
        <w:t xml:space="preserve"> расчёта, а самостоятельн</w:t>
      </w:r>
      <w:r w:rsidR="00CA6DFB">
        <w:rPr>
          <w:sz w:val="28"/>
          <w:szCs w:val="28"/>
          <w:lang w:val="ru-RU"/>
        </w:rPr>
        <w:t>ым</w:t>
      </w:r>
      <w:r w:rsidRPr="00785E9B">
        <w:rPr>
          <w:sz w:val="28"/>
          <w:szCs w:val="28"/>
        </w:rPr>
        <w:t xml:space="preserve"> содержательн</w:t>
      </w:r>
      <w:r w:rsidR="00CA6DFB">
        <w:rPr>
          <w:sz w:val="28"/>
          <w:szCs w:val="28"/>
          <w:lang w:val="ru-RU"/>
        </w:rPr>
        <w:t>ым</w:t>
      </w:r>
      <w:r w:rsidRPr="00785E9B">
        <w:rPr>
          <w:sz w:val="28"/>
          <w:szCs w:val="28"/>
        </w:rPr>
        <w:t xml:space="preserve"> допущение</w:t>
      </w:r>
      <w:r w:rsidR="00CA6DFB">
        <w:rPr>
          <w:sz w:val="28"/>
          <w:szCs w:val="28"/>
          <w:lang w:val="ru-RU"/>
        </w:rPr>
        <w:t>м</w:t>
      </w:r>
      <w:r w:rsidRPr="00785E9B">
        <w:rPr>
          <w:sz w:val="28"/>
          <w:szCs w:val="28"/>
        </w:rPr>
        <w:t>, влияющ</w:t>
      </w:r>
      <w:r w:rsidR="00CA6DFB">
        <w:rPr>
          <w:sz w:val="28"/>
          <w:szCs w:val="28"/>
          <w:lang w:val="ru-RU"/>
        </w:rPr>
        <w:t xml:space="preserve">им </w:t>
      </w:r>
      <w:r w:rsidRPr="00785E9B">
        <w:rPr>
          <w:sz w:val="28"/>
          <w:szCs w:val="28"/>
        </w:rPr>
        <w:t>на итоговую оценку.</w:t>
      </w:r>
    </w:p>
    <w:p w14:paraId="23395A96" w14:textId="5750B69C" w:rsidR="00156B64" w:rsidRPr="00156B64" w:rsidRDefault="00156B64" w:rsidP="00556DDC">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Данн</w:t>
      </w:r>
      <w:r w:rsidR="008B34C8">
        <w:rPr>
          <w:sz w:val="28"/>
          <w:szCs w:val="28"/>
          <w:lang w:val="ru-RU"/>
        </w:rPr>
        <w:t xml:space="preserve">ый элемент расчета стоимости акционерного капитала </w:t>
      </w:r>
      <w:r w:rsidRPr="00156B64">
        <w:rPr>
          <w:sz w:val="28"/>
          <w:szCs w:val="28"/>
        </w:rPr>
        <w:t>заслуживает такого внимания именно в контексте настоящего исследования</w:t>
      </w:r>
      <w:r>
        <w:rPr>
          <w:sz w:val="28"/>
          <w:szCs w:val="28"/>
          <w:lang w:val="ru-RU"/>
        </w:rPr>
        <w:t xml:space="preserve"> по той причине, что</w:t>
      </w:r>
      <w:r w:rsidRPr="00156B64">
        <w:rPr>
          <w:sz w:val="28"/>
          <w:szCs w:val="28"/>
        </w:rPr>
        <w:t xml:space="preserve"> Бета — единственный множитель в формуле CAPM, который умножает всю премию за рыночный риск целиком, поэтому даже небольшая ошибка в ней не складывается с остальными компонентами ставки, а масштабирует их. Показательный расчёт приводят Н.В. Цехомский и Д.В. Тихомиров</w:t>
      </w:r>
      <w:r>
        <w:rPr>
          <w:rStyle w:val="a7"/>
          <w:sz w:val="28"/>
          <w:szCs w:val="28"/>
        </w:rPr>
        <w:footnoteReference w:id="110"/>
      </w:r>
      <w:r w:rsidRPr="00156B64">
        <w:rPr>
          <w:sz w:val="28"/>
          <w:szCs w:val="28"/>
        </w:rPr>
        <w:t xml:space="preserve">: изменение беты всего на 0,1 при стандартных предпосылках WACC (доля долга 50%, премия за рыночный риск 5%) меняет итоговую ставку дисконтирования на 0,25 процентных пункта — а такое смещение, применённое не к одному году, а ко всему многолетнему прогнозному периоду денежных потоков компании, транслируется в итоговую стоимость с кратно большим эффектом из-за экспоненциального характера дисконтирования. Показательна и статистика волатильности самого коэффициента: по данным тех же авторов, опирающихся на собственную базу данных А. Дамодарана, отраслевые значения беты могут различаться между годами </w:t>
      </w:r>
      <w:r w:rsidRPr="00156B64">
        <w:rPr>
          <w:sz w:val="28"/>
          <w:szCs w:val="28"/>
        </w:rPr>
        <w:lastRenderedPageBreak/>
        <w:t>более чем вдвое — то есть даже при выбранной формуле сама исходная величина, к которой она применяется, остаётся неустойчивой во времени. Для компании без рыночных котировок, где бета не наблюдается напрямую, а реконструируется расчётным путём, эта двойная чувствительность — к формуле пересчёта и к исходным данным — приобретает особое значение: методическая неточность на входе искажает результат ещё до того, как в дело вступают остальные компоненты ставки, включая формализуемый в настоящем исследовании CSRP.</w:t>
      </w:r>
    </w:p>
    <w:p w14:paraId="0D8E5286" w14:textId="6B1C932B" w:rsidR="002023B2" w:rsidRPr="002023B2" w:rsidRDefault="002023B2" w:rsidP="005F2493">
      <w:pPr>
        <w:pBdr>
          <w:top w:val="nil"/>
          <w:left w:val="nil"/>
          <w:bottom w:val="nil"/>
          <w:right w:val="nil"/>
          <w:between w:val="nil"/>
        </w:pBdr>
        <w:spacing w:before="2" w:line="360" w:lineRule="auto"/>
        <w:ind w:left="140" w:right="145" w:firstLine="708"/>
        <w:jc w:val="both"/>
        <w:rPr>
          <w:sz w:val="28"/>
          <w:szCs w:val="28"/>
          <w:lang w:val="ru-RU"/>
        </w:rPr>
      </w:pPr>
      <w:r w:rsidRPr="002023B2">
        <w:rPr>
          <w:sz w:val="28"/>
          <w:szCs w:val="28"/>
        </w:rPr>
        <w:t>Настоящее исследование учитывает эту дискуссию: реконструкция синтетической беты производится с явным сопоставлением формул Хамады и Харрис-Прингла — второе допущение точнее описывает поведение большинства реальных компаний, целенаправленно поддерживающих целевую структуру капитала, а не фиксированную сумму долга, и уже применяется в отечественной оценочной практике: А. Лопатников, управляющий директор American Appraisal, приводит развёрнутый расчёт β-коэффициентов по формуле Харрис-Прингла на выборке из 17 золотодобывающих компаний</w:t>
      </w:r>
      <w:r>
        <w:rPr>
          <w:rStyle w:val="a7"/>
          <w:sz w:val="28"/>
          <w:szCs w:val="28"/>
        </w:rPr>
        <w:footnoteReference w:id="111"/>
      </w:r>
      <w:r w:rsidRPr="002023B2">
        <w:rPr>
          <w:sz w:val="28"/>
          <w:szCs w:val="28"/>
        </w:rPr>
        <w:t>.</w:t>
      </w:r>
    </w:p>
    <w:p w14:paraId="03806468" w14:textId="5052A4EF" w:rsidR="009F67C9" w:rsidRDefault="009F67C9" w:rsidP="005F2493">
      <w:pPr>
        <w:pBdr>
          <w:top w:val="nil"/>
          <w:left w:val="nil"/>
          <w:bottom w:val="nil"/>
          <w:right w:val="nil"/>
          <w:between w:val="nil"/>
        </w:pBdr>
        <w:spacing w:before="2" w:line="360" w:lineRule="auto"/>
        <w:ind w:left="140" w:right="145" w:firstLine="708"/>
        <w:jc w:val="both"/>
        <w:rPr>
          <w:sz w:val="28"/>
          <w:szCs w:val="28"/>
          <w:lang w:val="ru-RU"/>
        </w:rPr>
      </w:pPr>
      <w:r w:rsidRPr="009F67C9">
        <w:rPr>
          <w:sz w:val="28"/>
          <w:szCs w:val="28"/>
        </w:rPr>
        <w:t>Эт</w:t>
      </w:r>
      <w:r w:rsidR="00556DDC">
        <w:rPr>
          <w:sz w:val="28"/>
          <w:szCs w:val="28"/>
          <w:lang w:val="ru-RU"/>
        </w:rPr>
        <w:t>и критические замечания</w:t>
      </w:r>
      <w:r w:rsidRPr="009F67C9">
        <w:rPr>
          <w:sz w:val="28"/>
          <w:szCs w:val="28"/>
        </w:rPr>
        <w:t xml:space="preserve"> не обесценива</w:t>
      </w:r>
      <w:r w:rsidR="00556DDC">
        <w:rPr>
          <w:sz w:val="28"/>
          <w:szCs w:val="28"/>
          <w:lang w:val="ru-RU"/>
        </w:rPr>
        <w:t>ю</w:t>
      </w:r>
      <w:r w:rsidRPr="009F67C9">
        <w:rPr>
          <w:sz w:val="28"/>
          <w:szCs w:val="28"/>
        </w:rPr>
        <w:t>т bottom-up подход как таковой</w:t>
      </w:r>
      <w:r w:rsidR="00556DDC">
        <w:rPr>
          <w:sz w:val="28"/>
          <w:szCs w:val="28"/>
          <w:lang w:val="ru-RU"/>
        </w:rPr>
        <w:t>, поскольку</w:t>
      </w:r>
      <w:r w:rsidRPr="009F67C9">
        <w:rPr>
          <w:sz w:val="28"/>
          <w:szCs w:val="28"/>
        </w:rPr>
        <w:t xml:space="preserve"> альтернативы для компании без рыночных котировок попросту не существует, но подтверждает тезис, уже сформулированный выше применительно к экспертным премиям: единого консенсуса относительно корректности даже базовых расчётных инструментов не достигнуто и среди ведущих теоретиков современной оценки.</w:t>
      </w:r>
    </w:p>
    <w:p w14:paraId="2E120553" w14:textId="10958BA2" w:rsidR="00546C12" w:rsidRPr="00546C12" w:rsidRDefault="0015249C" w:rsidP="00026423">
      <w:pPr>
        <w:pBdr>
          <w:top w:val="nil"/>
          <w:left w:val="nil"/>
          <w:bottom w:val="nil"/>
          <w:right w:val="nil"/>
          <w:between w:val="nil"/>
        </w:pBdr>
        <w:spacing w:before="2" w:line="360" w:lineRule="auto"/>
        <w:ind w:left="140" w:right="145" w:firstLine="708"/>
        <w:jc w:val="both"/>
        <w:rPr>
          <w:sz w:val="24"/>
          <w:szCs w:val="24"/>
          <w:lang w:val="ru-RU"/>
        </w:rPr>
      </w:pPr>
      <w:r w:rsidRPr="0015249C">
        <w:rPr>
          <w:sz w:val="28"/>
          <w:szCs w:val="28"/>
          <w:lang w:val="ru-RU"/>
        </w:rPr>
        <w:t>Параллельно с развитием VBM-парадигмы в мировой практике сложилась устойчивая трёхчастная классификация подходов к оценке бизнеса — доходного, сравнительного и затратного, — закреплённая и в российском регулировании через Федеральные стандарты оценки</w:t>
      </w:r>
      <w:r>
        <w:rPr>
          <w:rStyle w:val="a7"/>
          <w:sz w:val="28"/>
          <w:szCs w:val="28"/>
          <w:lang w:val="ru-RU"/>
        </w:rPr>
        <w:footnoteReference w:id="112"/>
      </w:r>
      <w:r w:rsidRPr="0015249C">
        <w:rPr>
          <w:sz w:val="28"/>
          <w:szCs w:val="28"/>
          <w:lang w:val="ru-RU"/>
        </w:rPr>
        <w:t xml:space="preserve">. </w:t>
      </w:r>
    </w:p>
    <w:p w14:paraId="19791CFD" w14:textId="77777777" w:rsidR="00026423" w:rsidRPr="00546C12" w:rsidRDefault="0015249C" w:rsidP="00026423">
      <w:pPr>
        <w:pBdr>
          <w:top w:val="nil"/>
          <w:left w:val="nil"/>
          <w:bottom w:val="nil"/>
          <w:right w:val="nil"/>
          <w:between w:val="nil"/>
        </w:pBdr>
        <w:spacing w:before="2" w:line="360" w:lineRule="auto"/>
        <w:ind w:left="140" w:right="145" w:firstLine="708"/>
        <w:jc w:val="both"/>
        <w:rPr>
          <w:sz w:val="28"/>
          <w:szCs w:val="28"/>
          <w:lang w:val="ru-RU"/>
        </w:rPr>
      </w:pPr>
      <w:r w:rsidRPr="0015249C">
        <w:rPr>
          <w:sz w:val="28"/>
          <w:szCs w:val="28"/>
          <w:lang w:val="ru-RU"/>
        </w:rPr>
        <w:t xml:space="preserve">Сравнительный подход определяется как совокупность методов оценки, основанных на получении стоимости объекта оценки путём сравнения </w:t>
      </w:r>
      <w:r w:rsidRPr="0015249C">
        <w:rPr>
          <w:sz w:val="28"/>
          <w:szCs w:val="28"/>
          <w:lang w:val="ru-RU"/>
        </w:rPr>
        <w:lastRenderedPageBreak/>
        <w:t>оцениваемого объекта с объектами-аналогами</w:t>
      </w:r>
      <w:r w:rsidR="00CB203E">
        <w:rPr>
          <w:rStyle w:val="a7"/>
          <w:sz w:val="28"/>
          <w:szCs w:val="28"/>
          <w:lang w:val="ru-RU"/>
        </w:rPr>
        <w:footnoteReference w:id="113"/>
      </w:r>
      <w:r w:rsidRPr="0015249C">
        <w:rPr>
          <w:sz w:val="28"/>
          <w:szCs w:val="28"/>
          <w:lang w:val="ru-RU"/>
        </w:rPr>
        <w:t>; затратный — через восстановительную стоимость активов за вычетом обязательств. Прикладная литература по оценке бизнеса фиксирует иерархию применимости трёх подходов, которая для объекта настоящего исследования принципиальна: доходный подход в наибольшей степени применим к оценке бизнеса как действующего актива, тогда как применение сравнительного подхода носит ограниченный характер ввиду отсутствия полной информации о рыночной стоимости активов и условиях сделок с пакетами акций компаний-аналогов, а затратный подход применяется преимущественно тогда, когда возникают сложности в определении рыночной стоимости бизнеса другими подходами</w:t>
      </w:r>
      <w:r w:rsidR="00794D42">
        <w:rPr>
          <w:rStyle w:val="a7"/>
          <w:sz w:val="28"/>
          <w:szCs w:val="28"/>
          <w:lang w:val="ru-RU"/>
        </w:rPr>
        <w:footnoteReference w:id="114"/>
      </w:r>
      <w:r w:rsidRPr="0015249C">
        <w:rPr>
          <w:sz w:val="28"/>
          <w:szCs w:val="28"/>
          <w:lang w:val="ru-RU"/>
        </w:rPr>
        <w:t>.</w:t>
      </w:r>
      <w:r w:rsidR="00026423">
        <w:rPr>
          <w:sz w:val="28"/>
          <w:szCs w:val="28"/>
          <w:lang w:val="ru-RU"/>
        </w:rPr>
        <w:t xml:space="preserve"> Иерархия применимости подходов к оценке бизнеса на пути к институциональному капиталу (венчур -</w:t>
      </w:r>
      <w:r w:rsidR="00026423" w:rsidRPr="00546C12">
        <w:rPr>
          <w:sz w:val="28"/>
          <w:szCs w:val="28"/>
          <w:lang w:val="ru-RU"/>
        </w:rPr>
        <w:t xml:space="preserve">&gt; </w:t>
      </w:r>
      <w:r w:rsidR="00026423">
        <w:rPr>
          <w:sz w:val="28"/>
          <w:szCs w:val="28"/>
          <w:lang w:val="en-US"/>
        </w:rPr>
        <w:t>PE</w:t>
      </w:r>
      <w:r w:rsidR="00026423" w:rsidRPr="00546C12">
        <w:rPr>
          <w:sz w:val="28"/>
          <w:szCs w:val="28"/>
          <w:lang w:val="ru-RU"/>
        </w:rPr>
        <w:t xml:space="preserve"> -&gt; </w:t>
      </w:r>
      <w:r w:rsidR="00026423">
        <w:rPr>
          <w:sz w:val="28"/>
          <w:szCs w:val="28"/>
          <w:lang w:val="en-US"/>
        </w:rPr>
        <w:t>pre</w:t>
      </w:r>
      <w:r w:rsidR="00026423" w:rsidRPr="00546C12">
        <w:rPr>
          <w:sz w:val="28"/>
          <w:szCs w:val="28"/>
          <w:lang w:val="ru-RU"/>
        </w:rPr>
        <w:t>-</w:t>
      </w:r>
      <w:r w:rsidR="00026423">
        <w:rPr>
          <w:sz w:val="28"/>
          <w:szCs w:val="28"/>
          <w:lang w:val="en-US"/>
        </w:rPr>
        <w:t>IPO</w:t>
      </w:r>
      <w:r w:rsidR="00026423" w:rsidRPr="00546C12">
        <w:rPr>
          <w:sz w:val="28"/>
          <w:szCs w:val="28"/>
          <w:lang w:val="ru-RU"/>
        </w:rPr>
        <w:t xml:space="preserve"> -&gt; </w:t>
      </w:r>
      <w:r w:rsidR="00026423">
        <w:rPr>
          <w:sz w:val="28"/>
          <w:szCs w:val="28"/>
          <w:lang w:val="en-US"/>
        </w:rPr>
        <w:t>IPO</w:t>
      </w:r>
      <w:r w:rsidR="00026423" w:rsidRPr="00546C12">
        <w:rPr>
          <w:sz w:val="28"/>
          <w:szCs w:val="28"/>
          <w:lang w:val="ru-RU"/>
        </w:rPr>
        <w:t>)</w:t>
      </w:r>
      <w:r w:rsidR="00026423">
        <w:rPr>
          <w:sz w:val="28"/>
          <w:szCs w:val="28"/>
          <w:lang w:val="ru-RU"/>
        </w:rPr>
        <w:t xml:space="preserve"> приведена в таблице ниже.</w:t>
      </w:r>
    </w:p>
    <w:p w14:paraId="5659D29A" w14:textId="75C49983" w:rsidR="00026423" w:rsidRPr="00026423" w:rsidRDefault="00026423" w:rsidP="00026423">
      <w:pPr>
        <w:pBdr>
          <w:top w:val="nil"/>
          <w:left w:val="nil"/>
          <w:bottom w:val="nil"/>
          <w:right w:val="nil"/>
          <w:between w:val="nil"/>
        </w:pBdr>
        <w:spacing w:before="2" w:line="360" w:lineRule="auto"/>
        <w:ind w:right="145"/>
        <w:rPr>
          <w:sz w:val="24"/>
          <w:szCs w:val="24"/>
          <w:lang w:val="ru-RU"/>
        </w:rPr>
      </w:pPr>
      <w:r w:rsidRPr="00546C12">
        <w:rPr>
          <w:sz w:val="24"/>
          <w:szCs w:val="24"/>
          <w:lang w:val="ru-RU"/>
        </w:rPr>
        <w:t>Таблица 1.</w:t>
      </w:r>
      <w:r w:rsidR="00FD110E" w:rsidRPr="00FD110E">
        <w:rPr>
          <w:sz w:val="24"/>
          <w:szCs w:val="24"/>
          <w:lang w:val="ru-RU"/>
        </w:rPr>
        <w:t>1 -</w:t>
      </w:r>
      <w:r w:rsidRPr="00546C12">
        <w:rPr>
          <w:sz w:val="24"/>
          <w:szCs w:val="24"/>
          <w:lang w:val="ru-RU"/>
        </w:rPr>
        <w:t xml:space="preserve"> Иерархия применимости подходов к оценке бизнеса.</w:t>
      </w:r>
    </w:p>
    <w:tbl>
      <w:tblPr>
        <w:tblStyle w:val="ab"/>
        <w:tblW w:w="0" w:type="auto"/>
        <w:tblLook w:val="04A0" w:firstRow="1" w:lastRow="0" w:firstColumn="1" w:lastColumn="0" w:noHBand="0" w:noVBand="1"/>
      </w:tblPr>
      <w:tblGrid>
        <w:gridCol w:w="2092"/>
        <w:gridCol w:w="2414"/>
        <w:gridCol w:w="2796"/>
        <w:gridCol w:w="2898"/>
      </w:tblGrid>
      <w:tr w:rsidR="00026423" w:rsidRPr="00546C12" w14:paraId="359F75EA" w14:textId="77777777" w:rsidTr="005D7CE1">
        <w:tc>
          <w:tcPr>
            <w:tcW w:w="2092" w:type="dxa"/>
          </w:tcPr>
          <w:p w14:paraId="17B3A329" w14:textId="77777777" w:rsidR="00026423" w:rsidRPr="00546C12" w:rsidRDefault="00026423" w:rsidP="00A648EF">
            <w:pPr>
              <w:spacing w:before="2" w:line="360" w:lineRule="auto"/>
              <w:ind w:right="145"/>
              <w:rPr>
                <w:sz w:val="24"/>
                <w:szCs w:val="24"/>
                <w:lang w:val="ru-RU"/>
              </w:rPr>
            </w:pPr>
            <w:r>
              <w:rPr>
                <w:sz w:val="24"/>
                <w:szCs w:val="24"/>
                <w:lang w:val="ru-RU"/>
              </w:rPr>
              <w:t xml:space="preserve">Подход </w:t>
            </w:r>
          </w:p>
        </w:tc>
        <w:tc>
          <w:tcPr>
            <w:tcW w:w="2414" w:type="dxa"/>
          </w:tcPr>
          <w:p w14:paraId="61870B79" w14:textId="77777777" w:rsidR="00026423" w:rsidRPr="00546C12" w:rsidRDefault="00026423" w:rsidP="00A648EF">
            <w:pPr>
              <w:spacing w:before="2" w:line="360" w:lineRule="auto"/>
              <w:ind w:right="145"/>
              <w:rPr>
                <w:sz w:val="24"/>
                <w:szCs w:val="24"/>
                <w:lang w:val="ru-RU"/>
              </w:rPr>
            </w:pPr>
            <w:r>
              <w:rPr>
                <w:sz w:val="24"/>
                <w:szCs w:val="24"/>
                <w:lang w:val="ru-RU"/>
              </w:rPr>
              <w:t>Применимость</w:t>
            </w:r>
          </w:p>
        </w:tc>
        <w:tc>
          <w:tcPr>
            <w:tcW w:w="2796" w:type="dxa"/>
          </w:tcPr>
          <w:p w14:paraId="14D007E9" w14:textId="77777777" w:rsidR="00026423" w:rsidRPr="00546C12" w:rsidRDefault="00026423" w:rsidP="00A648EF">
            <w:pPr>
              <w:spacing w:before="2" w:line="360" w:lineRule="auto"/>
              <w:ind w:right="145"/>
              <w:rPr>
                <w:sz w:val="24"/>
                <w:szCs w:val="24"/>
                <w:lang w:val="ru-RU"/>
              </w:rPr>
            </w:pPr>
            <w:r>
              <w:rPr>
                <w:sz w:val="24"/>
                <w:szCs w:val="24"/>
                <w:lang w:val="ru-RU"/>
              </w:rPr>
              <w:t>Ключевое ограничение</w:t>
            </w:r>
          </w:p>
        </w:tc>
        <w:tc>
          <w:tcPr>
            <w:tcW w:w="2898" w:type="dxa"/>
          </w:tcPr>
          <w:p w14:paraId="0BCC3F27" w14:textId="77777777" w:rsidR="00026423" w:rsidRPr="00546C12" w:rsidRDefault="00026423" w:rsidP="00A648EF">
            <w:pPr>
              <w:spacing w:before="2" w:line="360" w:lineRule="auto"/>
              <w:ind w:right="145"/>
              <w:rPr>
                <w:sz w:val="24"/>
                <w:szCs w:val="24"/>
                <w:lang w:val="ru-RU"/>
              </w:rPr>
            </w:pPr>
            <w:r>
              <w:rPr>
                <w:sz w:val="24"/>
                <w:szCs w:val="24"/>
                <w:lang w:val="ru-RU"/>
              </w:rPr>
              <w:t>Для какого типа компании пригоден</w:t>
            </w:r>
          </w:p>
        </w:tc>
      </w:tr>
      <w:tr w:rsidR="00026423" w:rsidRPr="00546C12" w14:paraId="1F1BE9B0" w14:textId="77777777" w:rsidTr="005D7CE1">
        <w:tc>
          <w:tcPr>
            <w:tcW w:w="2092" w:type="dxa"/>
          </w:tcPr>
          <w:p w14:paraId="417B5512" w14:textId="77777777" w:rsidR="00026423" w:rsidRPr="00546C12" w:rsidRDefault="00026423" w:rsidP="00A648EF">
            <w:pPr>
              <w:spacing w:before="2" w:line="360" w:lineRule="auto"/>
              <w:ind w:right="145"/>
              <w:rPr>
                <w:sz w:val="24"/>
                <w:szCs w:val="24"/>
                <w:lang w:val="ru-RU"/>
              </w:rPr>
            </w:pPr>
            <w:r>
              <w:rPr>
                <w:sz w:val="24"/>
                <w:szCs w:val="24"/>
                <w:lang w:val="ru-RU"/>
              </w:rPr>
              <w:t>Доходный</w:t>
            </w:r>
          </w:p>
        </w:tc>
        <w:tc>
          <w:tcPr>
            <w:tcW w:w="2414" w:type="dxa"/>
          </w:tcPr>
          <w:p w14:paraId="337B5CD2" w14:textId="77777777" w:rsidR="00026423" w:rsidRPr="00546C12" w:rsidRDefault="00026423" w:rsidP="00A648EF">
            <w:pPr>
              <w:spacing w:before="2" w:line="360" w:lineRule="auto"/>
              <w:ind w:right="145"/>
              <w:rPr>
                <w:sz w:val="24"/>
                <w:szCs w:val="24"/>
                <w:lang w:val="ru-RU"/>
              </w:rPr>
            </w:pPr>
            <w:r>
              <w:rPr>
                <w:sz w:val="24"/>
                <w:szCs w:val="24"/>
                <w:lang w:val="ru-RU"/>
              </w:rPr>
              <w:t>Универсально пригоден</w:t>
            </w:r>
          </w:p>
        </w:tc>
        <w:tc>
          <w:tcPr>
            <w:tcW w:w="2796" w:type="dxa"/>
          </w:tcPr>
          <w:p w14:paraId="1EA4B07E" w14:textId="77777777" w:rsidR="00026423" w:rsidRPr="002F37CF" w:rsidRDefault="00026423" w:rsidP="00A648EF">
            <w:pPr>
              <w:spacing w:before="2" w:line="360" w:lineRule="auto"/>
              <w:ind w:right="145"/>
              <w:rPr>
                <w:sz w:val="24"/>
                <w:szCs w:val="24"/>
                <w:lang w:val="ru-RU"/>
              </w:rPr>
            </w:pPr>
            <w:r>
              <w:rPr>
                <w:sz w:val="24"/>
                <w:szCs w:val="24"/>
                <w:lang w:val="ru-RU"/>
              </w:rPr>
              <w:t xml:space="preserve">Единственный универсально применимый инструмент, но и наиболее чувствительный к необоснованным допушениям (терминальная стоимость, </w:t>
            </w:r>
            <w:r>
              <w:rPr>
                <w:sz w:val="24"/>
                <w:szCs w:val="24"/>
                <w:lang w:val="en-US"/>
              </w:rPr>
              <w:t>WACC</w:t>
            </w:r>
            <w:r w:rsidRPr="002F37CF">
              <w:rPr>
                <w:sz w:val="24"/>
                <w:szCs w:val="24"/>
                <w:lang w:val="ru-RU"/>
              </w:rPr>
              <w:t xml:space="preserve">, </w:t>
            </w:r>
            <w:r>
              <w:rPr>
                <w:sz w:val="24"/>
                <w:szCs w:val="24"/>
                <w:lang w:val="ru-RU"/>
              </w:rPr>
              <w:t>риск компании)</w:t>
            </w:r>
          </w:p>
        </w:tc>
        <w:tc>
          <w:tcPr>
            <w:tcW w:w="2898" w:type="dxa"/>
          </w:tcPr>
          <w:p w14:paraId="2F13A133" w14:textId="77777777" w:rsidR="00026423" w:rsidRPr="00A26F9C" w:rsidRDefault="00026423" w:rsidP="00A648EF">
            <w:pPr>
              <w:spacing w:before="2" w:line="360" w:lineRule="auto"/>
              <w:ind w:right="145"/>
              <w:rPr>
                <w:sz w:val="24"/>
                <w:szCs w:val="24"/>
                <w:lang w:val="ru-RU"/>
              </w:rPr>
            </w:pPr>
            <w:r>
              <w:rPr>
                <w:sz w:val="24"/>
                <w:szCs w:val="24"/>
                <w:lang w:val="ru-RU"/>
              </w:rPr>
              <w:t>Компания как действующий бизнес на всех этапах привлечения капитала – объект настоящего исследования</w:t>
            </w:r>
          </w:p>
        </w:tc>
      </w:tr>
      <w:tr w:rsidR="00026423" w:rsidRPr="00546C12" w14:paraId="307B051C" w14:textId="77777777" w:rsidTr="005D7CE1">
        <w:tc>
          <w:tcPr>
            <w:tcW w:w="2092" w:type="dxa"/>
          </w:tcPr>
          <w:p w14:paraId="0CE0B558" w14:textId="77777777" w:rsidR="00026423" w:rsidRPr="00546C12" w:rsidRDefault="00026423" w:rsidP="00A648EF">
            <w:pPr>
              <w:spacing w:before="2" w:line="360" w:lineRule="auto"/>
              <w:ind w:right="145"/>
              <w:rPr>
                <w:sz w:val="24"/>
                <w:szCs w:val="24"/>
                <w:lang w:val="ru-RU"/>
              </w:rPr>
            </w:pPr>
            <w:r>
              <w:rPr>
                <w:sz w:val="24"/>
                <w:szCs w:val="24"/>
                <w:lang w:val="ru-RU"/>
              </w:rPr>
              <w:t>Сравнительный</w:t>
            </w:r>
          </w:p>
        </w:tc>
        <w:tc>
          <w:tcPr>
            <w:tcW w:w="2414" w:type="dxa"/>
          </w:tcPr>
          <w:p w14:paraId="2399B17C" w14:textId="77777777" w:rsidR="00026423" w:rsidRPr="00546C12" w:rsidRDefault="00026423" w:rsidP="00A648EF">
            <w:pPr>
              <w:spacing w:before="2" w:line="360" w:lineRule="auto"/>
              <w:ind w:right="145"/>
              <w:rPr>
                <w:sz w:val="24"/>
                <w:szCs w:val="24"/>
                <w:lang w:val="ru-RU"/>
              </w:rPr>
            </w:pPr>
            <w:r>
              <w:rPr>
                <w:sz w:val="24"/>
                <w:szCs w:val="24"/>
                <w:lang w:val="ru-RU"/>
              </w:rPr>
              <w:t>Ограничено пригоден</w:t>
            </w:r>
          </w:p>
        </w:tc>
        <w:tc>
          <w:tcPr>
            <w:tcW w:w="2796" w:type="dxa"/>
          </w:tcPr>
          <w:p w14:paraId="5A3AA495" w14:textId="77777777" w:rsidR="00026423" w:rsidRPr="00546C12" w:rsidRDefault="00026423" w:rsidP="00A648EF">
            <w:pPr>
              <w:spacing w:before="2" w:line="360" w:lineRule="auto"/>
              <w:ind w:right="145"/>
              <w:rPr>
                <w:sz w:val="24"/>
                <w:szCs w:val="24"/>
                <w:lang w:val="ru-RU"/>
              </w:rPr>
            </w:pPr>
            <w:r>
              <w:rPr>
                <w:sz w:val="24"/>
                <w:szCs w:val="24"/>
                <w:lang w:val="ru-RU"/>
              </w:rPr>
              <w:t xml:space="preserve">Требует раскрытых сопоставимых сделок с долями компаний-аналогов – условие, не </w:t>
            </w:r>
            <w:r>
              <w:rPr>
                <w:sz w:val="24"/>
                <w:szCs w:val="24"/>
                <w:lang w:val="ru-RU"/>
              </w:rPr>
              <w:lastRenderedPageBreak/>
              <w:t>выполняющееся почти по определению для непубличной компании</w:t>
            </w:r>
          </w:p>
        </w:tc>
        <w:tc>
          <w:tcPr>
            <w:tcW w:w="2898" w:type="dxa"/>
          </w:tcPr>
          <w:p w14:paraId="16C8CD5C" w14:textId="77777777" w:rsidR="00026423" w:rsidRPr="00A26F9C" w:rsidRDefault="00026423" w:rsidP="00A648EF">
            <w:pPr>
              <w:spacing w:before="2" w:line="360" w:lineRule="auto"/>
              <w:ind w:right="145"/>
              <w:rPr>
                <w:sz w:val="24"/>
                <w:szCs w:val="24"/>
                <w:lang w:val="ru-RU"/>
              </w:rPr>
            </w:pPr>
            <w:r>
              <w:rPr>
                <w:sz w:val="24"/>
                <w:szCs w:val="24"/>
                <w:lang w:val="ru-RU"/>
              </w:rPr>
              <w:lastRenderedPageBreak/>
              <w:t xml:space="preserve">Компания с развитым и прозрачным рынком сделок по аналогичным долям – практически </w:t>
            </w:r>
            <w:r>
              <w:rPr>
                <w:sz w:val="24"/>
                <w:szCs w:val="24"/>
                <w:lang w:val="ru-RU"/>
              </w:rPr>
              <w:lastRenderedPageBreak/>
              <w:t xml:space="preserve">недостижимо до </w:t>
            </w:r>
            <w:r>
              <w:rPr>
                <w:sz w:val="24"/>
                <w:szCs w:val="24"/>
                <w:lang w:val="en-US"/>
              </w:rPr>
              <w:t>IPO</w:t>
            </w:r>
          </w:p>
        </w:tc>
      </w:tr>
      <w:tr w:rsidR="00026423" w:rsidRPr="00546C12" w14:paraId="7D319117" w14:textId="77777777" w:rsidTr="005D7CE1">
        <w:tc>
          <w:tcPr>
            <w:tcW w:w="2092" w:type="dxa"/>
          </w:tcPr>
          <w:p w14:paraId="7A7FCFF8" w14:textId="77777777" w:rsidR="00026423" w:rsidRPr="00546C12" w:rsidRDefault="00026423" w:rsidP="00A648EF">
            <w:pPr>
              <w:spacing w:before="2" w:line="360" w:lineRule="auto"/>
              <w:ind w:right="145"/>
              <w:rPr>
                <w:sz w:val="24"/>
                <w:szCs w:val="24"/>
                <w:lang w:val="ru-RU"/>
              </w:rPr>
            </w:pPr>
            <w:r>
              <w:rPr>
                <w:sz w:val="24"/>
                <w:szCs w:val="24"/>
                <w:lang w:val="ru-RU"/>
              </w:rPr>
              <w:lastRenderedPageBreak/>
              <w:t>Затратный</w:t>
            </w:r>
          </w:p>
        </w:tc>
        <w:tc>
          <w:tcPr>
            <w:tcW w:w="2414" w:type="dxa"/>
          </w:tcPr>
          <w:p w14:paraId="145A6444" w14:textId="77777777" w:rsidR="00026423" w:rsidRPr="00546C12" w:rsidRDefault="00026423" w:rsidP="00A648EF">
            <w:pPr>
              <w:spacing w:before="2" w:line="360" w:lineRule="auto"/>
              <w:ind w:right="145"/>
              <w:rPr>
                <w:sz w:val="24"/>
                <w:szCs w:val="24"/>
                <w:lang w:val="ru-RU"/>
              </w:rPr>
            </w:pPr>
            <w:r>
              <w:rPr>
                <w:sz w:val="24"/>
                <w:szCs w:val="24"/>
                <w:lang w:val="ru-RU"/>
              </w:rPr>
              <w:t>Пригоден в случаях, когда не сработали другие подходы</w:t>
            </w:r>
          </w:p>
        </w:tc>
        <w:tc>
          <w:tcPr>
            <w:tcW w:w="2796" w:type="dxa"/>
          </w:tcPr>
          <w:p w14:paraId="6AC55240" w14:textId="77777777" w:rsidR="00026423" w:rsidRPr="00546C12" w:rsidRDefault="00026423" w:rsidP="00A648EF">
            <w:pPr>
              <w:spacing w:before="2" w:line="360" w:lineRule="auto"/>
              <w:ind w:right="145"/>
              <w:rPr>
                <w:sz w:val="24"/>
                <w:szCs w:val="24"/>
                <w:lang w:val="ru-RU"/>
              </w:rPr>
            </w:pPr>
            <w:r>
              <w:rPr>
                <w:sz w:val="24"/>
                <w:szCs w:val="24"/>
                <w:lang w:val="ru-RU"/>
              </w:rPr>
              <w:t>Систематически занижает стоимость компаний, чья ценность создается неосязаемыми факторами роста, а не балансовыми активами</w:t>
            </w:r>
          </w:p>
        </w:tc>
        <w:tc>
          <w:tcPr>
            <w:tcW w:w="2898" w:type="dxa"/>
          </w:tcPr>
          <w:p w14:paraId="2EF16161" w14:textId="77777777" w:rsidR="00026423" w:rsidRPr="00546C12" w:rsidRDefault="00026423" w:rsidP="00A648EF">
            <w:pPr>
              <w:spacing w:before="2" w:line="360" w:lineRule="auto"/>
              <w:ind w:right="145"/>
              <w:rPr>
                <w:sz w:val="24"/>
                <w:szCs w:val="24"/>
                <w:lang w:val="ru-RU"/>
              </w:rPr>
            </w:pPr>
            <w:r>
              <w:rPr>
                <w:sz w:val="24"/>
                <w:szCs w:val="24"/>
                <w:lang w:val="ru-RU"/>
              </w:rPr>
              <w:t>Холдинговые структуры, компании на стадии ликвидации/банкротства – компании, не растущие на пути к капиталу</w:t>
            </w:r>
          </w:p>
        </w:tc>
      </w:tr>
    </w:tbl>
    <w:p w14:paraId="71980ACD" w14:textId="512064D7" w:rsidR="00026423" w:rsidRPr="00F81650" w:rsidRDefault="00026423" w:rsidP="00026423">
      <w:pPr>
        <w:pBdr>
          <w:top w:val="nil"/>
          <w:left w:val="nil"/>
          <w:bottom w:val="nil"/>
          <w:right w:val="nil"/>
          <w:between w:val="nil"/>
        </w:pBdr>
        <w:spacing w:before="2" w:line="360" w:lineRule="auto"/>
        <w:ind w:right="145"/>
        <w:rPr>
          <w:sz w:val="24"/>
          <w:szCs w:val="24"/>
          <w:lang w:val="ru-RU"/>
        </w:rPr>
      </w:pPr>
      <w:r>
        <w:rPr>
          <w:sz w:val="24"/>
          <w:szCs w:val="24"/>
          <w:lang w:val="ru-RU"/>
        </w:rPr>
        <w:t>Источник</w:t>
      </w:r>
      <w:r w:rsidRPr="005D7CE1">
        <w:rPr>
          <w:sz w:val="24"/>
          <w:szCs w:val="24"/>
          <w:lang w:val="ru-RU"/>
        </w:rPr>
        <w:t xml:space="preserve">: </w:t>
      </w:r>
      <w:r>
        <w:rPr>
          <w:sz w:val="24"/>
          <w:szCs w:val="24"/>
          <w:lang w:val="ru-RU"/>
        </w:rPr>
        <w:t>составлено автором</w:t>
      </w:r>
      <w:r w:rsidR="005D7CE1">
        <w:rPr>
          <w:sz w:val="24"/>
          <w:szCs w:val="24"/>
          <w:lang w:val="ru-RU"/>
        </w:rPr>
        <w:t xml:space="preserve"> на основе ФСО №8 и прикладной литературы по оценке бизнеса</w:t>
      </w:r>
      <w:r w:rsidR="00F81650" w:rsidRPr="00F81650">
        <w:rPr>
          <w:sz w:val="24"/>
          <w:szCs w:val="24"/>
          <w:lang w:val="ru-RU"/>
        </w:rPr>
        <w:t>.</w:t>
      </w:r>
    </w:p>
    <w:p w14:paraId="717D5BFE" w14:textId="39AB80CA" w:rsidR="000C0B43" w:rsidRPr="000C0B43" w:rsidRDefault="00AB035F" w:rsidP="000C0B43">
      <w:pPr>
        <w:pBdr>
          <w:top w:val="nil"/>
          <w:left w:val="nil"/>
          <w:bottom w:val="nil"/>
          <w:right w:val="nil"/>
          <w:between w:val="nil"/>
        </w:pBdr>
        <w:spacing w:before="2" w:line="360" w:lineRule="auto"/>
        <w:ind w:left="140" w:right="145" w:firstLine="708"/>
        <w:jc w:val="both"/>
        <w:rPr>
          <w:sz w:val="28"/>
          <w:szCs w:val="28"/>
          <w:lang w:val="ru-RU"/>
        </w:rPr>
      </w:pPr>
      <w:r w:rsidRPr="00AB035F">
        <w:rPr>
          <w:sz w:val="28"/>
          <w:szCs w:val="28"/>
          <w:lang w:val="ru-RU"/>
        </w:rPr>
        <w:t>Эта иерархия заслуживает не констатации, а содержательной интерпретации применительно к объекту настоящего исследования. Ограничение сравнительного подхода носит не количественный, а структурный характер</w:t>
      </w:r>
      <w:r w:rsidR="000C0B43">
        <w:rPr>
          <w:sz w:val="28"/>
          <w:szCs w:val="28"/>
          <w:lang w:val="ru-RU"/>
        </w:rPr>
        <w:t>.</w:t>
      </w:r>
      <w:r w:rsidRPr="00AB035F">
        <w:rPr>
          <w:sz w:val="28"/>
          <w:szCs w:val="28"/>
          <w:lang w:val="ru-RU"/>
        </w:rPr>
        <w:t xml:space="preserve"> </w:t>
      </w:r>
      <w:r w:rsidR="000C0B43">
        <w:rPr>
          <w:sz w:val="28"/>
          <w:szCs w:val="28"/>
          <w:lang w:val="ru-RU"/>
        </w:rPr>
        <w:t>О</w:t>
      </w:r>
      <w:r w:rsidRPr="00AB035F">
        <w:rPr>
          <w:sz w:val="28"/>
          <w:szCs w:val="28"/>
          <w:lang w:val="ru-RU"/>
        </w:rPr>
        <w:t xml:space="preserve">н предполагает наличие раскрытых, сопоставимых сделок с долями компаний-аналогов — условие, которое для компании на любом из этапов привлечения институционального капитала, от венчурного раунда до pre-IPO, не выполняется почти по определению, поскольку сделки с долями таких компаний либо не раскрываются вовсе, либо раскрываются в объёме, недостаточном для очистки от специфики конкретной сделки. </w:t>
      </w:r>
      <w:r w:rsidR="000C0B43" w:rsidRPr="000C0B43">
        <w:rPr>
          <w:sz w:val="28"/>
          <w:szCs w:val="28"/>
          <w:lang w:val="ru-RU"/>
        </w:rPr>
        <w:t>Сам выбор компании-аналога представляет собой отдельную методическую сложность, даже когда рыночные данные в принципе доступны: аналог должен быть сопоставим одновременно по отрасли, масштабу деятельности, стадии жизненного цикла, темпам роста и структуре капитала — и полное совпадение по всем этим критериям на практике недостижимо</w:t>
      </w:r>
      <w:r w:rsidR="000C0B43">
        <w:rPr>
          <w:rStyle w:val="a7"/>
          <w:sz w:val="28"/>
          <w:szCs w:val="28"/>
          <w:lang w:val="ru-RU"/>
        </w:rPr>
        <w:footnoteReference w:id="115"/>
      </w:r>
      <w:r w:rsidR="000C0B43" w:rsidRPr="000C0B43">
        <w:rPr>
          <w:sz w:val="28"/>
          <w:szCs w:val="28"/>
          <w:lang w:val="ru-RU"/>
        </w:rPr>
        <w:t>, что делает результат сравнительного подхода дополнительно чувствительным к субъективному выбору оценщика ещё до того, как встаёт вопрос о неполноте данных по самим сделкам.</w:t>
      </w:r>
    </w:p>
    <w:p w14:paraId="713F1F40" w14:textId="77777777" w:rsidR="000C0B43" w:rsidRPr="000C0B43" w:rsidRDefault="000C0B43" w:rsidP="000C0B43">
      <w:pPr>
        <w:pBdr>
          <w:top w:val="nil"/>
          <w:left w:val="nil"/>
          <w:bottom w:val="nil"/>
          <w:right w:val="nil"/>
          <w:between w:val="nil"/>
        </w:pBdr>
        <w:spacing w:before="2" w:line="360" w:lineRule="auto"/>
        <w:ind w:left="140" w:right="145" w:firstLine="708"/>
        <w:jc w:val="both"/>
        <w:rPr>
          <w:sz w:val="28"/>
          <w:szCs w:val="28"/>
          <w:lang w:val="ru-RU"/>
        </w:rPr>
      </w:pPr>
    </w:p>
    <w:p w14:paraId="7FA22912" w14:textId="6DD41810" w:rsidR="000C0B43" w:rsidRDefault="000C0B43" w:rsidP="005F2493">
      <w:pPr>
        <w:pBdr>
          <w:top w:val="nil"/>
          <w:left w:val="nil"/>
          <w:bottom w:val="nil"/>
          <w:right w:val="nil"/>
          <w:between w:val="nil"/>
        </w:pBdr>
        <w:spacing w:before="2" w:line="360" w:lineRule="auto"/>
        <w:ind w:left="140" w:right="145" w:firstLine="708"/>
        <w:jc w:val="both"/>
        <w:rPr>
          <w:sz w:val="28"/>
          <w:szCs w:val="28"/>
          <w:lang w:val="ru-RU"/>
        </w:rPr>
      </w:pPr>
    </w:p>
    <w:p w14:paraId="576D679A" w14:textId="0A552612" w:rsidR="00AB035F" w:rsidRDefault="00AB035F" w:rsidP="005F2493">
      <w:pPr>
        <w:pBdr>
          <w:top w:val="nil"/>
          <w:left w:val="nil"/>
          <w:bottom w:val="nil"/>
          <w:right w:val="nil"/>
          <w:between w:val="nil"/>
        </w:pBdr>
        <w:spacing w:before="2" w:line="360" w:lineRule="auto"/>
        <w:ind w:left="140" w:right="145" w:firstLine="708"/>
        <w:jc w:val="both"/>
        <w:rPr>
          <w:sz w:val="28"/>
          <w:szCs w:val="28"/>
          <w:lang w:val="ru-RU"/>
        </w:rPr>
      </w:pPr>
      <w:r w:rsidRPr="00AB035F">
        <w:rPr>
          <w:sz w:val="28"/>
          <w:szCs w:val="28"/>
          <w:lang w:val="ru-RU"/>
        </w:rPr>
        <w:t xml:space="preserve">Затратный подход содержательно пригоден для компаний, стоимость </w:t>
      </w:r>
      <w:r w:rsidRPr="00AB035F">
        <w:rPr>
          <w:sz w:val="28"/>
          <w:szCs w:val="28"/>
          <w:lang w:val="ru-RU"/>
        </w:rPr>
        <w:lastRenderedPageBreak/>
        <w:t>которых определяется главным образом накопленными активами (холдинговые структуры, компании на стадии ликвидации), но систематически занижает стоимость компаний, чья ценность создаётся неосязаемыми факторами роста — клиентской базой, технологией, командой, — то есть именно тем типом компаний, который чаще всего проходит путь привлечения капитала на растущем этапе жизненного цикла. Из трёх подходов для объекта настоящего исследования содержательно пригоден практически только доходный на всей длине этого пути — что не снимает, а обостряет методическую проблему, обозначенную выше применительно к WACC и терминальной стоимости: единственный применимый инструмент оказывается и наиболее чувствительным к необоснованным допущениям.</w:t>
      </w:r>
    </w:p>
    <w:p w14:paraId="54E95D5B" w14:textId="447ADF4D" w:rsidR="00AB035F" w:rsidRDefault="00AB035F" w:rsidP="005F2493">
      <w:pPr>
        <w:pBdr>
          <w:top w:val="nil"/>
          <w:left w:val="nil"/>
          <w:bottom w:val="nil"/>
          <w:right w:val="nil"/>
          <w:between w:val="nil"/>
        </w:pBdr>
        <w:spacing w:before="2" w:line="360" w:lineRule="auto"/>
        <w:ind w:left="140" w:right="145" w:firstLine="708"/>
        <w:jc w:val="both"/>
        <w:rPr>
          <w:sz w:val="28"/>
          <w:szCs w:val="28"/>
          <w:lang w:val="ru-RU"/>
        </w:rPr>
      </w:pPr>
      <w:r w:rsidRPr="00AB035F">
        <w:rPr>
          <w:sz w:val="28"/>
          <w:szCs w:val="28"/>
          <w:lang w:val="ru-RU"/>
        </w:rPr>
        <w:t>В отечественной научной традиции наиболее последовательное развитие идеи стоимости как стратегической цели принадлежит И.В. Ивашковской, Т.В. Теплов</w:t>
      </w:r>
      <w:r>
        <w:rPr>
          <w:sz w:val="28"/>
          <w:szCs w:val="28"/>
          <w:lang w:val="ru-RU"/>
        </w:rPr>
        <w:t xml:space="preserve">ой и </w:t>
      </w:r>
      <w:r w:rsidRPr="00AB035F">
        <w:rPr>
          <w:sz w:val="28"/>
          <w:szCs w:val="28"/>
          <w:lang w:val="ru-RU"/>
        </w:rPr>
        <w:t>И.В. Косоруков</w:t>
      </w:r>
      <w:r>
        <w:rPr>
          <w:sz w:val="28"/>
          <w:szCs w:val="28"/>
          <w:lang w:val="ru-RU"/>
        </w:rPr>
        <w:t xml:space="preserve">ой. И.В. Ивашковская </w:t>
      </w:r>
      <w:r w:rsidRPr="00AB035F">
        <w:rPr>
          <w:sz w:val="28"/>
          <w:szCs w:val="28"/>
          <w:lang w:val="ru-RU"/>
        </w:rPr>
        <w:t>расшири</w:t>
      </w:r>
      <w:r>
        <w:rPr>
          <w:sz w:val="28"/>
          <w:szCs w:val="28"/>
          <w:lang w:val="ru-RU"/>
        </w:rPr>
        <w:t>ла</w:t>
      </w:r>
      <w:r w:rsidRPr="00AB035F">
        <w:rPr>
          <w:sz w:val="28"/>
          <w:szCs w:val="28"/>
          <w:lang w:val="ru-RU"/>
        </w:rPr>
        <w:t xml:space="preserve"> рамку VBM вопросом стратегической ответственности совета директоров — то есть перен</w:t>
      </w:r>
      <w:r>
        <w:rPr>
          <w:sz w:val="28"/>
          <w:szCs w:val="28"/>
          <w:lang w:val="ru-RU"/>
        </w:rPr>
        <w:t>есла</w:t>
      </w:r>
      <w:r w:rsidRPr="00AB035F">
        <w:rPr>
          <w:sz w:val="28"/>
          <w:szCs w:val="28"/>
          <w:lang w:val="ru-RU"/>
        </w:rPr>
        <w:t xml:space="preserve"> проблему из расчётной плоскости в плоскость корпоративного управления</w:t>
      </w:r>
      <w:r>
        <w:rPr>
          <w:rStyle w:val="a7"/>
          <w:sz w:val="28"/>
          <w:szCs w:val="28"/>
          <w:lang w:val="ru-RU"/>
        </w:rPr>
        <w:footnoteReference w:id="116"/>
      </w:r>
      <w:r w:rsidRPr="00AB035F">
        <w:rPr>
          <w:sz w:val="28"/>
          <w:szCs w:val="28"/>
          <w:lang w:val="ru-RU"/>
        </w:rPr>
        <w:t>. Т.В. Теплова на материале практики российских предприятий показала, что инвестиционные рычаги максимизации стоимости работают различно в зависимости от отраслевой и институциональной специфики компании, а перенос западных моделей без такой калибровки систематически искажает результат оценки</w:t>
      </w:r>
      <w:r>
        <w:rPr>
          <w:rStyle w:val="a7"/>
          <w:sz w:val="28"/>
          <w:szCs w:val="28"/>
          <w:lang w:val="ru-RU"/>
        </w:rPr>
        <w:footnoteReference w:id="117"/>
      </w:r>
      <w:r w:rsidRPr="00AB035F">
        <w:rPr>
          <w:sz w:val="28"/>
          <w:szCs w:val="28"/>
          <w:lang w:val="ru-RU"/>
        </w:rPr>
        <w:t>. И.В. Косорукова в диссертационном исследовании, посвящённом развитию теории, методологии и практики оценки стоимости бизнеса, показала, что действующая методология оценки в России сохраняет значительный элемент экспертного, необоснованного выбора на этапе согласования результатов, полученных разными подходами, — то есть проблема экспертного произвола воспроизводится и на уровне итогового согласования стоимости, а не только на уровне отдельных её компонентов</w:t>
      </w:r>
      <w:r w:rsidR="00EE5864">
        <w:rPr>
          <w:rStyle w:val="a7"/>
          <w:sz w:val="28"/>
          <w:szCs w:val="28"/>
          <w:lang w:val="ru-RU"/>
        </w:rPr>
        <w:footnoteReference w:id="118"/>
      </w:r>
      <w:r w:rsidRPr="00AB035F">
        <w:rPr>
          <w:sz w:val="28"/>
          <w:szCs w:val="28"/>
          <w:lang w:val="ru-RU"/>
        </w:rPr>
        <w:t>.</w:t>
      </w:r>
    </w:p>
    <w:p w14:paraId="712591CA" w14:textId="014041C9" w:rsidR="00D95677" w:rsidRPr="00C2253D" w:rsidRDefault="00D95677" w:rsidP="005F2493">
      <w:pPr>
        <w:pBdr>
          <w:top w:val="nil"/>
          <w:left w:val="nil"/>
          <w:bottom w:val="nil"/>
          <w:right w:val="nil"/>
          <w:between w:val="nil"/>
        </w:pBdr>
        <w:spacing w:before="2" w:line="360" w:lineRule="auto"/>
        <w:ind w:left="140" w:right="145" w:firstLine="708"/>
        <w:jc w:val="both"/>
        <w:rPr>
          <w:sz w:val="28"/>
          <w:szCs w:val="28"/>
          <w:lang w:val="ru-RU"/>
        </w:rPr>
      </w:pPr>
      <w:r w:rsidRPr="00D95677">
        <w:rPr>
          <w:sz w:val="28"/>
          <w:szCs w:val="28"/>
        </w:rPr>
        <w:t xml:space="preserve">Но и здесь уместна оппонирующая позиция: даже в этой более зрелой </w:t>
      </w:r>
      <w:r w:rsidRPr="00D95677">
        <w:rPr>
          <w:sz w:val="28"/>
          <w:szCs w:val="28"/>
        </w:rPr>
        <w:lastRenderedPageBreak/>
        <w:t>отечественной традиции — расширяющей рамку VBM вопросами стратегической ответственности совета директоров, отраслевой и институциональной калибровки инвестиционных решений, преодоления экспертного произвола при согласовании подходов — конфликт интересов вокруг стоимости компании неявно сводится к классической агентской проблеме принципал-агент: противостоянию менеджмента и акционеров</w:t>
      </w:r>
      <w:r w:rsidR="003D0EA5">
        <w:rPr>
          <w:rStyle w:val="a7"/>
          <w:sz w:val="28"/>
          <w:szCs w:val="28"/>
        </w:rPr>
        <w:footnoteReference w:id="119"/>
      </w:r>
      <w:r w:rsidRPr="00D95677">
        <w:rPr>
          <w:sz w:val="28"/>
          <w:szCs w:val="28"/>
        </w:rPr>
        <w:t xml:space="preserve"> либо мажоритария и миноритария</w:t>
      </w:r>
      <w:r>
        <w:rPr>
          <w:rStyle w:val="a7"/>
          <w:sz w:val="28"/>
          <w:szCs w:val="28"/>
        </w:rPr>
        <w:footnoteReference w:id="120"/>
      </w:r>
      <w:r w:rsidRPr="00D95677">
        <w:rPr>
          <w:sz w:val="28"/>
          <w:szCs w:val="28"/>
        </w:rPr>
        <w:t>. Из поля зрения выпадает третья сторона — институциональный инвестор, который может находиться в капитале компании на одном из этапов её пути к капиталу, задолго до наиболее публичной из возможных точек этого пути — IPO.</w:t>
      </w:r>
    </w:p>
    <w:p w14:paraId="19149FFD" w14:textId="0588C911" w:rsidR="00903C17" w:rsidRPr="00903C17" w:rsidRDefault="002C36C5" w:rsidP="00903C17">
      <w:pPr>
        <w:pBdr>
          <w:top w:val="nil"/>
          <w:left w:val="nil"/>
          <w:bottom w:val="nil"/>
          <w:right w:val="nil"/>
          <w:between w:val="nil"/>
        </w:pBdr>
        <w:spacing w:before="2" w:line="360" w:lineRule="auto"/>
        <w:ind w:left="140" w:right="145" w:firstLine="708"/>
        <w:jc w:val="both"/>
        <w:rPr>
          <w:sz w:val="28"/>
          <w:szCs w:val="28"/>
          <w:lang w:val="ru-RU"/>
        </w:rPr>
      </w:pPr>
      <w:r w:rsidRPr="002C36C5">
        <w:rPr>
          <w:sz w:val="28"/>
          <w:szCs w:val="28"/>
        </w:rPr>
        <w:t xml:space="preserve">Между тем присутствие в капитале институционального инвестора — венчурного фонда, фонда прямых инвестиций, суверенного фонда, стратегического финансового партнёра — интуитивно воспринимается рынком и самой компанией как знак качества: раз профессиональный инвестор проверил бизнес и вложился, значит, оценке можно доверять. Это допущение ошибочно. Инвестор, войдя в капитал, проверяет операционный бизнес один раз — на входе. А параметры будущей продажи или следующего раунда — тот самый мультипликатор или темп роста, которые определят итоговую стоимость на выходе, — формирует он же, и от их величины напрямую зависит доходность его собственных вложений. Тщательная проверка бизнеса на входе никак не гарантирует объективность прогноза на выходе — наоборот, у инвестора появляется прямой стимул завышать именно те параметры, которые </w:t>
      </w:r>
      <w:r>
        <w:rPr>
          <w:sz w:val="28"/>
          <w:szCs w:val="28"/>
          <w:lang w:val="ru-RU"/>
        </w:rPr>
        <w:t xml:space="preserve">он </w:t>
      </w:r>
      <w:r w:rsidRPr="002C36C5">
        <w:rPr>
          <w:sz w:val="28"/>
          <w:szCs w:val="28"/>
        </w:rPr>
        <w:t>сам же и рассчитывает.</w:t>
      </w:r>
      <w:r w:rsidR="00903C17">
        <w:rPr>
          <w:sz w:val="28"/>
          <w:szCs w:val="28"/>
          <w:lang w:val="ru-RU"/>
        </w:rPr>
        <w:t xml:space="preserve"> </w:t>
      </w:r>
      <w:r w:rsidR="00903C17" w:rsidRPr="00903C17">
        <w:rPr>
          <w:sz w:val="28"/>
          <w:szCs w:val="28"/>
          <w:lang w:val="ru-RU"/>
        </w:rPr>
        <w:t>Эмпирическая иллюстрация данного конфликта на материале собственной профессиональной практики автора приводится в главе 2 настоящей работы, при разборе кейса компании, привлекавшей институциональный капитал на этапе фондов прямых инвестиций (§2.4).</w:t>
      </w:r>
    </w:p>
    <w:p w14:paraId="4E5F321B" w14:textId="2B52430B" w:rsidR="00903C17" w:rsidRDefault="00B64E7F" w:rsidP="005F2493">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Данного рода </w:t>
      </w:r>
      <w:r w:rsidR="00C51628" w:rsidRPr="00C51628">
        <w:rPr>
          <w:sz w:val="28"/>
          <w:szCs w:val="28"/>
          <w:lang w:val="ru-RU"/>
        </w:rPr>
        <w:t>конфликт</w:t>
      </w:r>
      <w:r>
        <w:rPr>
          <w:sz w:val="28"/>
          <w:szCs w:val="28"/>
          <w:lang w:val="ru-RU"/>
        </w:rPr>
        <w:t xml:space="preserve"> имеет другую природу, поскольку</w:t>
      </w:r>
      <w:r w:rsidR="00C51628" w:rsidRPr="00C51628">
        <w:rPr>
          <w:sz w:val="28"/>
          <w:szCs w:val="28"/>
          <w:lang w:val="ru-RU"/>
        </w:rPr>
        <w:t xml:space="preserve"> возникает не между управляющим и владельцем, а внутри самой оценки будущего выхода — между инвестором, участвующим в формировании прогнозной модели, и будущим </w:t>
      </w:r>
      <w:r w:rsidR="00C51628" w:rsidRPr="00C51628">
        <w:rPr>
          <w:sz w:val="28"/>
          <w:szCs w:val="28"/>
          <w:lang w:val="ru-RU"/>
        </w:rPr>
        <w:lastRenderedPageBreak/>
        <w:t xml:space="preserve">анонимным розничным или институциональным покупателем (следующим раундом или биржей), который этой модели не видел и не участвовал в её калибровке. </w:t>
      </w:r>
      <w:r w:rsidR="00CA60D1" w:rsidRPr="00CA60D1">
        <w:rPr>
          <w:sz w:val="28"/>
          <w:szCs w:val="28"/>
        </w:rPr>
        <w:t>Смежное наблюдение о структурной заинтересованности венчурных и private equity-инвесторов в защите оценки предыдущего раунда зафиксировано применительно к практике down-round avoidance и ratchet-механизмов</w:t>
      </w:r>
      <w:r w:rsidR="00CA60D1">
        <w:rPr>
          <w:rStyle w:val="a7"/>
          <w:sz w:val="28"/>
          <w:szCs w:val="28"/>
        </w:rPr>
        <w:footnoteReference w:id="121"/>
      </w:r>
      <w:r w:rsidR="00CA60D1" w:rsidRPr="00CA60D1">
        <w:rPr>
          <w:sz w:val="28"/>
          <w:szCs w:val="28"/>
        </w:rPr>
        <w:t>: условие, зафиксированное на одном частном раунде, компенсирует инвестору дополнительными акциями любое последующее снижение цены — в том числе и саму цену IPO, если она окажется ниже оговорённого порога, как это произошло, например, при размещении Square (Block Inc.) в 2015 году, когда IPO прошло по оценке вдвое ниже последнего частного раунда</w:t>
      </w:r>
      <w:r w:rsidR="001F5CBE">
        <w:rPr>
          <w:rStyle w:val="a7"/>
          <w:sz w:val="28"/>
          <w:szCs w:val="28"/>
        </w:rPr>
        <w:footnoteReference w:id="122"/>
      </w:r>
      <w:r w:rsidR="00CA60D1" w:rsidRPr="00CA60D1">
        <w:rPr>
          <w:sz w:val="28"/>
          <w:szCs w:val="28"/>
        </w:rPr>
        <w:t>. Это явление того же класса, что описано выше, но иного механизма: ratchet — компенсация задним числом, наступающая уже после того, как более низкая цена зафиксирована рынком, тогда как в приведённом кейсе искажению подвергается сам прогноз — оценка ещё не подтверждённого рынком будущего выхода, формируемая до того, как какая-либо рыночная цена вообще существует.</w:t>
      </w:r>
      <w:r w:rsidR="003677BB">
        <w:rPr>
          <w:sz w:val="28"/>
          <w:szCs w:val="28"/>
          <w:lang w:val="ru-RU"/>
        </w:rPr>
        <w:t xml:space="preserve"> </w:t>
      </w:r>
      <w:r w:rsidR="003677BB" w:rsidRPr="003677BB">
        <w:rPr>
          <w:sz w:val="28"/>
          <w:szCs w:val="28"/>
        </w:rPr>
        <w:t>Механизм данного конфликта схематично представлен на рисунке 1.</w:t>
      </w:r>
      <w:r w:rsidR="003677BB">
        <w:rPr>
          <w:sz w:val="28"/>
          <w:szCs w:val="28"/>
          <w:lang w:val="ru-RU"/>
        </w:rPr>
        <w:t>1</w:t>
      </w:r>
      <w:r w:rsidR="003677BB" w:rsidRPr="003677BB">
        <w:rPr>
          <w:sz w:val="28"/>
          <w:szCs w:val="28"/>
        </w:rPr>
        <w:t>.</w:t>
      </w:r>
    </w:p>
    <w:p w14:paraId="14C55281" w14:textId="2E326E29" w:rsidR="003677BB" w:rsidRDefault="003677BB" w:rsidP="003677BB">
      <w:pPr>
        <w:pBdr>
          <w:top w:val="nil"/>
          <w:left w:val="nil"/>
          <w:bottom w:val="nil"/>
          <w:right w:val="nil"/>
          <w:between w:val="nil"/>
        </w:pBdr>
        <w:spacing w:before="2" w:line="360" w:lineRule="auto"/>
        <w:ind w:left="140" w:right="145"/>
        <w:jc w:val="both"/>
        <w:rPr>
          <w:sz w:val="28"/>
          <w:szCs w:val="28"/>
          <w:lang w:val="ru-RU"/>
        </w:rPr>
      </w:pPr>
      <w:r w:rsidRPr="003677BB">
        <w:rPr>
          <w:sz w:val="28"/>
          <w:szCs w:val="28"/>
        </w:rPr>
        <w:t>Рисунок 1.</w:t>
      </w:r>
      <w:r>
        <w:rPr>
          <w:sz w:val="28"/>
          <w:szCs w:val="28"/>
          <w:lang w:val="ru-RU"/>
        </w:rPr>
        <w:t>1</w:t>
      </w:r>
      <w:r w:rsidRPr="003677BB">
        <w:rPr>
          <w:sz w:val="28"/>
          <w:szCs w:val="28"/>
        </w:rPr>
        <w:t xml:space="preserve"> – Конфликт интересов инвестора-архитектора выхода: асимметрия допущений на входе и выходе одной и той же сделки</w:t>
      </w:r>
    </w:p>
    <w:p w14:paraId="3B330C1E" w14:textId="77777777" w:rsidR="003677BB" w:rsidRDefault="003677BB" w:rsidP="003677BB">
      <w:pPr>
        <w:pBdr>
          <w:top w:val="nil"/>
          <w:left w:val="nil"/>
          <w:bottom w:val="nil"/>
          <w:right w:val="nil"/>
          <w:between w:val="nil"/>
        </w:pBdr>
        <w:spacing w:before="2" w:line="360" w:lineRule="auto"/>
        <w:ind w:left="140" w:right="145"/>
        <w:jc w:val="both"/>
        <w:rPr>
          <w:noProof/>
          <w:sz w:val="28"/>
          <w:szCs w:val="28"/>
          <w:lang w:val="ru-RU"/>
        </w:rPr>
      </w:pPr>
    </w:p>
    <w:p w14:paraId="4AECD782" w14:textId="77777777" w:rsidR="003677BB" w:rsidRDefault="003677BB" w:rsidP="003677BB">
      <w:pPr>
        <w:pBdr>
          <w:top w:val="nil"/>
          <w:left w:val="nil"/>
          <w:bottom w:val="nil"/>
          <w:right w:val="nil"/>
          <w:between w:val="nil"/>
        </w:pBdr>
        <w:spacing w:before="2" w:line="360" w:lineRule="auto"/>
        <w:ind w:left="140" w:right="145"/>
        <w:jc w:val="both"/>
        <w:rPr>
          <w:noProof/>
          <w:sz w:val="28"/>
          <w:szCs w:val="28"/>
          <w:lang w:val="ru-RU"/>
        </w:rPr>
      </w:pPr>
    </w:p>
    <w:p w14:paraId="520B0A94" w14:textId="3AE0536A" w:rsidR="003677BB" w:rsidRDefault="003677BB" w:rsidP="003677BB">
      <w:pPr>
        <w:pBdr>
          <w:top w:val="nil"/>
          <w:left w:val="nil"/>
          <w:bottom w:val="nil"/>
          <w:right w:val="nil"/>
          <w:between w:val="nil"/>
        </w:pBdr>
        <w:spacing w:before="2" w:line="360" w:lineRule="auto"/>
        <w:ind w:left="140" w:right="145"/>
        <w:jc w:val="both"/>
        <w:rPr>
          <w:sz w:val="28"/>
          <w:szCs w:val="28"/>
          <w:lang w:val="ru-RU"/>
        </w:rPr>
      </w:pPr>
      <w:r>
        <w:rPr>
          <w:noProof/>
          <w:sz w:val="28"/>
          <w:szCs w:val="28"/>
          <w:lang w:val="ru-RU" w:eastAsia="ru-RU"/>
        </w:rPr>
        <w:lastRenderedPageBreak/>
        <w:drawing>
          <wp:inline distT="0" distB="0" distL="0" distR="0" wp14:anchorId="1FA98246" wp14:editId="752B4C6F">
            <wp:extent cx="6303298" cy="3618560"/>
            <wp:effectExtent l="0" t="0" r="2540" b="1270"/>
            <wp:docPr id="174427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85" t="42537" r="185" b="31759"/>
                    <a:stretch>
                      <a:fillRect/>
                    </a:stretch>
                  </pic:blipFill>
                  <pic:spPr bwMode="auto">
                    <a:xfrm>
                      <a:off x="0" y="0"/>
                      <a:ext cx="6337729" cy="3638326"/>
                    </a:xfrm>
                    <a:prstGeom prst="rect">
                      <a:avLst/>
                    </a:prstGeom>
                    <a:noFill/>
                    <a:ln>
                      <a:noFill/>
                    </a:ln>
                    <a:extLst>
                      <a:ext uri="{53640926-AAD7-44D8-BBD7-CCE9431645EC}">
                        <a14:shadowObscured xmlns:a14="http://schemas.microsoft.com/office/drawing/2010/main"/>
                      </a:ext>
                    </a:extLst>
                  </pic:spPr>
                </pic:pic>
              </a:graphicData>
            </a:graphic>
          </wp:inline>
        </w:drawing>
      </w:r>
    </w:p>
    <w:p w14:paraId="7C08E35C" w14:textId="7BF9406E" w:rsidR="003677BB" w:rsidRPr="003677BB" w:rsidRDefault="003677BB" w:rsidP="003677BB">
      <w:pPr>
        <w:pBdr>
          <w:top w:val="nil"/>
          <w:left w:val="nil"/>
          <w:bottom w:val="nil"/>
          <w:right w:val="nil"/>
          <w:between w:val="nil"/>
        </w:pBdr>
        <w:spacing w:before="2" w:line="360" w:lineRule="auto"/>
        <w:ind w:left="140" w:right="145"/>
        <w:jc w:val="both"/>
        <w:rPr>
          <w:sz w:val="28"/>
          <w:szCs w:val="28"/>
          <w:lang w:val="ru-RU"/>
        </w:rPr>
      </w:pPr>
      <w:r>
        <w:rPr>
          <w:sz w:val="28"/>
          <w:szCs w:val="28"/>
          <w:lang w:val="ru-RU"/>
        </w:rPr>
        <w:t>Источник</w:t>
      </w:r>
      <w:r w:rsidRPr="003677BB">
        <w:rPr>
          <w:sz w:val="28"/>
          <w:szCs w:val="28"/>
          <w:lang w:val="ru-RU"/>
        </w:rPr>
        <w:t xml:space="preserve">: </w:t>
      </w:r>
      <w:r>
        <w:rPr>
          <w:sz w:val="28"/>
          <w:szCs w:val="28"/>
          <w:lang w:val="ru-RU"/>
        </w:rPr>
        <w:t>составлено автором.</w:t>
      </w:r>
    </w:p>
    <w:p w14:paraId="3FACDF46" w14:textId="4CA3E9BA" w:rsidR="001F5CBE" w:rsidRPr="001F5CBE" w:rsidRDefault="001F5CBE" w:rsidP="001F5CBE">
      <w:pPr>
        <w:pBdr>
          <w:top w:val="nil"/>
          <w:left w:val="nil"/>
          <w:bottom w:val="nil"/>
          <w:right w:val="nil"/>
          <w:between w:val="nil"/>
        </w:pBdr>
        <w:spacing w:before="2" w:line="360" w:lineRule="auto"/>
        <w:ind w:left="140" w:right="145" w:firstLine="708"/>
        <w:jc w:val="both"/>
        <w:rPr>
          <w:sz w:val="28"/>
          <w:szCs w:val="28"/>
          <w:lang w:val="ru-RU"/>
        </w:rPr>
      </w:pPr>
      <w:r w:rsidRPr="001F5CBE">
        <w:rPr>
          <w:sz w:val="28"/>
          <w:szCs w:val="28"/>
          <w:lang w:val="ru-RU"/>
        </w:rPr>
        <w:t xml:space="preserve">Предлагается обозначить данное явление как конфликт интересов инвестора-архитектора выхода (exit-architect conflict): </w:t>
      </w:r>
      <w:r w:rsidR="000456F5" w:rsidRPr="000456F5">
        <w:rPr>
          <w:sz w:val="28"/>
          <w:szCs w:val="28"/>
        </w:rPr>
        <w:t>искажение прогнозных допущений при подготовке к выходу из капитала вызван</w:t>
      </w:r>
      <w:r w:rsidR="000456F5">
        <w:rPr>
          <w:sz w:val="28"/>
          <w:szCs w:val="28"/>
          <w:lang w:val="ru-RU"/>
        </w:rPr>
        <w:t>о</w:t>
      </w:r>
      <w:r w:rsidR="000456F5" w:rsidRPr="000456F5">
        <w:rPr>
          <w:sz w:val="28"/>
          <w:szCs w:val="28"/>
        </w:rPr>
        <w:t xml:space="preserve"> тем, что их задаёт тот же инвестор, который выиграет от их завышения. Это может происходить на любом этапе пути компании к капиталу. Тот, для кого в итоге формируется цена</w:t>
      </w:r>
      <w:r w:rsidR="000456F5">
        <w:rPr>
          <w:sz w:val="28"/>
          <w:szCs w:val="28"/>
          <w:lang w:val="ru-RU"/>
        </w:rPr>
        <w:t>, будь то</w:t>
      </w:r>
      <w:r w:rsidR="000456F5" w:rsidRPr="000456F5">
        <w:rPr>
          <w:sz w:val="28"/>
          <w:szCs w:val="28"/>
        </w:rPr>
        <w:t xml:space="preserve"> следующий инвестор или биржа, в расчёте этих допущений не участвует вовсе.</w:t>
      </w:r>
      <w:r w:rsidR="000456F5">
        <w:rPr>
          <w:sz w:val="28"/>
          <w:szCs w:val="28"/>
          <w:lang w:val="ru-RU"/>
        </w:rPr>
        <w:t xml:space="preserve"> </w:t>
      </w:r>
      <w:r w:rsidRPr="001F5CBE">
        <w:rPr>
          <w:sz w:val="28"/>
          <w:szCs w:val="28"/>
          <w:lang w:val="ru-RU"/>
        </w:rPr>
        <w:t>Данное наблюдение отличается от изученных в литературе моделей информационной асимметрии на этапе самого IPO тем, что действует не в момент ценообразования конкретной сделки, а раньше — в момент построения самой финансовой модели, ложащейся в основу будущего инвестиционного меморандума или предложения следующему раунду. Практический вывод из этого наблюдения — методический, а не декларативный: любое прогнозное изменение мультипликатора или ставки на момент выхода должно обосновываться наблюдаемыми, верифицируемыми факторами, а не экспертным консенсусом заинтересованных участников сделки, — этот принцип формализуется в главе 3 настоящей работы и применяется на каждой контрольной точке каскада</w:t>
      </w:r>
      <w:r w:rsidR="001C6A26">
        <w:rPr>
          <w:sz w:val="28"/>
          <w:szCs w:val="28"/>
          <w:lang w:val="ru-RU"/>
        </w:rPr>
        <w:t xml:space="preserve"> привлечения капитала</w:t>
      </w:r>
      <w:r w:rsidRPr="001F5CBE">
        <w:rPr>
          <w:sz w:val="28"/>
          <w:szCs w:val="28"/>
          <w:lang w:val="ru-RU"/>
        </w:rPr>
        <w:t>.</w:t>
      </w:r>
    </w:p>
    <w:p w14:paraId="0F06CEA9" w14:textId="4DCF103A" w:rsidR="004A2450" w:rsidRPr="004A2450" w:rsidRDefault="001F5CBE" w:rsidP="001F5CBE">
      <w:pPr>
        <w:pBdr>
          <w:top w:val="nil"/>
          <w:left w:val="nil"/>
          <w:bottom w:val="nil"/>
          <w:right w:val="nil"/>
          <w:between w:val="nil"/>
        </w:pBdr>
        <w:spacing w:before="2" w:line="360" w:lineRule="auto"/>
        <w:ind w:left="140" w:right="145" w:firstLine="708"/>
        <w:jc w:val="both"/>
        <w:rPr>
          <w:sz w:val="28"/>
          <w:szCs w:val="28"/>
          <w:lang w:val="ru-RU"/>
        </w:rPr>
      </w:pPr>
      <w:r w:rsidRPr="001F5CBE">
        <w:rPr>
          <w:sz w:val="28"/>
          <w:szCs w:val="28"/>
          <w:lang w:val="ru-RU"/>
        </w:rPr>
        <w:t xml:space="preserve">Таким образом, эволюция концепций стоимостно-ориентированного </w:t>
      </w:r>
      <w:r w:rsidRPr="001F5CBE">
        <w:rPr>
          <w:sz w:val="28"/>
          <w:szCs w:val="28"/>
          <w:lang w:val="ru-RU"/>
        </w:rPr>
        <w:lastRenderedPageBreak/>
        <w:t xml:space="preserve">управления — от Раппапорта через Коупленда, Коллера и Муррина, Дамодарана к отечественной школе (Ивашковская, Теплова, Косорукова) — последовательно расширяла понимание того, чья ответственность стоит за стоимостью компании и каким инструментарием эта стоимость измеряется, но не поставила вопрос о том, чья заинтересованность стоит за конкретными числовыми допущениями, формирующими эту стоимость на </w:t>
      </w:r>
      <w:r w:rsidR="003677BB">
        <w:rPr>
          <w:sz w:val="28"/>
          <w:szCs w:val="28"/>
          <w:lang w:val="ru-RU"/>
        </w:rPr>
        <w:t xml:space="preserve">ключевых </w:t>
      </w:r>
      <w:r w:rsidRPr="001F5CBE">
        <w:rPr>
          <w:sz w:val="28"/>
          <w:szCs w:val="28"/>
          <w:lang w:val="ru-RU"/>
        </w:rPr>
        <w:t>этапах</w:t>
      </w:r>
      <w:r w:rsidR="003677BB">
        <w:rPr>
          <w:sz w:val="28"/>
          <w:szCs w:val="28"/>
          <w:lang w:val="ru-RU"/>
        </w:rPr>
        <w:t xml:space="preserve"> привлечения капитала</w:t>
      </w:r>
      <w:r w:rsidRPr="001F5CBE">
        <w:rPr>
          <w:sz w:val="28"/>
          <w:szCs w:val="28"/>
          <w:lang w:val="ru-RU"/>
        </w:rPr>
        <w:t xml:space="preserve">. </w:t>
      </w:r>
      <w:r w:rsidR="004A2450">
        <w:rPr>
          <w:sz w:val="28"/>
          <w:szCs w:val="28"/>
          <w:lang w:val="ru-RU"/>
        </w:rPr>
        <w:t>Обощенно описанная эволюция концепций стоимостно-ориентированного управления представлена на рисунке 1.</w:t>
      </w:r>
      <w:r w:rsidR="003677BB">
        <w:rPr>
          <w:sz w:val="28"/>
          <w:szCs w:val="28"/>
          <w:lang w:val="ru-RU"/>
        </w:rPr>
        <w:t>2</w:t>
      </w:r>
      <w:r w:rsidR="004A2450">
        <w:rPr>
          <w:sz w:val="28"/>
          <w:szCs w:val="28"/>
          <w:lang w:val="ru-RU"/>
        </w:rPr>
        <w:t>.</w:t>
      </w:r>
    </w:p>
    <w:p w14:paraId="2E296C72" w14:textId="4A2D6375" w:rsidR="004A2450" w:rsidRPr="003677BB" w:rsidRDefault="004A2450" w:rsidP="004A2450">
      <w:pPr>
        <w:pBdr>
          <w:top w:val="nil"/>
          <w:left w:val="nil"/>
          <w:bottom w:val="nil"/>
          <w:right w:val="nil"/>
          <w:between w:val="nil"/>
        </w:pBdr>
        <w:spacing w:before="2" w:line="360" w:lineRule="auto"/>
        <w:ind w:left="140" w:right="145"/>
        <w:rPr>
          <w:sz w:val="28"/>
          <w:szCs w:val="28"/>
          <w:lang w:val="ru-RU"/>
        </w:rPr>
      </w:pPr>
      <w:r w:rsidRPr="003677BB">
        <w:rPr>
          <w:sz w:val="28"/>
          <w:szCs w:val="28"/>
          <w:lang w:val="ru-RU"/>
        </w:rPr>
        <w:t>Рисунок 1.</w:t>
      </w:r>
      <w:r w:rsidR="003677BB" w:rsidRPr="003677BB">
        <w:rPr>
          <w:sz w:val="28"/>
          <w:szCs w:val="28"/>
          <w:lang w:val="ru-RU"/>
        </w:rPr>
        <w:t>2</w:t>
      </w:r>
      <w:r w:rsidRPr="003677BB">
        <w:rPr>
          <w:sz w:val="28"/>
          <w:szCs w:val="28"/>
          <w:lang w:val="ru-RU"/>
        </w:rPr>
        <w:t xml:space="preserve"> – Эволюция концепций стоимостно-ориентированного управления (VBM): от постановки проблемы к её нерешённости</w:t>
      </w:r>
      <w:r w:rsidRPr="003677BB">
        <w:rPr>
          <w:sz w:val="28"/>
          <w:szCs w:val="28"/>
        </w:rPr>
        <w:br/>
      </w:r>
    </w:p>
    <w:p w14:paraId="48A31FF4" w14:textId="14341C2B" w:rsidR="004A2450" w:rsidRDefault="004A2450" w:rsidP="004A2450">
      <w:pPr>
        <w:pBdr>
          <w:top w:val="nil"/>
          <w:left w:val="nil"/>
          <w:bottom w:val="nil"/>
          <w:right w:val="nil"/>
          <w:between w:val="nil"/>
        </w:pBdr>
        <w:spacing w:before="2" w:line="360" w:lineRule="auto"/>
        <w:ind w:left="140" w:right="145"/>
        <w:rPr>
          <w:sz w:val="28"/>
          <w:szCs w:val="28"/>
          <w:lang w:val="ru-RU"/>
        </w:rPr>
      </w:pPr>
      <w:r w:rsidRPr="004A2450">
        <w:rPr>
          <w:noProof/>
          <w:sz w:val="28"/>
          <w:szCs w:val="28"/>
          <w:lang w:val="ru-RU" w:eastAsia="ru-RU"/>
        </w:rPr>
        <w:drawing>
          <wp:inline distT="0" distB="0" distL="0" distR="0" wp14:anchorId="0D211158" wp14:editId="1FAAD096">
            <wp:extent cx="6239913" cy="2828385"/>
            <wp:effectExtent l="0" t="0" r="8890" b="0"/>
            <wp:docPr id="1562335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44232" b="35471"/>
                    <a:stretch>
                      <a:fillRect/>
                    </a:stretch>
                  </pic:blipFill>
                  <pic:spPr bwMode="auto">
                    <a:xfrm>
                      <a:off x="0" y="0"/>
                      <a:ext cx="6277148" cy="2845263"/>
                    </a:xfrm>
                    <a:prstGeom prst="rect">
                      <a:avLst/>
                    </a:prstGeom>
                    <a:noFill/>
                    <a:ln>
                      <a:noFill/>
                    </a:ln>
                    <a:extLst>
                      <a:ext uri="{53640926-AAD7-44D8-BBD7-CCE9431645EC}">
                        <a14:shadowObscured xmlns:a14="http://schemas.microsoft.com/office/drawing/2010/main"/>
                      </a:ext>
                    </a:extLst>
                  </pic:spPr>
                </pic:pic>
              </a:graphicData>
            </a:graphic>
          </wp:inline>
        </w:drawing>
      </w:r>
    </w:p>
    <w:p w14:paraId="0E445928" w14:textId="486D6A53" w:rsidR="00F81650" w:rsidRPr="00F81650" w:rsidRDefault="00F81650" w:rsidP="004A2450">
      <w:pPr>
        <w:pBdr>
          <w:top w:val="nil"/>
          <w:left w:val="nil"/>
          <w:bottom w:val="nil"/>
          <w:right w:val="nil"/>
          <w:between w:val="nil"/>
        </w:pBdr>
        <w:spacing w:before="2" w:line="360" w:lineRule="auto"/>
        <w:ind w:left="140" w:right="145"/>
        <w:rPr>
          <w:sz w:val="28"/>
          <w:szCs w:val="28"/>
          <w:lang w:val="ru-RU"/>
        </w:rPr>
      </w:pPr>
      <w:r>
        <w:rPr>
          <w:sz w:val="28"/>
          <w:szCs w:val="28"/>
          <w:lang w:val="ru-RU"/>
        </w:rPr>
        <w:t>Источник</w:t>
      </w:r>
      <w:r w:rsidRPr="00F81650">
        <w:rPr>
          <w:sz w:val="28"/>
          <w:szCs w:val="28"/>
          <w:lang w:val="ru-RU"/>
        </w:rPr>
        <w:t xml:space="preserve">: </w:t>
      </w:r>
      <w:r>
        <w:rPr>
          <w:sz w:val="28"/>
          <w:szCs w:val="28"/>
          <w:lang w:val="en-US"/>
        </w:rPr>
        <w:t>c</w:t>
      </w:r>
      <w:r w:rsidRPr="00F81650">
        <w:rPr>
          <w:sz w:val="28"/>
          <w:szCs w:val="28"/>
        </w:rPr>
        <w:t>оставлено автором по</w:t>
      </w:r>
      <w:r w:rsidRPr="00F81650">
        <w:rPr>
          <w:sz w:val="28"/>
          <w:szCs w:val="28"/>
          <w:lang w:val="ru-RU"/>
        </w:rPr>
        <w:t xml:space="preserve"> </w:t>
      </w:r>
      <w:r w:rsidRPr="00F81650">
        <w:rPr>
          <w:sz w:val="28"/>
          <w:szCs w:val="28"/>
        </w:rPr>
        <w:t>Rappaport A. (1998); Coupleнd Т., Коллер Т., Муррин Дж. (2005); Damodaran A. (2012, 2018); Ивашковская И.В. (2024); Теплова Т.В. (2007); Косорукова И.В. (2013); Brusov P., Filatova T. et al. (2025)</w:t>
      </w:r>
      <w:r w:rsidRPr="00F81650">
        <w:rPr>
          <w:sz w:val="28"/>
          <w:szCs w:val="28"/>
          <w:lang w:val="ru-RU"/>
        </w:rPr>
        <w:t>.</w:t>
      </w:r>
    </w:p>
    <w:p w14:paraId="46E0D957" w14:textId="78456E60" w:rsidR="001F5CBE" w:rsidRPr="001F5CBE" w:rsidRDefault="00F81650" w:rsidP="001F5CBE">
      <w:pPr>
        <w:pBdr>
          <w:top w:val="nil"/>
          <w:left w:val="nil"/>
          <w:bottom w:val="nil"/>
          <w:right w:val="nil"/>
          <w:between w:val="nil"/>
        </w:pBdr>
        <w:spacing w:before="2" w:line="360" w:lineRule="auto"/>
        <w:ind w:left="140" w:right="145" w:firstLine="708"/>
        <w:jc w:val="both"/>
        <w:rPr>
          <w:sz w:val="28"/>
          <w:szCs w:val="28"/>
          <w:lang w:val="ru-RU"/>
        </w:rPr>
      </w:pPr>
      <w:r w:rsidRPr="00F81650">
        <w:rPr>
          <w:sz w:val="28"/>
          <w:szCs w:val="28"/>
        </w:rPr>
        <w:t>Каждый следующий шаг этой эволюции отвечал на критику предыдущего, но неизменно оставлял без ответа один и тот же вопрос: кто именно формирует те допущения, на которых строится итоговая оценка стоимости, и в чьих интересах эти допущения могут быть искажены.</w:t>
      </w:r>
      <w:r w:rsidRPr="00F81650">
        <w:rPr>
          <w:sz w:val="28"/>
          <w:szCs w:val="28"/>
          <w:lang w:val="ru-RU"/>
        </w:rPr>
        <w:t xml:space="preserve"> </w:t>
      </w:r>
      <w:r w:rsidR="001F5CBE" w:rsidRPr="001F5CBE">
        <w:rPr>
          <w:sz w:val="28"/>
          <w:szCs w:val="28"/>
          <w:lang w:val="ru-RU"/>
        </w:rPr>
        <w:t xml:space="preserve">Присутствие институционального инвестора в капитале компании — необходимое, но не достаточное условие объективности такой оценки на любом из этих этапов. Именно этот пробел определяет место компании на пути к капиталу как объекта настоящего исследования: на каждом </w:t>
      </w:r>
      <w:r w:rsidR="001F5CBE" w:rsidRPr="001F5CBE">
        <w:rPr>
          <w:sz w:val="28"/>
          <w:szCs w:val="28"/>
          <w:lang w:val="ru-RU"/>
        </w:rPr>
        <w:lastRenderedPageBreak/>
        <w:t>этапе привлечения институционального капитала — от венчурного финансирования до IPO — классический аппарат VBM формально применим, но институционально уязвим для описанного конфликта интересов сильнее, чем зрелая публичная компания с рассеянной структурой владения.</w:t>
      </w:r>
    </w:p>
    <w:p w14:paraId="0DCA1724" w14:textId="77777777" w:rsidR="00903C17" w:rsidRPr="005F2493" w:rsidRDefault="00903C17" w:rsidP="005F2493">
      <w:pPr>
        <w:pBdr>
          <w:top w:val="nil"/>
          <w:left w:val="nil"/>
          <w:bottom w:val="nil"/>
          <w:right w:val="nil"/>
          <w:between w:val="nil"/>
        </w:pBdr>
        <w:tabs>
          <w:tab w:val="left" w:pos="1381"/>
        </w:tabs>
        <w:spacing w:line="360" w:lineRule="auto"/>
        <w:ind w:left="848" w:right="148"/>
        <w:jc w:val="both"/>
        <w:rPr>
          <w:i/>
          <w:iCs/>
          <w:color w:val="808080" w:themeColor="background1" w:themeShade="80"/>
          <w:sz w:val="24"/>
          <w:szCs w:val="24"/>
          <w:lang w:val="ru-RU"/>
        </w:rPr>
      </w:pPr>
    </w:p>
    <w:p w14:paraId="6042ABB6" w14:textId="26521F87" w:rsidR="00DC02DF" w:rsidRPr="000B2458" w:rsidRDefault="004637FB">
      <w:pPr>
        <w:numPr>
          <w:ilvl w:val="1"/>
          <w:numId w:val="3"/>
        </w:numPr>
        <w:pBdr>
          <w:top w:val="nil"/>
          <w:left w:val="nil"/>
          <w:bottom w:val="nil"/>
          <w:right w:val="nil"/>
          <w:between w:val="nil"/>
        </w:pBdr>
        <w:tabs>
          <w:tab w:val="left" w:pos="1491"/>
        </w:tabs>
        <w:spacing w:line="360" w:lineRule="auto"/>
        <w:ind w:right="141" w:firstLine="708"/>
        <w:jc w:val="both"/>
        <w:rPr>
          <w:i/>
          <w:iCs/>
          <w:color w:val="808080" w:themeColor="background1" w:themeShade="80"/>
          <w:sz w:val="24"/>
          <w:szCs w:val="24"/>
          <w:highlight w:val="cyan"/>
        </w:rPr>
      </w:pPr>
      <w:r w:rsidRPr="000B2458">
        <w:rPr>
          <w:sz w:val="28"/>
          <w:szCs w:val="28"/>
          <w:highlight w:val="cyan"/>
        </w:rPr>
        <w:t>Универсальный жизненный цикл компании и путь к институциональному капиталу: два независимых измерения</w:t>
      </w:r>
      <w:r w:rsidRPr="000B2458">
        <w:rPr>
          <w:i/>
          <w:iCs/>
          <w:sz w:val="28"/>
          <w:szCs w:val="28"/>
          <w:highlight w:val="cyan"/>
        </w:rPr>
        <w:t xml:space="preserve"> </w:t>
      </w:r>
    </w:p>
    <w:p w14:paraId="716B73C3" w14:textId="77777777" w:rsidR="00942F88" w:rsidRPr="00213287" w:rsidRDefault="00942F88" w:rsidP="00942F88">
      <w:pPr>
        <w:pBdr>
          <w:top w:val="nil"/>
          <w:left w:val="nil"/>
          <w:bottom w:val="nil"/>
          <w:right w:val="nil"/>
          <w:between w:val="nil"/>
        </w:pBdr>
        <w:tabs>
          <w:tab w:val="left" w:pos="1491"/>
        </w:tabs>
        <w:spacing w:line="360" w:lineRule="auto"/>
        <w:ind w:right="141"/>
        <w:jc w:val="both"/>
        <w:rPr>
          <w:sz w:val="24"/>
          <w:szCs w:val="24"/>
          <w:lang w:val="ru-RU"/>
        </w:rPr>
      </w:pPr>
    </w:p>
    <w:p w14:paraId="7F27F53E" w14:textId="495AD1E1" w:rsidR="00942F88" w:rsidRPr="00942F88" w:rsidRDefault="00942F88" w:rsidP="00942F88">
      <w:pPr>
        <w:pBdr>
          <w:top w:val="nil"/>
          <w:left w:val="nil"/>
          <w:bottom w:val="nil"/>
          <w:right w:val="nil"/>
          <w:between w:val="nil"/>
        </w:pBdr>
        <w:spacing w:before="2" w:line="360" w:lineRule="auto"/>
        <w:ind w:left="140" w:right="145" w:firstLine="708"/>
        <w:jc w:val="both"/>
        <w:rPr>
          <w:sz w:val="28"/>
          <w:szCs w:val="28"/>
          <w:lang w:val="ru-RU"/>
        </w:rPr>
      </w:pPr>
      <w:r w:rsidRPr="00942F88">
        <w:rPr>
          <w:sz w:val="28"/>
          <w:szCs w:val="28"/>
          <w:lang w:val="ru-RU"/>
        </w:rPr>
        <w:t>Прежде чем переходить к разработке методики диагностики инвестиционной готовности, необходимо очертить сам объект исследования</w:t>
      </w:r>
      <w:r w:rsidR="009D13F9" w:rsidRPr="009D13F9">
        <w:rPr>
          <w:sz w:val="28"/>
          <w:szCs w:val="28"/>
          <w:lang w:val="ru-RU"/>
        </w:rPr>
        <w:t xml:space="preserve">, </w:t>
      </w:r>
      <w:r w:rsidR="009D13F9">
        <w:rPr>
          <w:sz w:val="28"/>
          <w:szCs w:val="28"/>
          <w:lang w:val="ru-RU"/>
        </w:rPr>
        <w:t>которым является</w:t>
      </w:r>
      <w:r w:rsidRPr="00942F88">
        <w:rPr>
          <w:sz w:val="28"/>
          <w:szCs w:val="28"/>
          <w:lang w:val="ru-RU"/>
        </w:rPr>
        <w:t xml:space="preserve"> компани</w:t>
      </w:r>
      <w:r w:rsidR="009D13F9">
        <w:rPr>
          <w:sz w:val="28"/>
          <w:szCs w:val="28"/>
          <w:lang w:val="ru-RU"/>
        </w:rPr>
        <w:t>я</w:t>
      </w:r>
      <w:r w:rsidRPr="00942F88">
        <w:rPr>
          <w:sz w:val="28"/>
          <w:szCs w:val="28"/>
          <w:lang w:val="ru-RU"/>
        </w:rPr>
        <w:t>, находящ</w:t>
      </w:r>
      <w:r w:rsidR="009D13F9">
        <w:rPr>
          <w:sz w:val="28"/>
          <w:szCs w:val="28"/>
          <w:lang w:val="ru-RU"/>
        </w:rPr>
        <w:t>ая</w:t>
      </w:r>
      <w:r w:rsidRPr="00942F88">
        <w:rPr>
          <w:sz w:val="28"/>
          <w:szCs w:val="28"/>
          <w:lang w:val="ru-RU"/>
        </w:rPr>
        <w:t>ся на пути к институциональному капиталу, и разграничить два измерения, которые традиционно смешиваются в существующей литературе: стадию жизненного цикла бизнеса как такового и тип институционального капитала, который компания привлекает на этом пути. Отправной точкой для этого разграничения служит правовая классификация компаний на публичные и непубличные, задающая формальные границы объекта исследования</w:t>
      </w:r>
      <w:r w:rsidR="00E93CB1" w:rsidRPr="00E93CB1">
        <w:rPr>
          <w:sz w:val="28"/>
          <w:szCs w:val="28"/>
          <w:lang w:val="ru-RU"/>
        </w:rPr>
        <w:t>.</w:t>
      </w:r>
      <w:r w:rsidRPr="00942F88">
        <w:rPr>
          <w:sz w:val="28"/>
          <w:szCs w:val="28"/>
          <w:lang w:val="ru-RU"/>
        </w:rPr>
        <w:t xml:space="preserve"> </w:t>
      </w:r>
      <w:r w:rsidR="00E93CB1">
        <w:rPr>
          <w:sz w:val="28"/>
          <w:szCs w:val="28"/>
          <w:lang w:val="ru-RU"/>
        </w:rPr>
        <w:t>О</w:t>
      </w:r>
      <w:r w:rsidRPr="00942F88">
        <w:rPr>
          <w:sz w:val="28"/>
          <w:szCs w:val="28"/>
          <w:lang w:val="ru-RU"/>
        </w:rPr>
        <w:t xml:space="preserve">т неё настоящий параграф последовательно переходит к типологии непубличных компаний, к универсальным моделям жизненного цикла, независимым от источника капитала, и, наконец, к пяти факторам, </w:t>
      </w:r>
      <w:r w:rsidR="00E93CB1">
        <w:rPr>
          <w:sz w:val="28"/>
          <w:szCs w:val="28"/>
          <w:lang w:val="ru-RU"/>
        </w:rPr>
        <w:t xml:space="preserve">которые </w:t>
      </w:r>
      <w:r w:rsidRPr="00942F88">
        <w:rPr>
          <w:sz w:val="28"/>
          <w:szCs w:val="28"/>
          <w:lang w:val="ru-RU"/>
        </w:rPr>
        <w:t>определяю</w:t>
      </w:r>
      <w:r w:rsidR="00E93CB1">
        <w:rPr>
          <w:sz w:val="28"/>
          <w:szCs w:val="28"/>
          <w:lang w:val="ru-RU"/>
        </w:rPr>
        <w:t>т</w:t>
      </w:r>
      <w:r w:rsidRPr="00942F88">
        <w:rPr>
          <w:sz w:val="28"/>
          <w:szCs w:val="28"/>
          <w:lang w:val="ru-RU"/>
        </w:rPr>
        <w:t xml:space="preserve"> измеримую историю компании</w:t>
      </w:r>
      <w:r w:rsidR="00E93CB1">
        <w:rPr>
          <w:sz w:val="28"/>
          <w:szCs w:val="28"/>
          <w:lang w:val="ru-RU"/>
        </w:rPr>
        <w:t xml:space="preserve"> и </w:t>
      </w:r>
      <w:r w:rsidRPr="00942F88">
        <w:rPr>
          <w:sz w:val="28"/>
          <w:szCs w:val="28"/>
          <w:lang w:val="ru-RU"/>
        </w:rPr>
        <w:t>операционализ</w:t>
      </w:r>
      <w:r w:rsidR="00E93CB1">
        <w:rPr>
          <w:sz w:val="28"/>
          <w:szCs w:val="28"/>
          <w:lang w:val="ru-RU"/>
        </w:rPr>
        <w:t>ируются</w:t>
      </w:r>
      <w:r w:rsidRPr="00942F88">
        <w:rPr>
          <w:sz w:val="28"/>
          <w:szCs w:val="28"/>
          <w:lang w:val="ru-RU"/>
        </w:rPr>
        <w:t xml:space="preserve"> </w:t>
      </w:r>
      <w:r w:rsidR="00E93CB1">
        <w:rPr>
          <w:sz w:val="28"/>
          <w:szCs w:val="28"/>
          <w:lang w:val="ru-RU"/>
        </w:rPr>
        <w:t>в</w:t>
      </w:r>
      <w:r w:rsidRPr="00942F88">
        <w:rPr>
          <w:sz w:val="28"/>
          <w:szCs w:val="28"/>
          <w:lang w:val="ru-RU"/>
        </w:rPr>
        <w:t xml:space="preserve"> глав</w:t>
      </w:r>
      <w:r w:rsidR="00E93CB1">
        <w:rPr>
          <w:sz w:val="28"/>
          <w:szCs w:val="28"/>
          <w:lang w:val="ru-RU"/>
        </w:rPr>
        <w:t>е</w:t>
      </w:r>
      <w:r w:rsidRPr="00942F88">
        <w:rPr>
          <w:sz w:val="28"/>
          <w:szCs w:val="28"/>
          <w:lang w:val="ru-RU"/>
        </w:rPr>
        <w:t xml:space="preserve"> 3.</w:t>
      </w:r>
    </w:p>
    <w:p w14:paraId="61335F1D" w14:textId="5AF17D92" w:rsidR="00942F88" w:rsidRPr="00E93CB1" w:rsidRDefault="00942F88" w:rsidP="00942F88">
      <w:pPr>
        <w:pBdr>
          <w:top w:val="nil"/>
          <w:left w:val="nil"/>
          <w:bottom w:val="nil"/>
          <w:right w:val="nil"/>
          <w:between w:val="nil"/>
        </w:pBdr>
        <w:spacing w:before="2" w:line="360" w:lineRule="auto"/>
        <w:ind w:left="140" w:right="145" w:firstLine="708"/>
        <w:jc w:val="both"/>
        <w:rPr>
          <w:sz w:val="28"/>
          <w:szCs w:val="28"/>
          <w:u w:val="single"/>
          <w:lang w:val="ru-RU"/>
        </w:rPr>
      </w:pPr>
      <w:r w:rsidRPr="00E93CB1">
        <w:rPr>
          <w:sz w:val="28"/>
          <w:szCs w:val="28"/>
          <w:u w:val="single"/>
          <w:lang w:val="ru-RU"/>
        </w:rPr>
        <w:t>Классификация компаний на публичные и непубличные и типология непубличных компаний</w:t>
      </w:r>
    </w:p>
    <w:p w14:paraId="57FB18D5" w14:textId="65F2FBCC" w:rsidR="000D2206" w:rsidRDefault="00942F88" w:rsidP="000D2206">
      <w:pPr>
        <w:pBdr>
          <w:top w:val="nil"/>
          <w:left w:val="nil"/>
          <w:bottom w:val="nil"/>
          <w:right w:val="nil"/>
          <w:between w:val="nil"/>
        </w:pBdr>
        <w:spacing w:before="2" w:line="360" w:lineRule="auto"/>
        <w:ind w:left="140" w:right="145" w:firstLine="708"/>
        <w:jc w:val="both"/>
        <w:rPr>
          <w:sz w:val="28"/>
          <w:szCs w:val="28"/>
          <w:lang w:val="ru-RU"/>
        </w:rPr>
      </w:pPr>
      <w:r w:rsidRPr="00942F88">
        <w:rPr>
          <w:sz w:val="28"/>
          <w:szCs w:val="28"/>
          <w:lang w:val="ru-RU"/>
        </w:rPr>
        <w:t>Правовой критерий разграничения публичных и непубличных обществ в российском законодательстве закреплён статьёй 66.3 Гражданского кодекса РФ</w:t>
      </w:r>
      <w:r w:rsidR="00EE1A0A" w:rsidRPr="00EE1A0A">
        <w:rPr>
          <w:sz w:val="28"/>
          <w:szCs w:val="28"/>
          <w:lang w:val="ru-RU"/>
        </w:rPr>
        <w:t xml:space="preserve">: </w:t>
      </w:r>
      <w:r w:rsidR="00EE1A0A">
        <w:rPr>
          <w:sz w:val="28"/>
          <w:szCs w:val="28"/>
          <w:lang w:val="ru-RU"/>
        </w:rPr>
        <w:t>п</w:t>
      </w:r>
      <w:r w:rsidRPr="00942F88">
        <w:rPr>
          <w:sz w:val="28"/>
          <w:szCs w:val="28"/>
          <w:lang w:val="ru-RU"/>
        </w:rPr>
        <w:t>убличным признаётся акционерное общество, акции которого и конвертируемые в них ценные бумаги публично размещаются путём открытой подписки или публично обращаются на условиях, установленных законодательством о ценных бумагах</w:t>
      </w:r>
      <w:r w:rsidR="00310D50">
        <w:rPr>
          <w:rStyle w:val="a7"/>
          <w:sz w:val="28"/>
          <w:szCs w:val="28"/>
          <w:lang w:val="ru-RU"/>
        </w:rPr>
        <w:footnoteReference w:id="123"/>
      </w:r>
      <w:r w:rsidR="00310D50" w:rsidRPr="00310D50">
        <w:rPr>
          <w:sz w:val="28"/>
          <w:szCs w:val="28"/>
          <w:lang w:val="ru-RU"/>
        </w:rPr>
        <w:t>.</w:t>
      </w:r>
      <w:r w:rsidRPr="00942F88">
        <w:rPr>
          <w:sz w:val="28"/>
          <w:szCs w:val="28"/>
          <w:lang w:val="ru-RU"/>
        </w:rPr>
        <w:t xml:space="preserve"> </w:t>
      </w:r>
      <w:r w:rsidR="00310D50">
        <w:rPr>
          <w:sz w:val="28"/>
          <w:szCs w:val="28"/>
          <w:lang w:val="ru-RU"/>
        </w:rPr>
        <w:t>В</w:t>
      </w:r>
      <w:r w:rsidRPr="00942F88">
        <w:rPr>
          <w:sz w:val="28"/>
          <w:szCs w:val="28"/>
          <w:lang w:val="ru-RU"/>
        </w:rPr>
        <w:t xml:space="preserve">се прочие акционерные общества и общества с ограниченной ответственностью признаются непубличными. </w:t>
      </w:r>
      <w:r w:rsidR="00310D50" w:rsidRPr="00310D50">
        <w:rPr>
          <w:sz w:val="28"/>
          <w:szCs w:val="28"/>
        </w:rPr>
        <w:t xml:space="preserve">Принципиальное юридическое </w:t>
      </w:r>
      <w:r w:rsidR="00310D50" w:rsidRPr="00310D50">
        <w:rPr>
          <w:sz w:val="28"/>
          <w:szCs w:val="28"/>
        </w:rPr>
        <w:lastRenderedPageBreak/>
        <w:t>следствие этого разграничения — характер применяемого регулирования: к публичным обществам применяется преимущественно императивное регулирование, исключающее свободу усмотрения участников, тогда как к непубличным обществам ГК РФ допускает диспозитивное регулирование с возможностью выбора той или иной опции в уставе</w:t>
      </w:r>
      <w:r w:rsidRPr="00942F88">
        <w:rPr>
          <w:sz w:val="28"/>
          <w:szCs w:val="28"/>
          <w:lang w:val="ru-RU"/>
        </w:rPr>
        <w:t>. При этом статистически подавляющее большинство акционерных обществ в России являются непубличными — публичных компаний насчитывается сравнительно немного.</w:t>
      </w:r>
      <w:r w:rsidR="00310D50" w:rsidRPr="00310D50">
        <w:rPr>
          <w:sz w:val="28"/>
          <w:szCs w:val="28"/>
          <w:lang w:val="ru-RU"/>
        </w:rPr>
        <w:t xml:space="preserve"> </w:t>
      </w:r>
      <w:r w:rsidR="00310D50">
        <w:rPr>
          <w:sz w:val="28"/>
          <w:szCs w:val="28"/>
          <w:lang w:val="ru-RU"/>
        </w:rPr>
        <w:t>Так, в 2025 году общее количество компаний, торговавшихся на бирже, составило 215</w:t>
      </w:r>
      <w:r w:rsidR="00310D50">
        <w:rPr>
          <w:rStyle w:val="a7"/>
          <w:sz w:val="28"/>
          <w:szCs w:val="28"/>
          <w:lang w:val="ru-RU"/>
        </w:rPr>
        <w:footnoteReference w:id="124"/>
      </w:r>
      <w:r w:rsidR="00310D50">
        <w:rPr>
          <w:sz w:val="28"/>
          <w:szCs w:val="28"/>
          <w:lang w:val="ru-RU"/>
        </w:rPr>
        <w:t>, тогда как всего количество юридических лиц за тот же год составило 3,18 млн</w:t>
      </w:r>
      <w:r w:rsidR="00310D50">
        <w:rPr>
          <w:rStyle w:val="a7"/>
          <w:sz w:val="28"/>
          <w:szCs w:val="28"/>
          <w:lang w:val="ru-RU"/>
        </w:rPr>
        <w:footnoteReference w:id="125"/>
      </w:r>
      <w:r w:rsidR="00310D50">
        <w:rPr>
          <w:sz w:val="28"/>
          <w:szCs w:val="28"/>
          <w:lang w:val="ru-RU"/>
        </w:rPr>
        <w:t xml:space="preserve">, то есть </w:t>
      </w:r>
      <w:r w:rsidR="00DD2721">
        <w:rPr>
          <w:sz w:val="28"/>
          <w:szCs w:val="28"/>
          <w:lang w:val="ru-RU"/>
        </w:rPr>
        <w:t xml:space="preserve">процент публичных компаний ничтожно мал. </w:t>
      </w:r>
    </w:p>
    <w:p w14:paraId="1F35FEEB" w14:textId="5F1C33C6" w:rsidR="00942F88" w:rsidRPr="00942F88" w:rsidRDefault="00942F88" w:rsidP="00942F88">
      <w:pPr>
        <w:pBdr>
          <w:top w:val="nil"/>
          <w:left w:val="nil"/>
          <w:bottom w:val="nil"/>
          <w:right w:val="nil"/>
          <w:between w:val="nil"/>
        </w:pBdr>
        <w:spacing w:before="2" w:line="360" w:lineRule="auto"/>
        <w:ind w:left="140" w:right="145" w:firstLine="708"/>
        <w:jc w:val="both"/>
        <w:rPr>
          <w:sz w:val="28"/>
          <w:szCs w:val="28"/>
          <w:lang w:val="ru-RU"/>
        </w:rPr>
      </w:pPr>
      <w:r w:rsidRPr="00942F88">
        <w:rPr>
          <w:sz w:val="28"/>
          <w:szCs w:val="28"/>
          <w:lang w:val="ru-RU"/>
        </w:rPr>
        <w:t xml:space="preserve">Информационный критерий разграничения </w:t>
      </w:r>
      <w:r w:rsidR="00DD2721">
        <w:rPr>
          <w:sz w:val="28"/>
          <w:szCs w:val="28"/>
          <w:lang w:val="ru-RU"/>
        </w:rPr>
        <w:t>рождается из</w:t>
      </w:r>
      <w:r w:rsidRPr="00942F88">
        <w:rPr>
          <w:sz w:val="28"/>
          <w:szCs w:val="28"/>
          <w:lang w:val="ru-RU"/>
        </w:rPr>
        <w:t xml:space="preserve"> правового</w:t>
      </w:r>
      <w:r w:rsidR="00DD2721">
        <w:rPr>
          <w:sz w:val="28"/>
          <w:szCs w:val="28"/>
          <w:lang w:val="ru-RU"/>
        </w:rPr>
        <w:t xml:space="preserve"> критерия</w:t>
      </w:r>
      <w:r w:rsidRPr="00942F88">
        <w:rPr>
          <w:sz w:val="28"/>
          <w:szCs w:val="28"/>
          <w:lang w:val="ru-RU"/>
        </w:rPr>
        <w:t>: публичное общество обязано на постоянной основе раскрывать информацию о своей деятельности, включая финансовую отчётность и сведения о структуре управления, тогда как для непубличного общества такая обязанность в полном объёме не установлена</w:t>
      </w:r>
      <w:r w:rsidR="00DD2721">
        <w:rPr>
          <w:rStyle w:val="a7"/>
          <w:sz w:val="28"/>
          <w:szCs w:val="28"/>
          <w:lang w:val="ru-RU"/>
        </w:rPr>
        <w:footnoteReference w:id="126"/>
      </w:r>
      <w:r w:rsidRPr="00942F88">
        <w:rPr>
          <w:sz w:val="28"/>
          <w:szCs w:val="28"/>
          <w:lang w:val="ru-RU"/>
        </w:rPr>
        <w:t xml:space="preserve"> — именно это отсутствие обязательного, стандартизированного раскрытия и создаёт ту проблему учётно-информационной зрелости, вокруг которой строится настоящее исследование.</w:t>
      </w:r>
    </w:p>
    <w:p w14:paraId="7581381D" w14:textId="1D4388F5" w:rsidR="00942F88" w:rsidRPr="00213287" w:rsidRDefault="00942F88" w:rsidP="00942F88">
      <w:pPr>
        <w:pBdr>
          <w:top w:val="nil"/>
          <w:left w:val="nil"/>
          <w:bottom w:val="nil"/>
          <w:right w:val="nil"/>
          <w:between w:val="nil"/>
        </w:pBdr>
        <w:spacing w:before="2" w:line="360" w:lineRule="auto"/>
        <w:ind w:left="140" w:right="145" w:firstLine="708"/>
        <w:jc w:val="both"/>
        <w:rPr>
          <w:sz w:val="28"/>
          <w:szCs w:val="28"/>
          <w:lang w:val="ru-RU"/>
        </w:rPr>
      </w:pPr>
      <w:r w:rsidRPr="00942F88">
        <w:rPr>
          <w:sz w:val="28"/>
          <w:szCs w:val="28"/>
          <w:lang w:val="ru-RU"/>
        </w:rPr>
        <w:t xml:space="preserve">Оценочный критерий разграничения </w:t>
      </w:r>
      <w:r w:rsidR="00DD2721">
        <w:rPr>
          <w:sz w:val="28"/>
          <w:szCs w:val="28"/>
          <w:lang w:val="ru-RU"/>
        </w:rPr>
        <w:t>является</w:t>
      </w:r>
      <w:r w:rsidRPr="00942F88">
        <w:rPr>
          <w:sz w:val="28"/>
          <w:szCs w:val="28"/>
          <w:lang w:val="ru-RU"/>
        </w:rPr>
        <w:t xml:space="preserve"> производн</w:t>
      </w:r>
      <w:r w:rsidR="00DD2721">
        <w:rPr>
          <w:sz w:val="28"/>
          <w:szCs w:val="28"/>
          <w:lang w:val="ru-RU"/>
        </w:rPr>
        <w:t>ой</w:t>
      </w:r>
      <w:r w:rsidRPr="00942F88">
        <w:rPr>
          <w:sz w:val="28"/>
          <w:szCs w:val="28"/>
          <w:lang w:val="ru-RU"/>
        </w:rPr>
        <w:t xml:space="preserve"> уже двух предыдущих</w:t>
      </w:r>
      <w:r w:rsidR="00DD2721">
        <w:rPr>
          <w:sz w:val="28"/>
          <w:szCs w:val="28"/>
          <w:lang w:val="ru-RU"/>
        </w:rPr>
        <w:t xml:space="preserve"> критериев.</w:t>
      </w:r>
      <w:r w:rsidRPr="00942F88">
        <w:rPr>
          <w:sz w:val="28"/>
          <w:szCs w:val="28"/>
          <w:lang w:val="ru-RU"/>
        </w:rPr>
        <w:t xml:space="preserve"> </w:t>
      </w:r>
      <w:r w:rsidR="00DD2721">
        <w:rPr>
          <w:sz w:val="28"/>
          <w:szCs w:val="28"/>
          <w:lang w:val="ru-RU"/>
        </w:rPr>
        <w:t>О</w:t>
      </w:r>
      <w:r w:rsidRPr="00942F88">
        <w:rPr>
          <w:sz w:val="28"/>
          <w:szCs w:val="28"/>
          <w:lang w:val="ru-RU"/>
        </w:rPr>
        <w:t>тсутствие обязательного публичного раскрытия информации и отсутствие организованного вторичного рынка акций означают, что стоимость непубличной компании не наблюдается напрямую через рыночную капитализацию, а должна быть рассчитана</w:t>
      </w:r>
      <w:r w:rsidR="00DD2721">
        <w:rPr>
          <w:sz w:val="28"/>
          <w:szCs w:val="28"/>
          <w:lang w:val="ru-RU"/>
        </w:rPr>
        <w:t>,</w:t>
      </w:r>
      <w:r w:rsidRPr="00942F88">
        <w:rPr>
          <w:sz w:val="28"/>
          <w:szCs w:val="28"/>
          <w:lang w:val="ru-RU"/>
        </w:rPr>
        <w:t xml:space="preserve"> что и определяет предметную область настоящего исследования, целиком относящуюся к непубличным компаниям на всех этапах их пути к институциональному капиталу вплоть до самого момента размещения.</w:t>
      </w:r>
    </w:p>
    <w:p w14:paraId="0E8AC7C5" w14:textId="30DC88B9" w:rsidR="004D6521" w:rsidRPr="00213287" w:rsidRDefault="00942F88" w:rsidP="00942F88">
      <w:pPr>
        <w:pBdr>
          <w:top w:val="nil"/>
          <w:left w:val="nil"/>
          <w:bottom w:val="nil"/>
          <w:right w:val="nil"/>
          <w:between w:val="nil"/>
        </w:pBdr>
        <w:spacing w:before="2" w:line="360" w:lineRule="auto"/>
        <w:ind w:left="140" w:right="145" w:firstLine="708"/>
        <w:jc w:val="both"/>
        <w:rPr>
          <w:sz w:val="28"/>
          <w:szCs w:val="28"/>
          <w:lang w:val="ru-RU"/>
        </w:rPr>
      </w:pPr>
      <w:r w:rsidRPr="00942F88">
        <w:rPr>
          <w:sz w:val="28"/>
          <w:szCs w:val="28"/>
          <w:lang w:val="ru-RU"/>
        </w:rPr>
        <w:t xml:space="preserve">Внутри самого класса непубличных компаний, однако, скрывается значительная неоднородность, задающая границы применимости </w:t>
      </w:r>
      <w:r w:rsidR="00EE1A0A">
        <w:rPr>
          <w:sz w:val="28"/>
          <w:szCs w:val="28"/>
          <w:lang w:val="ru-RU"/>
        </w:rPr>
        <w:t xml:space="preserve">любого метода </w:t>
      </w:r>
      <w:r w:rsidR="00EE1A0A">
        <w:rPr>
          <w:sz w:val="28"/>
          <w:szCs w:val="28"/>
          <w:lang w:val="ru-RU"/>
        </w:rPr>
        <w:lastRenderedPageBreak/>
        <w:t>анализа, в том числе методики, разрабатываемой в рамках настоящего исследования</w:t>
      </w:r>
      <w:r w:rsidRPr="00942F88">
        <w:rPr>
          <w:sz w:val="28"/>
          <w:szCs w:val="28"/>
          <w:lang w:val="ru-RU"/>
        </w:rPr>
        <w:t xml:space="preserve">. Типология непубличных компаний может быть построена по нескольким независимым основаниям: </w:t>
      </w:r>
    </w:p>
    <w:p w14:paraId="47EC99D6" w14:textId="117CD5BF" w:rsidR="004D6521" w:rsidRPr="004D6521" w:rsidRDefault="004D6521" w:rsidP="004D6521">
      <w:pPr>
        <w:pStyle w:val="a9"/>
        <w:numPr>
          <w:ilvl w:val="0"/>
          <w:numId w:val="4"/>
        </w:numPr>
        <w:pBdr>
          <w:top w:val="nil"/>
          <w:left w:val="nil"/>
          <w:bottom w:val="nil"/>
          <w:right w:val="nil"/>
          <w:between w:val="nil"/>
        </w:pBdr>
        <w:spacing w:before="2" w:line="360" w:lineRule="auto"/>
        <w:ind w:right="145"/>
        <w:jc w:val="both"/>
        <w:rPr>
          <w:sz w:val="28"/>
          <w:szCs w:val="28"/>
        </w:rPr>
      </w:pPr>
      <w:r w:rsidRPr="004D6521">
        <w:rPr>
          <w:sz w:val="28"/>
          <w:szCs w:val="28"/>
        </w:rPr>
        <w:t>по организационно-правовой форме: общество с ограниченной ответственностью, для которого путь к листингу закрыт по определению, либо акционерное общество (по умолчанию непубличное — НАО), сохраняющее возможность преобразования в публичное акционерное общество по мере прохождения пути к капиталу</w:t>
      </w:r>
      <w:r w:rsidRPr="004D6521">
        <w:rPr>
          <w:sz w:val="28"/>
          <w:szCs w:val="28"/>
          <w:lang w:val="ru-RU"/>
        </w:rPr>
        <w:t>,</w:t>
      </w:r>
    </w:p>
    <w:p w14:paraId="6E012FA6" w14:textId="64EBDF91" w:rsidR="004D6521" w:rsidRPr="004D6521" w:rsidRDefault="00942F88" w:rsidP="004D6521">
      <w:pPr>
        <w:pStyle w:val="a9"/>
        <w:numPr>
          <w:ilvl w:val="0"/>
          <w:numId w:val="4"/>
        </w:numPr>
        <w:pBdr>
          <w:top w:val="nil"/>
          <w:left w:val="nil"/>
          <w:bottom w:val="nil"/>
          <w:right w:val="nil"/>
          <w:between w:val="nil"/>
        </w:pBdr>
        <w:spacing w:before="2" w:line="360" w:lineRule="auto"/>
        <w:ind w:right="145"/>
        <w:jc w:val="both"/>
        <w:rPr>
          <w:sz w:val="28"/>
          <w:szCs w:val="28"/>
        </w:rPr>
      </w:pPr>
      <w:r w:rsidRPr="004D6521">
        <w:rPr>
          <w:sz w:val="28"/>
          <w:szCs w:val="28"/>
          <w:lang w:val="ru-RU"/>
        </w:rPr>
        <w:t xml:space="preserve">по размеру (от микро- и малых предприятий до крупных непубличных холдингов), </w:t>
      </w:r>
    </w:p>
    <w:p w14:paraId="66001CC4" w14:textId="77777777" w:rsidR="004D6521" w:rsidRPr="004D6521" w:rsidRDefault="00942F88" w:rsidP="004D6521">
      <w:pPr>
        <w:pStyle w:val="a9"/>
        <w:numPr>
          <w:ilvl w:val="0"/>
          <w:numId w:val="4"/>
        </w:numPr>
        <w:pBdr>
          <w:top w:val="nil"/>
          <w:left w:val="nil"/>
          <w:bottom w:val="nil"/>
          <w:right w:val="nil"/>
          <w:between w:val="nil"/>
        </w:pBdr>
        <w:spacing w:before="2" w:line="360" w:lineRule="auto"/>
        <w:ind w:right="145"/>
        <w:jc w:val="both"/>
        <w:rPr>
          <w:sz w:val="28"/>
          <w:szCs w:val="28"/>
        </w:rPr>
      </w:pPr>
      <w:r w:rsidRPr="004D6521">
        <w:rPr>
          <w:sz w:val="28"/>
          <w:szCs w:val="28"/>
          <w:lang w:val="ru-RU"/>
        </w:rPr>
        <w:t xml:space="preserve">по характеру собственности (семейный бизнес с концентрированным владением, компании с одним контролирующим инвестором, компании с распределённой структурой миноритарных долей после нескольких раундов финансирования), </w:t>
      </w:r>
    </w:p>
    <w:p w14:paraId="710484F0" w14:textId="77777777" w:rsidR="004D6521" w:rsidRPr="004D6521" w:rsidRDefault="00942F88" w:rsidP="004D6521">
      <w:pPr>
        <w:pStyle w:val="a9"/>
        <w:numPr>
          <w:ilvl w:val="0"/>
          <w:numId w:val="4"/>
        </w:numPr>
        <w:pBdr>
          <w:top w:val="nil"/>
          <w:left w:val="nil"/>
          <w:bottom w:val="nil"/>
          <w:right w:val="nil"/>
          <w:between w:val="nil"/>
        </w:pBdr>
        <w:spacing w:before="2" w:line="360" w:lineRule="auto"/>
        <w:ind w:right="145"/>
        <w:jc w:val="both"/>
        <w:rPr>
          <w:sz w:val="28"/>
          <w:szCs w:val="28"/>
        </w:rPr>
      </w:pPr>
      <w:r w:rsidRPr="004D6521">
        <w:rPr>
          <w:sz w:val="28"/>
          <w:szCs w:val="28"/>
          <w:lang w:val="ru-RU"/>
        </w:rPr>
        <w:t xml:space="preserve">по стадии зрелости (от компании с единственным продуктом на стадии проверки гипотезы до операционно зрелого бизнеса с историей в несколько десятилетий) </w:t>
      </w:r>
    </w:p>
    <w:p w14:paraId="367DEFA7" w14:textId="77777777" w:rsidR="00F85532" w:rsidRPr="00F85532" w:rsidRDefault="00942F88" w:rsidP="00F85532">
      <w:pPr>
        <w:pStyle w:val="a9"/>
        <w:numPr>
          <w:ilvl w:val="0"/>
          <w:numId w:val="4"/>
        </w:numPr>
        <w:pBdr>
          <w:top w:val="nil"/>
          <w:left w:val="nil"/>
          <w:bottom w:val="nil"/>
          <w:right w:val="nil"/>
          <w:between w:val="nil"/>
        </w:pBdr>
        <w:spacing w:before="2" w:line="360" w:lineRule="auto"/>
        <w:ind w:right="145"/>
        <w:jc w:val="both"/>
        <w:rPr>
          <w:sz w:val="28"/>
          <w:szCs w:val="28"/>
        </w:rPr>
      </w:pPr>
      <w:r w:rsidRPr="004D6521">
        <w:rPr>
          <w:sz w:val="28"/>
          <w:szCs w:val="28"/>
          <w:lang w:val="ru-RU"/>
        </w:rPr>
        <w:t>по мотивам привлечения капитала (финансирование роста, рефинансирование долга, выкуп доли существующего акционера, подготовка к смене контроля).</w:t>
      </w:r>
    </w:p>
    <w:p w14:paraId="42041A7A" w14:textId="77777777" w:rsidR="000D2206" w:rsidRPr="007B7B73" w:rsidRDefault="00942F88" w:rsidP="000D2206">
      <w:pPr>
        <w:pBdr>
          <w:top w:val="nil"/>
          <w:left w:val="nil"/>
          <w:bottom w:val="nil"/>
          <w:right w:val="nil"/>
          <w:between w:val="nil"/>
        </w:pBdr>
        <w:spacing w:before="2" w:line="360" w:lineRule="auto"/>
        <w:ind w:left="360" w:right="145"/>
        <w:jc w:val="both"/>
        <w:rPr>
          <w:sz w:val="28"/>
          <w:szCs w:val="28"/>
          <w:lang w:val="ru-RU"/>
        </w:rPr>
      </w:pPr>
      <w:r w:rsidRPr="00F85532">
        <w:rPr>
          <w:sz w:val="28"/>
          <w:szCs w:val="28"/>
        </w:rPr>
        <w:t xml:space="preserve">Именно последнее основание — мотив привлечения капитала — определяет, какой из последующих этапов пути (венчур, PE, pre-IPO, IPO) актуален для конкретной компании, и потому именно оно, наряду со стадией учётно-информационной зрелости (вводимой в главе 3), а не абстрактный факт </w:t>
      </w:r>
      <w:r w:rsidRPr="000D2206">
        <w:rPr>
          <w:sz w:val="28"/>
          <w:szCs w:val="28"/>
          <w:lang w:val="ru-RU"/>
        </w:rPr>
        <w:t>непубличности как таковой, задаёт границы применимости настоящей методики.</w:t>
      </w:r>
    </w:p>
    <w:p w14:paraId="56883E30" w14:textId="77777777" w:rsidR="000D2206" w:rsidRPr="007B7B73" w:rsidRDefault="000D2206" w:rsidP="000D2206">
      <w:pPr>
        <w:pBdr>
          <w:top w:val="nil"/>
          <w:left w:val="nil"/>
          <w:bottom w:val="nil"/>
          <w:right w:val="nil"/>
          <w:between w:val="nil"/>
        </w:pBdr>
        <w:spacing w:before="2" w:line="360" w:lineRule="auto"/>
        <w:ind w:left="360" w:right="145"/>
        <w:jc w:val="both"/>
        <w:rPr>
          <w:sz w:val="28"/>
          <w:szCs w:val="28"/>
          <w:lang w:val="ru-RU"/>
        </w:rPr>
      </w:pPr>
      <w:r w:rsidRPr="000D2206">
        <w:rPr>
          <w:sz w:val="28"/>
          <w:szCs w:val="28"/>
          <w:lang w:val="ru-RU"/>
        </w:rPr>
        <w:t>Обобщённо изложенная логика разграничения — от общей массы юридических лиц через</w:t>
      </w:r>
      <w:r w:rsidRPr="000D2206">
        <w:rPr>
          <w:sz w:val="28"/>
          <w:szCs w:val="28"/>
        </w:rPr>
        <w:t xml:space="preserve"> организационно-правовую форму и публичный статус к типологии непубличных компаний по четырём основаниям — представлена на рисунке 1.3.</w:t>
      </w:r>
    </w:p>
    <w:p w14:paraId="31CB2B79" w14:textId="32789210" w:rsidR="000D2206" w:rsidRPr="000D2206" w:rsidRDefault="000D2206" w:rsidP="000D2206">
      <w:pPr>
        <w:pBdr>
          <w:top w:val="nil"/>
          <w:left w:val="nil"/>
          <w:bottom w:val="nil"/>
          <w:right w:val="nil"/>
          <w:between w:val="nil"/>
        </w:pBdr>
        <w:spacing w:before="2" w:line="360" w:lineRule="auto"/>
        <w:ind w:left="360" w:right="145"/>
        <w:jc w:val="both"/>
        <w:rPr>
          <w:sz w:val="28"/>
          <w:szCs w:val="28"/>
          <w:lang w:val="ru-RU"/>
        </w:rPr>
      </w:pPr>
      <w:r w:rsidRPr="000D2206">
        <w:rPr>
          <w:sz w:val="28"/>
          <w:szCs w:val="28"/>
        </w:rPr>
        <w:t xml:space="preserve">Рисунок 1.3 – </w:t>
      </w:r>
      <w:r>
        <w:rPr>
          <w:sz w:val="28"/>
          <w:szCs w:val="28"/>
          <w:lang w:val="ru-RU"/>
        </w:rPr>
        <w:t>Т</w:t>
      </w:r>
      <w:r w:rsidRPr="000D2206">
        <w:rPr>
          <w:sz w:val="28"/>
          <w:szCs w:val="28"/>
        </w:rPr>
        <w:t>ипологи</w:t>
      </w:r>
      <w:r>
        <w:rPr>
          <w:sz w:val="28"/>
          <w:szCs w:val="28"/>
          <w:lang w:val="ru-RU"/>
        </w:rPr>
        <w:t>я</w:t>
      </w:r>
      <w:r w:rsidRPr="000D2206">
        <w:rPr>
          <w:sz w:val="28"/>
          <w:szCs w:val="28"/>
        </w:rPr>
        <w:t xml:space="preserve"> компаний</w:t>
      </w:r>
    </w:p>
    <w:p w14:paraId="5A4F8DD5" w14:textId="77777777" w:rsidR="000D2206" w:rsidRPr="00310D50" w:rsidRDefault="000D2206" w:rsidP="000D2206">
      <w:pPr>
        <w:pBdr>
          <w:top w:val="nil"/>
          <w:left w:val="nil"/>
          <w:bottom w:val="nil"/>
          <w:right w:val="nil"/>
          <w:between w:val="nil"/>
        </w:pBdr>
        <w:spacing w:before="2" w:line="360" w:lineRule="auto"/>
        <w:ind w:right="145"/>
        <w:jc w:val="both"/>
        <w:rPr>
          <w:sz w:val="28"/>
          <w:szCs w:val="28"/>
          <w:lang w:val="ru-RU"/>
        </w:rPr>
      </w:pPr>
      <w:r w:rsidRPr="000D2206">
        <w:rPr>
          <w:noProof/>
          <w:sz w:val="28"/>
          <w:szCs w:val="28"/>
          <w:lang w:val="ru-RU" w:eastAsia="ru-RU"/>
        </w:rPr>
        <w:lastRenderedPageBreak/>
        <w:drawing>
          <wp:inline distT="0" distB="0" distL="0" distR="0" wp14:anchorId="783C23F5" wp14:editId="363C6E82">
            <wp:extent cx="6483350" cy="2684145"/>
            <wp:effectExtent l="0" t="0" r="0" b="1905"/>
            <wp:docPr id="837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310" name=""/>
                    <pic:cNvPicPr/>
                  </pic:nvPicPr>
                  <pic:blipFill>
                    <a:blip r:embed="rId14"/>
                    <a:stretch>
                      <a:fillRect/>
                    </a:stretch>
                  </pic:blipFill>
                  <pic:spPr>
                    <a:xfrm>
                      <a:off x="0" y="0"/>
                      <a:ext cx="6483350" cy="2684145"/>
                    </a:xfrm>
                    <a:prstGeom prst="rect">
                      <a:avLst/>
                    </a:prstGeom>
                  </pic:spPr>
                </pic:pic>
              </a:graphicData>
            </a:graphic>
          </wp:inline>
        </w:drawing>
      </w:r>
    </w:p>
    <w:p w14:paraId="02AA0D64" w14:textId="77777777" w:rsidR="000D2206" w:rsidRPr="000D2206" w:rsidRDefault="000D2206" w:rsidP="000D2206">
      <w:pPr>
        <w:pBdr>
          <w:top w:val="nil"/>
          <w:left w:val="nil"/>
          <w:bottom w:val="nil"/>
          <w:right w:val="nil"/>
          <w:between w:val="nil"/>
        </w:pBdr>
        <w:spacing w:before="2" w:line="360" w:lineRule="auto"/>
        <w:ind w:right="145"/>
        <w:jc w:val="both"/>
        <w:rPr>
          <w:sz w:val="28"/>
          <w:szCs w:val="28"/>
          <w:lang w:val="ru-RU"/>
        </w:rPr>
      </w:pPr>
      <w:r>
        <w:rPr>
          <w:sz w:val="28"/>
          <w:szCs w:val="28"/>
          <w:lang w:val="ru-RU"/>
        </w:rPr>
        <w:t>Источник</w:t>
      </w:r>
      <w:r w:rsidRPr="000D2206">
        <w:rPr>
          <w:sz w:val="28"/>
          <w:szCs w:val="28"/>
          <w:lang w:val="ru-RU"/>
        </w:rPr>
        <w:t xml:space="preserve">: </w:t>
      </w:r>
      <w:r w:rsidRPr="000D2206">
        <w:rPr>
          <w:sz w:val="28"/>
          <w:szCs w:val="28"/>
        </w:rPr>
        <w:t xml:space="preserve">Составлено автором на основе ст. 66.3 ГК РФ, Единого реестра субъектов МСП, годового </w:t>
      </w:r>
      <w:r w:rsidRPr="000D2206">
        <w:rPr>
          <w:sz w:val="28"/>
          <w:szCs w:val="28"/>
          <w:lang w:val="ru-RU"/>
        </w:rPr>
        <w:t>отчёта ПАО «Московская Биржа» за 2025 год.</w:t>
      </w:r>
    </w:p>
    <w:p w14:paraId="25501001" w14:textId="7971D2F0" w:rsidR="000D2206" w:rsidRPr="000D2206" w:rsidRDefault="000D2206" w:rsidP="000D2206">
      <w:pPr>
        <w:pBdr>
          <w:top w:val="nil"/>
          <w:left w:val="nil"/>
          <w:bottom w:val="nil"/>
          <w:right w:val="nil"/>
          <w:between w:val="nil"/>
        </w:pBdr>
        <w:spacing w:before="2" w:line="360" w:lineRule="auto"/>
        <w:ind w:right="145"/>
        <w:jc w:val="both"/>
        <w:rPr>
          <w:sz w:val="28"/>
          <w:szCs w:val="28"/>
          <w:lang w:val="ru-RU"/>
        </w:rPr>
      </w:pPr>
      <w:r w:rsidRPr="000D2206">
        <w:rPr>
          <w:sz w:val="28"/>
          <w:szCs w:val="28"/>
          <w:lang w:val="ru-RU"/>
        </w:rPr>
        <w:t xml:space="preserve">Классификация компании как объекта </w:t>
      </w:r>
      <w:r>
        <w:rPr>
          <w:sz w:val="28"/>
          <w:szCs w:val="28"/>
          <w:lang w:val="ru-RU"/>
        </w:rPr>
        <w:t xml:space="preserve">на </w:t>
      </w:r>
      <w:r w:rsidRPr="000D2206">
        <w:rPr>
          <w:sz w:val="28"/>
          <w:szCs w:val="28"/>
          <w:lang w:val="ru-RU"/>
        </w:rPr>
        <w:t>пути к капиталу — лишь первый шаг</w:t>
      </w:r>
      <w:r>
        <w:rPr>
          <w:sz w:val="28"/>
          <w:szCs w:val="28"/>
          <w:lang w:val="ru-RU"/>
        </w:rPr>
        <w:t>.</w:t>
      </w:r>
      <w:r w:rsidRPr="000D2206">
        <w:rPr>
          <w:sz w:val="28"/>
          <w:szCs w:val="28"/>
          <w:lang w:val="ru-RU"/>
        </w:rPr>
        <w:t xml:space="preserve"> </w:t>
      </w:r>
      <w:r>
        <w:rPr>
          <w:sz w:val="28"/>
          <w:szCs w:val="28"/>
          <w:lang w:val="ru-RU"/>
        </w:rPr>
        <w:t>Д</w:t>
      </w:r>
      <w:r w:rsidRPr="000D2206">
        <w:rPr>
          <w:sz w:val="28"/>
          <w:szCs w:val="28"/>
          <w:lang w:val="ru-RU"/>
        </w:rPr>
        <w:t xml:space="preserve">альше необходимо развести две различные системы координат, в которых этот путь может быть описан, </w:t>
      </w:r>
      <w:r>
        <w:rPr>
          <w:sz w:val="28"/>
          <w:szCs w:val="28"/>
          <w:lang w:val="ru-RU"/>
        </w:rPr>
        <w:t>а именно</w:t>
      </w:r>
      <w:r w:rsidRPr="000D2206">
        <w:rPr>
          <w:sz w:val="28"/>
          <w:szCs w:val="28"/>
          <w:lang w:val="ru-RU"/>
        </w:rPr>
        <w:t xml:space="preserve"> стадию жизненного цикла бизнеса и тип привлекаемого им институционального капитала.</w:t>
      </w:r>
    </w:p>
    <w:p w14:paraId="6ABB5B78" w14:textId="5D7C942A" w:rsidR="00F85532" w:rsidRPr="00213287" w:rsidRDefault="00F85532" w:rsidP="00F85532">
      <w:pPr>
        <w:pBdr>
          <w:top w:val="nil"/>
          <w:left w:val="nil"/>
          <w:bottom w:val="nil"/>
          <w:right w:val="nil"/>
          <w:between w:val="nil"/>
        </w:pBdr>
        <w:spacing w:before="2" w:line="360" w:lineRule="auto"/>
        <w:ind w:left="140" w:right="145" w:firstLine="708"/>
        <w:jc w:val="both"/>
        <w:rPr>
          <w:sz w:val="28"/>
          <w:szCs w:val="28"/>
          <w:u w:val="single"/>
          <w:lang w:val="ru-RU"/>
        </w:rPr>
      </w:pPr>
      <w:r w:rsidRPr="00F85532">
        <w:rPr>
          <w:sz w:val="28"/>
          <w:szCs w:val="28"/>
          <w:u w:val="single"/>
          <w:lang w:val="ru-RU"/>
        </w:rPr>
        <w:t>Жизненный путь компании</w:t>
      </w:r>
      <w:r w:rsidR="001E5DF5">
        <w:rPr>
          <w:sz w:val="28"/>
          <w:szCs w:val="28"/>
          <w:u w:val="single"/>
          <w:lang w:val="ru-RU"/>
        </w:rPr>
        <w:t xml:space="preserve"> как первое </w:t>
      </w:r>
      <w:r w:rsidRPr="00F85532">
        <w:rPr>
          <w:sz w:val="28"/>
          <w:szCs w:val="28"/>
          <w:u w:val="single"/>
          <w:lang w:val="ru-RU"/>
        </w:rPr>
        <w:t>независим</w:t>
      </w:r>
      <w:r w:rsidR="001E5DF5">
        <w:rPr>
          <w:sz w:val="28"/>
          <w:szCs w:val="28"/>
          <w:u w:val="single"/>
          <w:lang w:val="ru-RU"/>
        </w:rPr>
        <w:t>ое</w:t>
      </w:r>
      <w:r w:rsidRPr="00F85532">
        <w:rPr>
          <w:sz w:val="28"/>
          <w:szCs w:val="28"/>
          <w:u w:val="single"/>
          <w:lang w:val="ru-RU"/>
        </w:rPr>
        <w:t xml:space="preserve"> измерени</w:t>
      </w:r>
      <w:r w:rsidR="001E5DF5">
        <w:rPr>
          <w:sz w:val="28"/>
          <w:szCs w:val="28"/>
          <w:u w:val="single"/>
          <w:lang w:val="ru-RU"/>
        </w:rPr>
        <w:t>е</w:t>
      </w:r>
      <w:r w:rsidRPr="00F85532">
        <w:rPr>
          <w:sz w:val="28"/>
          <w:szCs w:val="28"/>
          <w:u w:val="single"/>
          <w:lang w:val="ru-RU"/>
        </w:rPr>
        <w:t xml:space="preserve"> и обзор классификаций ЖЦ</w:t>
      </w:r>
    </w:p>
    <w:p w14:paraId="56D5B356" w14:textId="1625A221" w:rsidR="00F85532" w:rsidRPr="00F85532" w:rsidRDefault="001E5DF5" w:rsidP="00F8553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Рассм</w:t>
      </w:r>
      <w:r w:rsidR="004D6B68">
        <w:rPr>
          <w:sz w:val="28"/>
          <w:szCs w:val="28"/>
          <w:lang w:val="ru-RU"/>
        </w:rPr>
        <w:t>о</w:t>
      </w:r>
      <w:r>
        <w:rPr>
          <w:sz w:val="28"/>
          <w:szCs w:val="28"/>
          <w:lang w:val="ru-RU"/>
        </w:rPr>
        <w:t xml:space="preserve">трим два измерения роста и развития бизнеса, формально связанные между собой, но требующие критического переосмысления их связи – жизненный цикл и раунды финансирования. </w:t>
      </w:r>
      <w:r w:rsidR="00F85532" w:rsidRPr="00F85532">
        <w:rPr>
          <w:sz w:val="28"/>
          <w:szCs w:val="28"/>
          <w:lang w:val="ru-RU"/>
        </w:rPr>
        <w:t xml:space="preserve">Первое измерение — универсальная стадия жизненного цикла компании, не зависящая от того, привлекает ли компания вообще внешний институциональный капитал. Второе измерение — тип институционального капитала, который компания решает привлечь на определённом этапе своего пути. Это измерение накладывается на первое опционально: компания может пройти весь путь, ни разу не привлекая венчурный или </w:t>
      </w:r>
      <w:r w:rsidR="00F85532" w:rsidRPr="00F85532">
        <w:rPr>
          <w:sz w:val="28"/>
          <w:szCs w:val="28"/>
          <w:lang w:val="en-US"/>
        </w:rPr>
        <w:t>PE</w:t>
      </w:r>
      <w:r w:rsidR="00F85532" w:rsidRPr="00F85532">
        <w:rPr>
          <w:sz w:val="28"/>
          <w:szCs w:val="28"/>
          <w:lang w:val="ru-RU"/>
        </w:rPr>
        <w:t>-капитал, финансируясь исключительно за счёт собственной прибыли и</w:t>
      </w:r>
      <w:r w:rsidR="00F52647" w:rsidRPr="00F52647">
        <w:rPr>
          <w:sz w:val="28"/>
          <w:szCs w:val="28"/>
          <w:lang w:val="ru-RU"/>
        </w:rPr>
        <w:t>/</w:t>
      </w:r>
      <w:r w:rsidR="00F52647">
        <w:rPr>
          <w:sz w:val="28"/>
          <w:szCs w:val="28"/>
          <w:lang w:val="ru-RU"/>
        </w:rPr>
        <w:t>или</w:t>
      </w:r>
      <w:r w:rsidR="00F85532" w:rsidRPr="00F85532">
        <w:rPr>
          <w:sz w:val="28"/>
          <w:szCs w:val="28"/>
          <w:lang w:val="ru-RU"/>
        </w:rPr>
        <w:t xml:space="preserve"> банковских кредитов.</w:t>
      </w:r>
    </w:p>
    <w:p w14:paraId="5F4DC474" w14:textId="4BA6438F" w:rsidR="00F85532" w:rsidRPr="007B7B73" w:rsidRDefault="00F8553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t xml:space="preserve">Классификации </w:t>
      </w:r>
      <w:r w:rsidR="00F52647" w:rsidRPr="00F85532">
        <w:rPr>
          <w:sz w:val="28"/>
          <w:szCs w:val="28"/>
          <w:lang w:val="ru-RU"/>
        </w:rPr>
        <w:t>жизненного цикла компании</w:t>
      </w:r>
      <w:r w:rsidR="00F52647">
        <w:rPr>
          <w:sz w:val="28"/>
          <w:szCs w:val="28"/>
          <w:lang w:val="ru-RU"/>
        </w:rPr>
        <w:t xml:space="preserve"> как</w:t>
      </w:r>
      <w:r w:rsidR="00F52647" w:rsidRPr="00F85532">
        <w:rPr>
          <w:sz w:val="28"/>
          <w:szCs w:val="28"/>
          <w:lang w:val="ru-RU"/>
        </w:rPr>
        <w:t xml:space="preserve"> </w:t>
      </w:r>
      <w:r w:rsidRPr="00F85532">
        <w:rPr>
          <w:sz w:val="28"/>
          <w:szCs w:val="28"/>
          <w:lang w:val="ru-RU"/>
        </w:rPr>
        <w:t>первого измерения</w:t>
      </w:r>
      <w:r w:rsidR="00F52647">
        <w:rPr>
          <w:sz w:val="28"/>
          <w:szCs w:val="28"/>
          <w:lang w:val="ru-RU"/>
        </w:rPr>
        <w:t xml:space="preserve"> </w:t>
      </w:r>
      <w:r w:rsidRPr="00F85532">
        <w:rPr>
          <w:sz w:val="28"/>
          <w:szCs w:val="28"/>
          <w:lang w:val="ru-RU"/>
        </w:rPr>
        <w:t>развивались в менеджменте по нескольким независимым традициям, различающимся тем, что именно берётся за основание для выделения стадий.</w:t>
      </w:r>
      <w:r w:rsidR="00DA2EB7">
        <w:rPr>
          <w:sz w:val="28"/>
          <w:szCs w:val="28"/>
          <w:lang w:val="ru-RU"/>
        </w:rPr>
        <w:t xml:space="preserve"> </w:t>
      </w:r>
      <w:r w:rsidR="00DA2EB7" w:rsidRPr="00DA2EB7">
        <w:rPr>
          <w:sz w:val="28"/>
          <w:szCs w:val="28"/>
          <w:lang w:val="ru-RU"/>
        </w:rPr>
        <w:lastRenderedPageBreak/>
        <w:t>Обзор этих традиций и авторов представлен на рисунке 1.4.</w:t>
      </w:r>
    </w:p>
    <w:p w14:paraId="3F12C294" w14:textId="468D661A" w:rsidR="00DA2EB7" w:rsidRPr="00DA2EB7" w:rsidRDefault="00DA2EB7" w:rsidP="00F85532">
      <w:pPr>
        <w:pBdr>
          <w:top w:val="nil"/>
          <w:left w:val="nil"/>
          <w:bottom w:val="nil"/>
          <w:right w:val="nil"/>
          <w:between w:val="nil"/>
        </w:pBdr>
        <w:spacing w:before="2" w:line="360" w:lineRule="auto"/>
        <w:ind w:left="140" w:right="145" w:firstLine="708"/>
        <w:jc w:val="both"/>
        <w:rPr>
          <w:sz w:val="28"/>
          <w:szCs w:val="28"/>
          <w:lang w:val="ru-RU"/>
        </w:rPr>
      </w:pPr>
      <w:r w:rsidRPr="00DA2EB7">
        <w:rPr>
          <w:sz w:val="28"/>
          <w:szCs w:val="28"/>
        </w:rPr>
        <w:t>Рисунок 1.4 – Семейства классификаций жизненного цикла компании</w:t>
      </w:r>
    </w:p>
    <w:p w14:paraId="459157DA" w14:textId="39067FA1" w:rsidR="00DA2EB7" w:rsidRDefault="00544DD2" w:rsidP="00DA2EB7">
      <w:pPr>
        <w:pBdr>
          <w:top w:val="nil"/>
          <w:left w:val="nil"/>
          <w:bottom w:val="nil"/>
          <w:right w:val="nil"/>
          <w:between w:val="nil"/>
        </w:pBdr>
        <w:spacing w:before="2" w:line="360" w:lineRule="auto"/>
        <w:ind w:right="145"/>
        <w:jc w:val="both"/>
        <w:rPr>
          <w:sz w:val="28"/>
          <w:szCs w:val="28"/>
          <w:lang w:val="en-US"/>
        </w:rPr>
      </w:pPr>
      <w:r w:rsidRPr="00544DD2">
        <w:rPr>
          <w:noProof/>
          <w:sz w:val="28"/>
          <w:szCs w:val="28"/>
          <w:lang w:val="ru-RU" w:eastAsia="ru-RU"/>
        </w:rPr>
        <w:drawing>
          <wp:inline distT="0" distB="0" distL="0" distR="0" wp14:anchorId="495B178F" wp14:editId="2C95ABFA">
            <wp:extent cx="6483350" cy="1799590"/>
            <wp:effectExtent l="0" t="0" r="0" b="0"/>
            <wp:docPr id="128849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9452" name=""/>
                    <pic:cNvPicPr/>
                  </pic:nvPicPr>
                  <pic:blipFill>
                    <a:blip r:embed="rId15"/>
                    <a:stretch>
                      <a:fillRect/>
                    </a:stretch>
                  </pic:blipFill>
                  <pic:spPr>
                    <a:xfrm>
                      <a:off x="0" y="0"/>
                      <a:ext cx="6483350" cy="1799590"/>
                    </a:xfrm>
                    <a:prstGeom prst="rect">
                      <a:avLst/>
                    </a:prstGeom>
                  </pic:spPr>
                </pic:pic>
              </a:graphicData>
            </a:graphic>
          </wp:inline>
        </w:drawing>
      </w:r>
    </w:p>
    <w:p w14:paraId="06BF7E39" w14:textId="16B60851" w:rsidR="00544DD2" w:rsidRPr="00544DD2" w:rsidRDefault="00544DD2" w:rsidP="00DA2EB7">
      <w:pPr>
        <w:pBdr>
          <w:top w:val="nil"/>
          <w:left w:val="nil"/>
          <w:bottom w:val="nil"/>
          <w:right w:val="nil"/>
          <w:between w:val="nil"/>
        </w:pBdr>
        <w:spacing w:before="2" w:line="360" w:lineRule="auto"/>
        <w:ind w:right="145"/>
        <w:jc w:val="both"/>
        <w:rPr>
          <w:sz w:val="28"/>
          <w:szCs w:val="28"/>
          <w:lang w:val="en-US"/>
        </w:rPr>
      </w:pPr>
      <w:r>
        <w:rPr>
          <w:sz w:val="28"/>
          <w:szCs w:val="28"/>
          <w:lang w:val="ru-RU"/>
        </w:rPr>
        <w:t>Источник</w:t>
      </w:r>
      <w:r w:rsidRPr="00544DD2">
        <w:rPr>
          <w:sz w:val="28"/>
          <w:szCs w:val="28"/>
          <w:lang w:val="en-US"/>
        </w:rPr>
        <w:t>:</w:t>
      </w:r>
      <w:r>
        <w:rPr>
          <w:sz w:val="28"/>
          <w:szCs w:val="28"/>
          <w:lang w:val="en-US"/>
        </w:rPr>
        <w:t xml:space="preserve"> </w:t>
      </w:r>
      <w:r w:rsidRPr="00544DD2">
        <w:rPr>
          <w:sz w:val="28"/>
          <w:szCs w:val="28"/>
        </w:rPr>
        <w:t>Составлено</w:t>
      </w:r>
      <w:r w:rsidRPr="00544DD2">
        <w:rPr>
          <w:sz w:val="28"/>
          <w:szCs w:val="28"/>
          <w:lang w:val="en-US"/>
        </w:rPr>
        <w:t xml:space="preserve"> </w:t>
      </w:r>
      <w:r w:rsidRPr="00544DD2">
        <w:rPr>
          <w:sz w:val="28"/>
          <w:szCs w:val="28"/>
        </w:rPr>
        <w:t>автором</w:t>
      </w:r>
      <w:r w:rsidRPr="00544DD2">
        <w:rPr>
          <w:sz w:val="28"/>
          <w:szCs w:val="28"/>
          <w:lang w:val="en-US"/>
        </w:rPr>
        <w:t xml:space="preserve"> </w:t>
      </w:r>
      <w:r w:rsidRPr="00544DD2">
        <w:rPr>
          <w:sz w:val="28"/>
          <w:szCs w:val="28"/>
        </w:rPr>
        <w:t>на</w:t>
      </w:r>
      <w:r w:rsidRPr="00544DD2">
        <w:rPr>
          <w:sz w:val="28"/>
          <w:szCs w:val="28"/>
          <w:lang w:val="en-US"/>
        </w:rPr>
        <w:t xml:space="preserve"> </w:t>
      </w:r>
      <w:r w:rsidRPr="00544DD2">
        <w:rPr>
          <w:sz w:val="28"/>
          <w:szCs w:val="28"/>
        </w:rPr>
        <w:t>основе</w:t>
      </w:r>
      <w:r w:rsidRPr="00544DD2">
        <w:rPr>
          <w:sz w:val="28"/>
          <w:szCs w:val="28"/>
          <w:lang w:val="en-US"/>
        </w:rPr>
        <w:t>: Greiner (1972); Adizes (1988); Churchill, Lewis (1983); Miller, Friesen (1984); Anthony, Ramesh (1992); Dickinson (2011)</w:t>
      </w:r>
    </w:p>
    <w:p w14:paraId="45768AA7" w14:textId="22C7B60B" w:rsidR="00F85532" w:rsidRPr="00F85532" w:rsidRDefault="00F8553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t>Кризисно-ориентированные модели описывают смену стадий через последовательность управленческих кризисов, которые компания должна преодолеть, чтобы перейти на следующий этап. Л. Грейнер выделяет пять стадий роста, каждая из которых завершается характерным кризисом (лидерства, автономии, контроля, волокиты, роста через сотрудничество)</w:t>
      </w:r>
      <w:r w:rsidR="00F52647">
        <w:rPr>
          <w:rStyle w:val="a7"/>
          <w:sz w:val="28"/>
          <w:szCs w:val="28"/>
          <w:lang w:val="ru-RU"/>
        </w:rPr>
        <w:footnoteReference w:id="127"/>
      </w:r>
      <w:r w:rsidRPr="00F85532">
        <w:rPr>
          <w:sz w:val="28"/>
          <w:szCs w:val="28"/>
          <w:lang w:val="ru-RU"/>
        </w:rPr>
        <w:t>. И. Адизес развивает похожую логику через более детализированную последовательность из десяти стадий (от Ухаживания до Смерти), связывая переход между ними с балансом четырёх управленческих ролей</w:t>
      </w:r>
      <w:r w:rsidR="00F52647">
        <w:rPr>
          <w:rStyle w:val="a7"/>
          <w:sz w:val="28"/>
          <w:szCs w:val="28"/>
          <w:lang w:val="ru-RU"/>
        </w:rPr>
        <w:footnoteReference w:id="128"/>
      </w:r>
      <w:r w:rsidRPr="00F85532">
        <w:rPr>
          <w:sz w:val="28"/>
          <w:szCs w:val="28"/>
          <w:lang w:val="ru-RU"/>
        </w:rPr>
        <w:t>.</w:t>
      </w:r>
    </w:p>
    <w:p w14:paraId="6FB213D0" w14:textId="2F838A45" w:rsidR="00F85532" w:rsidRPr="00F85532" w:rsidRDefault="00F8553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t>Управленчески-ориентированные модели определяют стадию через доминирующую задачу, стоящую перед основателем или менеджментом. Черчилль и Льюис выделяют пять стадий (</w:t>
      </w:r>
      <w:r w:rsidRPr="00F85532">
        <w:rPr>
          <w:sz w:val="28"/>
          <w:szCs w:val="28"/>
          <w:lang w:val="en-US"/>
        </w:rPr>
        <w:t>Existence</w:t>
      </w:r>
      <w:r w:rsidRPr="00F85532">
        <w:rPr>
          <w:sz w:val="28"/>
          <w:szCs w:val="28"/>
          <w:lang w:val="ru-RU"/>
        </w:rPr>
        <w:t xml:space="preserve">, </w:t>
      </w:r>
      <w:r w:rsidRPr="00F85532">
        <w:rPr>
          <w:sz w:val="28"/>
          <w:szCs w:val="28"/>
          <w:lang w:val="en-US"/>
        </w:rPr>
        <w:t>Survival</w:t>
      </w:r>
      <w:r w:rsidRPr="00F85532">
        <w:rPr>
          <w:sz w:val="28"/>
          <w:szCs w:val="28"/>
          <w:lang w:val="ru-RU"/>
        </w:rPr>
        <w:t xml:space="preserve">, </w:t>
      </w:r>
      <w:r w:rsidRPr="00F85532">
        <w:rPr>
          <w:sz w:val="28"/>
          <w:szCs w:val="28"/>
          <w:lang w:val="en-US"/>
        </w:rPr>
        <w:t>Success</w:t>
      </w:r>
      <w:r w:rsidRPr="00F85532">
        <w:rPr>
          <w:sz w:val="28"/>
          <w:szCs w:val="28"/>
          <w:lang w:val="ru-RU"/>
        </w:rPr>
        <w:t xml:space="preserve">, </w:t>
      </w:r>
      <w:r w:rsidRPr="00F85532">
        <w:rPr>
          <w:sz w:val="28"/>
          <w:szCs w:val="28"/>
          <w:lang w:val="en-US"/>
        </w:rPr>
        <w:t>Take</w:t>
      </w:r>
      <w:r w:rsidRPr="00F85532">
        <w:rPr>
          <w:sz w:val="28"/>
          <w:szCs w:val="28"/>
          <w:lang w:val="ru-RU"/>
        </w:rPr>
        <w:t>-</w:t>
      </w:r>
      <w:r w:rsidRPr="00F85532">
        <w:rPr>
          <w:sz w:val="28"/>
          <w:szCs w:val="28"/>
          <w:lang w:val="en-US"/>
        </w:rPr>
        <w:t>off</w:t>
      </w:r>
      <w:r w:rsidRPr="00F85532">
        <w:rPr>
          <w:sz w:val="28"/>
          <w:szCs w:val="28"/>
          <w:lang w:val="ru-RU"/>
        </w:rPr>
        <w:t xml:space="preserve">, </w:t>
      </w:r>
      <w:r w:rsidRPr="00F85532">
        <w:rPr>
          <w:sz w:val="28"/>
          <w:szCs w:val="28"/>
          <w:lang w:val="en-US"/>
        </w:rPr>
        <w:t>Resource</w:t>
      </w:r>
      <w:r w:rsidRPr="00F85532">
        <w:rPr>
          <w:sz w:val="28"/>
          <w:szCs w:val="28"/>
          <w:lang w:val="ru-RU"/>
        </w:rPr>
        <w:t xml:space="preserve"> </w:t>
      </w:r>
      <w:r w:rsidRPr="00F85532">
        <w:rPr>
          <w:sz w:val="28"/>
          <w:szCs w:val="28"/>
          <w:lang w:val="en-US"/>
        </w:rPr>
        <w:t>Maturity</w:t>
      </w:r>
      <w:r w:rsidRPr="00F85532">
        <w:rPr>
          <w:sz w:val="28"/>
          <w:szCs w:val="28"/>
          <w:lang w:val="ru-RU"/>
        </w:rPr>
        <w:t>), каждая со своим набором управленческих приоритетов</w:t>
      </w:r>
      <w:r w:rsidR="00AC5CFD">
        <w:rPr>
          <w:rStyle w:val="a7"/>
          <w:sz w:val="28"/>
          <w:szCs w:val="28"/>
          <w:lang w:val="ru-RU"/>
        </w:rPr>
        <w:footnoteReference w:id="129"/>
      </w:r>
      <w:r w:rsidRPr="00F85532">
        <w:rPr>
          <w:sz w:val="28"/>
          <w:szCs w:val="28"/>
          <w:lang w:val="ru-RU"/>
        </w:rPr>
        <w:t>.</w:t>
      </w:r>
    </w:p>
    <w:p w14:paraId="1DAF0907" w14:textId="002CC3E2" w:rsidR="00F85532" w:rsidRDefault="00F8553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t>Структурно-эмпирические модели определяют стадию через объективные, измеримые характеристики самой компании. Миллер и Фризен предлагают пять стадий (</w:t>
      </w:r>
      <w:r w:rsidRPr="00F85532">
        <w:rPr>
          <w:sz w:val="28"/>
          <w:szCs w:val="28"/>
          <w:lang w:val="en-US"/>
        </w:rPr>
        <w:t>Birth</w:t>
      </w:r>
      <w:r w:rsidRPr="00F85532">
        <w:rPr>
          <w:sz w:val="28"/>
          <w:szCs w:val="28"/>
          <w:lang w:val="ru-RU"/>
        </w:rPr>
        <w:t xml:space="preserve">, </w:t>
      </w:r>
      <w:r w:rsidRPr="00F85532">
        <w:rPr>
          <w:sz w:val="28"/>
          <w:szCs w:val="28"/>
          <w:lang w:val="en-US"/>
        </w:rPr>
        <w:t>Growth</w:t>
      </w:r>
      <w:r w:rsidRPr="00F85532">
        <w:rPr>
          <w:sz w:val="28"/>
          <w:szCs w:val="28"/>
          <w:lang w:val="ru-RU"/>
        </w:rPr>
        <w:t xml:space="preserve">, </w:t>
      </w:r>
      <w:r w:rsidRPr="00F85532">
        <w:rPr>
          <w:sz w:val="28"/>
          <w:szCs w:val="28"/>
          <w:lang w:val="en-US"/>
        </w:rPr>
        <w:t>Maturity</w:t>
      </w:r>
      <w:r w:rsidRPr="00F85532">
        <w:rPr>
          <w:sz w:val="28"/>
          <w:szCs w:val="28"/>
          <w:lang w:val="ru-RU"/>
        </w:rPr>
        <w:t xml:space="preserve">, </w:t>
      </w:r>
      <w:r w:rsidRPr="00F85532">
        <w:rPr>
          <w:sz w:val="28"/>
          <w:szCs w:val="28"/>
          <w:lang w:val="en-US"/>
        </w:rPr>
        <w:t>Revival</w:t>
      </w:r>
      <w:r w:rsidRPr="00F85532">
        <w:rPr>
          <w:sz w:val="28"/>
          <w:szCs w:val="28"/>
          <w:lang w:val="ru-RU"/>
        </w:rPr>
        <w:t xml:space="preserve">, </w:t>
      </w:r>
      <w:r w:rsidRPr="00F85532">
        <w:rPr>
          <w:sz w:val="28"/>
          <w:szCs w:val="28"/>
          <w:lang w:val="en-US"/>
        </w:rPr>
        <w:t>Decline</w:t>
      </w:r>
      <w:r w:rsidRPr="00F85532">
        <w:rPr>
          <w:sz w:val="28"/>
          <w:szCs w:val="28"/>
          <w:lang w:val="ru-RU"/>
        </w:rPr>
        <w:t>), эмпирически выделенных через кластерный анализ показателей возраста, размера, темпа роста и формализации структуры компании</w:t>
      </w:r>
      <w:r w:rsidR="00AC5CFD">
        <w:rPr>
          <w:rStyle w:val="a7"/>
          <w:sz w:val="28"/>
          <w:szCs w:val="28"/>
          <w:lang w:val="ru-RU"/>
        </w:rPr>
        <w:footnoteReference w:id="130"/>
      </w:r>
      <w:r w:rsidRPr="00F85532">
        <w:rPr>
          <w:sz w:val="28"/>
          <w:szCs w:val="28"/>
          <w:lang w:val="ru-RU"/>
        </w:rPr>
        <w:t>.</w:t>
      </w:r>
    </w:p>
    <w:p w14:paraId="244659BE" w14:textId="1B9A6921" w:rsidR="004A434E" w:rsidRPr="00F85532" w:rsidRDefault="00544DD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lastRenderedPageBreak/>
        <w:t>Финансово-эмпирическ</w:t>
      </w:r>
      <w:r>
        <w:rPr>
          <w:sz w:val="28"/>
          <w:szCs w:val="28"/>
          <w:lang w:val="ru-RU"/>
        </w:rPr>
        <w:t>ие</w:t>
      </w:r>
      <w:r w:rsidRPr="00F85532">
        <w:rPr>
          <w:sz w:val="28"/>
          <w:szCs w:val="28"/>
          <w:lang w:val="ru-RU"/>
        </w:rPr>
        <w:t xml:space="preserve"> модел</w:t>
      </w:r>
      <w:r>
        <w:rPr>
          <w:sz w:val="28"/>
          <w:szCs w:val="28"/>
          <w:lang w:val="ru-RU"/>
        </w:rPr>
        <w:t>и</w:t>
      </w:r>
      <w:r w:rsidRPr="00F85532">
        <w:rPr>
          <w:sz w:val="28"/>
          <w:szCs w:val="28"/>
          <w:lang w:val="ru-RU"/>
        </w:rPr>
        <w:t xml:space="preserve"> ид</w:t>
      </w:r>
      <w:r>
        <w:rPr>
          <w:sz w:val="28"/>
          <w:szCs w:val="28"/>
          <w:lang w:val="ru-RU"/>
        </w:rPr>
        <w:t>ут</w:t>
      </w:r>
      <w:r w:rsidRPr="00F85532">
        <w:rPr>
          <w:sz w:val="28"/>
          <w:szCs w:val="28"/>
          <w:lang w:val="ru-RU"/>
        </w:rPr>
        <w:t xml:space="preserve"> ещё дальше по строгости измерения</w:t>
      </w:r>
      <w:r>
        <w:rPr>
          <w:sz w:val="28"/>
          <w:szCs w:val="28"/>
          <w:lang w:val="ru-RU"/>
        </w:rPr>
        <w:t>.</w:t>
      </w:r>
      <w:r w:rsidRPr="00F85532">
        <w:rPr>
          <w:sz w:val="28"/>
          <w:szCs w:val="28"/>
          <w:lang w:val="ru-RU"/>
        </w:rPr>
        <w:t xml:space="preserve"> </w:t>
      </w:r>
      <w:r w:rsidR="004A434E" w:rsidRPr="004A434E">
        <w:rPr>
          <w:sz w:val="28"/>
          <w:szCs w:val="28"/>
        </w:rPr>
        <w:t xml:space="preserve">Более простую, трёхступенчатую модель </w:t>
      </w:r>
      <w:r>
        <w:rPr>
          <w:sz w:val="28"/>
          <w:szCs w:val="28"/>
          <w:lang w:val="ru-RU"/>
        </w:rPr>
        <w:t>этого</w:t>
      </w:r>
      <w:r w:rsidR="004A434E" w:rsidRPr="004A434E">
        <w:rPr>
          <w:sz w:val="28"/>
          <w:szCs w:val="28"/>
        </w:rPr>
        <w:t xml:space="preserve"> семейства предложили Дж. Энтони и К. Рамеш</w:t>
      </w:r>
      <w:r w:rsidR="004A434E">
        <w:rPr>
          <w:rStyle w:val="a7"/>
          <w:sz w:val="28"/>
          <w:szCs w:val="28"/>
        </w:rPr>
        <w:footnoteReference w:id="131"/>
      </w:r>
      <w:r w:rsidR="004A434E" w:rsidRPr="004A434E">
        <w:rPr>
          <w:sz w:val="28"/>
          <w:szCs w:val="28"/>
        </w:rPr>
        <w:t>: Growth (рост), Mature (зрелость), Decline (спад). Стадия здесь определяется через медианные за пять лет значения четырёх бухгалтерских показателей</w:t>
      </w:r>
      <w:r w:rsidRPr="00544DD2">
        <w:rPr>
          <w:sz w:val="28"/>
          <w:szCs w:val="28"/>
          <w:lang w:val="ru-RU"/>
        </w:rPr>
        <w:t>:</w:t>
      </w:r>
      <w:r w:rsidR="004A434E" w:rsidRPr="004A434E">
        <w:rPr>
          <w:sz w:val="28"/>
          <w:szCs w:val="28"/>
        </w:rPr>
        <w:t xml:space="preserve"> коэффициента дивидендных выплат, темпа роста продаж, капитальных затрат и возраста компании</w:t>
      </w:r>
      <w:r w:rsidRPr="00544DD2">
        <w:rPr>
          <w:sz w:val="28"/>
          <w:szCs w:val="28"/>
          <w:lang w:val="ru-RU"/>
        </w:rPr>
        <w:t>.</w:t>
      </w:r>
      <w:r w:rsidR="004A434E" w:rsidRPr="004A434E">
        <w:rPr>
          <w:sz w:val="28"/>
          <w:szCs w:val="28"/>
        </w:rPr>
        <w:t xml:space="preserve"> </w:t>
      </w:r>
      <w:r>
        <w:rPr>
          <w:sz w:val="28"/>
          <w:szCs w:val="28"/>
          <w:lang w:val="ru-RU"/>
        </w:rPr>
        <w:t>Они</w:t>
      </w:r>
      <w:r w:rsidR="004A434E" w:rsidRPr="004A434E">
        <w:rPr>
          <w:sz w:val="28"/>
          <w:szCs w:val="28"/>
        </w:rPr>
        <w:t xml:space="preserve"> ранжируются либо по одной переменной, либо сводятся в составной балл.</w:t>
      </w:r>
    </w:p>
    <w:p w14:paraId="621E06A6" w14:textId="678C467C" w:rsidR="00AC5CFD" w:rsidRPr="00544DD2" w:rsidRDefault="00544DD2" w:rsidP="00F8553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Другую модель данного семейства представляет </w:t>
      </w:r>
      <w:r w:rsidR="00F85532" w:rsidRPr="00F85532">
        <w:rPr>
          <w:sz w:val="28"/>
          <w:szCs w:val="28"/>
          <w:lang w:val="ru-RU"/>
        </w:rPr>
        <w:t>Дикинсон</w:t>
      </w:r>
      <w:r>
        <w:rPr>
          <w:sz w:val="28"/>
          <w:szCs w:val="28"/>
          <w:lang w:val="ru-RU"/>
        </w:rPr>
        <w:t>, в которой он</w:t>
      </w:r>
      <w:r w:rsidR="00F85532" w:rsidRPr="00F85532">
        <w:rPr>
          <w:sz w:val="28"/>
          <w:szCs w:val="28"/>
          <w:lang w:val="ru-RU"/>
        </w:rPr>
        <w:t xml:space="preserve"> определяет стадию исключительно через комбинацию знаков операционного, инвестиционного и финансового денежных потоков компании в отчётности</w:t>
      </w:r>
      <w:r w:rsidR="00AC5CFD" w:rsidRPr="00AC5CFD">
        <w:rPr>
          <w:sz w:val="28"/>
          <w:szCs w:val="28"/>
          <w:lang w:val="ru-RU"/>
        </w:rPr>
        <w:t>.</w:t>
      </w:r>
      <w:r w:rsidR="00F85532" w:rsidRPr="00F85532">
        <w:rPr>
          <w:sz w:val="28"/>
          <w:szCs w:val="28"/>
          <w:lang w:val="ru-RU"/>
        </w:rPr>
        <w:t xml:space="preserve"> </w:t>
      </w:r>
      <w:r w:rsidR="00AC5CFD" w:rsidRPr="00AC5CFD">
        <w:rPr>
          <w:sz w:val="28"/>
          <w:szCs w:val="28"/>
        </w:rPr>
        <w:t xml:space="preserve">Модель выделяет пять стадий: </w:t>
      </w:r>
    </w:p>
    <w:p w14:paraId="69F0B103" w14:textId="77777777" w:rsidR="00B33837" w:rsidRPr="00B33837" w:rsidRDefault="00AC5CFD" w:rsidP="00AC5CFD">
      <w:pPr>
        <w:pStyle w:val="a9"/>
        <w:numPr>
          <w:ilvl w:val="0"/>
          <w:numId w:val="5"/>
        </w:numPr>
        <w:pBdr>
          <w:top w:val="nil"/>
          <w:left w:val="nil"/>
          <w:bottom w:val="nil"/>
          <w:right w:val="nil"/>
          <w:between w:val="nil"/>
        </w:pBdr>
        <w:spacing w:before="2" w:line="360" w:lineRule="auto"/>
        <w:ind w:right="145"/>
        <w:jc w:val="both"/>
        <w:rPr>
          <w:sz w:val="28"/>
          <w:szCs w:val="28"/>
          <w:lang w:val="ru-RU"/>
        </w:rPr>
      </w:pPr>
      <w:r w:rsidRPr="00AC5CFD">
        <w:rPr>
          <w:sz w:val="28"/>
          <w:szCs w:val="28"/>
        </w:rPr>
        <w:t xml:space="preserve">Introduction (внедрение) — отрицательный операционный и инвестиционный потоки при положительном финансовом (компания тратит на операционную деятельность и инвестиции, финансируя это внешними вливаниями); </w:t>
      </w:r>
    </w:p>
    <w:p w14:paraId="5B36ABA0" w14:textId="77777777" w:rsidR="00B33837" w:rsidRPr="00B33837" w:rsidRDefault="00AC5CFD" w:rsidP="00AC5CFD">
      <w:pPr>
        <w:pStyle w:val="a9"/>
        <w:numPr>
          <w:ilvl w:val="0"/>
          <w:numId w:val="5"/>
        </w:numPr>
        <w:pBdr>
          <w:top w:val="nil"/>
          <w:left w:val="nil"/>
          <w:bottom w:val="nil"/>
          <w:right w:val="nil"/>
          <w:between w:val="nil"/>
        </w:pBdr>
        <w:spacing w:before="2" w:line="360" w:lineRule="auto"/>
        <w:ind w:right="145"/>
        <w:jc w:val="both"/>
        <w:rPr>
          <w:sz w:val="28"/>
          <w:szCs w:val="28"/>
          <w:lang w:val="ru-RU"/>
        </w:rPr>
      </w:pPr>
      <w:r w:rsidRPr="00AC5CFD">
        <w:rPr>
          <w:sz w:val="28"/>
          <w:szCs w:val="28"/>
        </w:rPr>
        <w:t xml:space="preserve">Growth (рост) — операционный поток становится положительным при сохранении отрицательного инвестиционного и положительного финансового (бизнес уже приносит деньги, но компания продолжает активно инвестировать и привлекать капитал); </w:t>
      </w:r>
    </w:p>
    <w:p w14:paraId="02DE080E" w14:textId="77777777" w:rsidR="00B33837" w:rsidRPr="00B33837" w:rsidRDefault="00AC5CFD" w:rsidP="00AC5CFD">
      <w:pPr>
        <w:pStyle w:val="a9"/>
        <w:numPr>
          <w:ilvl w:val="0"/>
          <w:numId w:val="5"/>
        </w:numPr>
        <w:pBdr>
          <w:top w:val="nil"/>
          <w:left w:val="nil"/>
          <w:bottom w:val="nil"/>
          <w:right w:val="nil"/>
          <w:between w:val="nil"/>
        </w:pBdr>
        <w:spacing w:before="2" w:line="360" w:lineRule="auto"/>
        <w:ind w:right="145"/>
        <w:jc w:val="both"/>
        <w:rPr>
          <w:sz w:val="28"/>
          <w:szCs w:val="28"/>
          <w:lang w:val="ru-RU"/>
        </w:rPr>
      </w:pPr>
      <w:r w:rsidRPr="00AC5CFD">
        <w:rPr>
          <w:sz w:val="28"/>
          <w:szCs w:val="28"/>
        </w:rPr>
        <w:t xml:space="preserve">Mature (зрелость) — операционный поток положителен, а финансовый становится отрицательным (компания уже возвращает капитал — гасит долг, платит дивиденды, — а не привлекает его); </w:t>
      </w:r>
    </w:p>
    <w:p w14:paraId="46180936" w14:textId="77777777" w:rsidR="00B33837" w:rsidRPr="00B33837" w:rsidRDefault="00AC5CFD" w:rsidP="00AC5CFD">
      <w:pPr>
        <w:pStyle w:val="a9"/>
        <w:numPr>
          <w:ilvl w:val="0"/>
          <w:numId w:val="5"/>
        </w:numPr>
        <w:pBdr>
          <w:top w:val="nil"/>
          <w:left w:val="nil"/>
          <w:bottom w:val="nil"/>
          <w:right w:val="nil"/>
          <w:between w:val="nil"/>
        </w:pBdr>
        <w:spacing w:before="2" w:line="360" w:lineRule="auto"/>
        <w:ind w:right="145"/>
        <w:jc w:val="both"/>
        <w:rPr>
          <w:sz w:val="28"/>
          <w:szCs w:val="28"/>
          <w:lang w:val="ru-RU"/>
        </w:rPr>
      </w:pPr>
      <w:r w:rsidRPr="00AC5CFD">
        <w:rPr>
          <w:sz w:val="28"/>
          <w:szCs w:val="28"/>
        </w:rPr>
        <w:t xml:space="preserve">Shake-out (турбулентность) — переходная, неоднозначная комбинация знаков, обычно совпадающая с вынужденным пересмотром стратегии; </w:t>
      </w:r>
    </w:p>
    <w:p w14:paraId="0BB09BEE" w14:textId="77777777" w:rsidR="00B33837" w:rsidRPr="00B33837" w:rsidRDefault="00AC5CFD" w:rsidP="00AC5CFD">
      <w:pPr>
        <w:pStyle w:val="a9"/>
        <w:numPr>
          <w:ilvl w:val="0"/>
          <w:numId w:val="5"/>
        </w:numPr>
        <w:pBdr>
          <w:top w:val="nil"/>
          <w:left w:val="nil"/>
          <w:bottom w:val="nil"/>
          <w:right w:val="nil"/>
          <w:between w:val="nil"/>
        </w:pBdr>
        <w:spacing w:before="2" w:line="360" w:lineRule="auto"/>
        <w:ind w:right="145"/>
        <w:jc w:val="both"/>
        <w:rPr>
          <w:sz w:val="28"/>
          <w:szCs w:val="28"/>
          <w:lang w:val="ru-RU"/>
        </w:rPr>
      </w:pPr>
      <w:r w:rsidRPr="00AC5CFD">
        <w:rPr>
          <w:sz w:val="28"/>
          <w:szCs w:val="28"/>
        </w:rPr>
        <w:t xml:space="preserve">Decline (спад) — операционный поток отрицателен, а инвестиционный положителен (операционная деятельность уже не приносит денег, компания распродаёт активы). </w:t>
      </w:r>
    </w:p>
    <w:p w14:paraId="5EFA0BC3" w14:textId="5C53C07F" w:rsidR="00F85532" w:rsidRPr="00B33837" w:rsidRDefault="00AC5CFD" w:rsidP="00B33837">
      <w:pPr>
        <w:pBdr>
          <w:top w:val="nil"/>
          <w:left w:val="nil"/>
          <w:bottom w:val="nil"/>
          <w:right w:val="nil"/>
          <w:between w:val="nil"/>
        </w:pBdr>
        <w:spacing w:before="2" w:line="360" w:lineRule="auto"/>
        <w:ind w:left="140" w:right="145" w:firstLine="708"/>
        <w:jc w:val="both"/>
        <w:rPr>
          <w:sz w:val="28"/>
          <w:szCs w:val="28"/>
          <w:lang w:val="ru-RU"/>
        </w:rPr>
      </w:pPr>
      <w:r w:rsidRPr="00B33837">
        <w:rPr>
          <w:sz w:val="28"/>
          <w:szCs w:val="28"/>
          <w:lang w:val="ru-RU"/>
        </w:rPr>
        <w:t xml:space="preserve">Ни один из этих пяти знаков не требует знания возраста, размера или отрасли компании — только самой отчётности о движении денежных средств, что делает </w:t>
      </w:r>
      <w:r w:rsidRPr="00B33837">
        <w:rPr>
          <w:sz w:val="28"/>
          <w:szCs w:val="28"/>
          <w:lang w:val="ru-RU"/>
        </w:rPr>
        <w:lastRenderedPageBreak/>
        <w:t>эту модель единственной из рассмотренных, полностью независимой от источника капитала и применимой даже к компании, никогда не привлекавшей институциональные деньги</w:t>
      </w:r>
      <w:r w:rsidRPr="00B33837">
        <w:rPr>
          <w:vertAlign w:val="superscript"/>
        </w:rPr>
        <w:footnoteReference w:id="132"/>
      </w:r>
      <w:r w:rsidR="00F85532" w:rsidRPr="00B33837">
        <w:rPr>
          <w:sz w:val="28"/>
          <w:szCs w:val="28"/>
          <w:lang w:val="ru-RU"/>
        </w:rPr>
        <w:t>.</w:t>
      </w:r>
    </w:p>
    <w:p w14:paraId="39A216DA" w14:textId="1F63CF7D" w:rsidR="00F85532" w:rsidRPr="00213287" w:rsidRDefault="00F85532" w:rsidP="00F85532">
      <w:pPr>
        <w:pBdr>
          <w:top w:val="nil"/>
          <w:left w:val="nil"/>
          <w:bottom w:val="nil"/>
          <w:right w:val="nil"/>
          <w:between w:val="nil"/>
        </w:pBdr>
        <w:spacing w:before="2" w:line="360" w:lineRule="auto"/>
        <w:ind w:left="140" w:right="145" w:firstLine="708"/>
        <w:jc w:val="both"/>
        <w:rPr>
          <w:sz w:val="28"/>
          <w:szCs w:val="28"/>
          <w:lang w:val="ru-RU"/>
        </w:rPr>
      </w:pPr>
      <w:r w:rsidRPr="00F85532">
        <w:rPr>
          <w:sz w:val="28"/>
          <w:szCs w:val="28"/>
          <w:lang w:val="ru-RU"/>
        </w:rPr>
        <w:t>Именно модел</w:t>
      </w:r>
      <w:r w:rsidR="00D40DF4">
        <w:rPr>
          <w:sz w:val="28"/>
          <w:szCs w:val="28"/>
          <w:lang w:val="ru-RU"/>
        </w:rPr>
        <w:t>и</w:t>
      </w:r>
      <w:r w:rsidRPr="00F85532">
        <w:rPr>
          <w:sz w:val="28"/>
          <w:szCs w:val="28"/>
          <w:lang w:val="ru-RU"/>
        </w:rPr>
        <w:t xml:space="preserve"> Миллер-Фризен и Дикинсон выбран</w:t>
      </w:r>
      <w:r w:rsidR="00D40DF4">
        <w:rPr>
          <w:sz w:val="28"/>
          <w:szCs w:val="28"/>
          <w:lang w:val="ru-RU"/>
        </w:rPr>
        <w:t>ы</w:t>
      </w:r>
      <w:r w:rsidRPr="00F85532">
        <w:rPr>
          <w:sz w:val="28"/>
          <w:szCs w:val="28"/>
          <w:lang w:val="ru-RU"/>
        </w:rPr>
        <w:t xml:space="preserve"> в качестве базовой для настоящего исследования — как наиболее свободные от экспертного усмотрения и наиболее универсальные по применимости, независимо от того, привлекает ли компания внешний капитал.</w:t>
      </w:r>
    </w:p>
    <w:p w14:paraId="3523D835" w14:textId="0769B5A8" w:rsidR="007D76F4" w:rsidRPr="001E5DF5" w:rsidRDefault="002973C1" w:rsidP="00F85532">
      <w:pPr>
        <w:pBdr>
          <w:top w:val="nil"/>
          <w:left w:val="nil"/>
          <w:bottom w:val="nil"/>
          <w:right w:val="nil"/>
          <w:between w:val="nil"/>
        </w:pBdr>
        <w:spacing w:before="2" w:line="360" w:lineRule="auto"/>
        <w:ind w:left="140" w:right="145" w:firstLine="708"/>
        <w:jc w:val="both"/>
        <w:rPr>
          <w:sz w:val="28"/>
          <w:szCs w:val="28"/>
          <w:u w:val="single"/>
          <w:lang w:val="ru-RU"/>
        </w:rPr>
      </w:pPr>
      <w:r>
        <w:rPr>
          <w:sz w:val="28"/>
          <w:szCs w:val="28"/>
          <w:u w:val="single"/>
          <w:lang w:val="ru-RU"/>
        </w:rPr>
        <w:t>Т</w:t>
      </w:r>
      <w:r w:rsidRPr="007D76F4">
        <w:rPr>
          <w:sz w:val="28"/>
          <w:szCs w:val="28"/>
          <w:u w:val="single"/>
        </w:rPr>
        <w:t>ипология раундов</w:t>
      </w:r>
      <w:r w:rsidR="001E5DF5">
        <w:rPr>
          <w:sz w:val="28"/>
          <w:szCs w:val="28"/>
          <w:u w:val="single"/>
          <w:lang w:val="ru-RU"/>
        </w:rPr>
        <w:t xml:space="preserve"> финансирование как второе измерение и</w:t>
      </w:r>
      <w:r w:rsidRPr="007D76F4">
        <w:rPr>
          <w:sz w:val="28"/>
          <w:szCs w:val="28"/>
          <w:u w:val="single"/>
        </w:rPr>
        <w:t xml:space="preserve"> </w:t>
      </w:r>
      <w:r w:rsidR="001E5DF5">
        <w:rPr>
          <w:sz w:val="28"/>
          <w:szCs w:val="28"/>
          <w:u w:val="single"/>
          <w:lang w:val="ru-RU"/>
        </w:rPr>
        <w:t>к</w:t>
      </w:r>
      <w:r w:rsidR="007D76F4" w:rsidRPr="007D76F4">
        <w:rPr>
          <w:sz w:val="28"/>
          <w:szCs w:val="28"/>
          <w:u w:val="single"/>
        </w:rPr>
        <w:t>ритика привязки стадии к финансированию</w:t>
      </w:r>
    </w:p>
    <w:p w14:paraId="4FE3E93C" w14:textId="461484C0" w:rsidR="001E5DF5" w:rsidRPr="004C5A59" w:rsidRDefault="001E5DF5" w:rsidP="001E5DF5">
      <w:pPr>
        <w:pBdr>
          <w:top w:val="nil"/>
          <w:left w:val="nil"/>
          <w:bottom w:val="nil"/>
          <w:right w:val="nil"/>
          <w:between w:val="nil"/>
        </w:pBdr>
        <w:spacing w:before="2" w:line="360" w:lineRule="auto"/>
        <w:ind w:left="140" w:right="145" w:firstLine="708"/>
        <w:jc w:val="both"/>
        <w:rPr>
          <w:sz w:val="28"/>
          <w:szCs w:val="28"/>
          <w:lang w:val="ru-RU"/>
        </w:rPr>
      </w:pPr>
      <w:r w:rsidRPr="004C5A59">
        <w:rPr>
          <w:sz w:val="28"/>
          <w:szCs w:val="28"/>
          <w:lang w:val="ru-RU"/>
        </w:rPr>
        <w:t xml:space="preserve">Этот блок </w:t>
      </w:r>
      <w:r>
        <w:rPr>
          <w:sz w:val="28"/>
          <w:szCs w:val="28"/>
          <w:lang w:val="ru-RU"/>
        </w:rPr>
        <w:t>анализа</w:t>
      </w:r>
      <w:r w:rsidRPr="004C5A59">
        <w:rPr>
          <w:sz w:val="28"/>
          <w:szCs w:val="28"/>
          <w:lang w:val="ru-RU"/>
        </w:rPr>
        <w:t xml:space="preserve"> заслуживает особого внимания: ключевые этапы привлечения капитала </w:t>
      </w:r>
      <w:r>
        <w:rPr>
          <w:sz w:val="28"/>
          <w:szCs w:val="28"/>
          <w:lang w:val="ru-RU"/>
        </w:rPr>
        <w:t>выделяются в</w:t>
      </w:r>
      <w:r w:rsidRPr="004C5A59">
        <w:rPr>
          <w:sz w:val="28"/>
          <w:szCs w:val="28"/>
          <w:lang w:val="ru-RU"/>
        </w:rPr>
        <w:t xml:space="preserve"> самом названии настоящего диссертационного исследования, и именно от точности их типологии зависит корректность применения </w:t>
      </w:r>
      <w:r>
        <w:rPr>
          <w:sz w:val="28"/>
          <w:szCs w:val="28"/>
          <w:lang w:val="ru-RU"/>
        </w:rPr>
        <w:t>предлагаемой</w:t>
      </w:r>
      <w:r w:rsidRPr="004C5A59">
        <w:rPr>
          <w:sz w:val="28"/>
          <w:szCs w:val="28"/>
          <w:lang w:val="ru-RU"/>
        </w:rPr>
        <w:t xml:space="preserve"> методики на каждом этапе. В отличие от универсального жизненного цикла компании (первое измерение, рассмотренное выше), классификации раундов финансирования — это уже второе, накладываемое измерение, и здесь особенно важно показать</w:t>
      </w:r>
      <w:r>
        <w:rPr>
          <w:sz w:val="28"/>
          <w:szCs w:val="28"/>
          <w:lang w:val="ru-RU"/>
        </w:rPr>
        <w:t>, что</w:t>
      </w:r>
      <w:r w:rsidRPr="004C5A59">
        <w:rPr>
          <w:sz w:val="28"/>
          <w:szCs w:val="28"/>
          <w:lang w:val="ru-RU"/>
        </w:rPr>
        <w:t xml:space="preserve"> даже признанные отраслевые и научные системы не образуют единой номенклатуры.</w:t>
      </w:r>
    </w:p>
    <w:p w14:paraId="01A25CEE" w14:textId="3DC970C8" w:rsidR="001E5DF5" w:rsidRPr="00F85532" w:rsidRDefault="00E011CC" w:rsidP="00E011CC">
      <w:pPr>
        <w:pBdr>
          <w:top w:val="nil"/>
          <w:left w:val="nil"/>
          <w:bottom w:val="nil"/>
          <w:right w:val="nil"/>
          <w:between w:val="nil"/>
        </w:pBdr>
        <w:spacing w:before="2" w:line="360" w:lineRule="auto"/>
        <w:ind w:left="140" w:right="145" w:firstLine="708"/>
        <w:jc w:val="both"/>
        <w:rPr>
          <w:sz w:val="28"/>
          <w:szCs w:val="28"/>
          <w:lang w:val="ru-RU"/>
        </w:rPr>
      </w:pPr>
      <w:r w:rsidRPr="00E011CC">
        <w:rPr>
          <w:sz w:val="28"/>
          <w:szCs w:val="28"/>
        </w:rPr>
        <w:t xml:space="preserve">Путь компании </w:t>
      </w:r>
      <w:r w:rsidRPr="000B2458">
        <w:rPr>
          <w:sz w:val="28"/>
          <w:szCs w:val="28"/>
          <w:highlight w:val="cyan"/>
        </w:rPr>
        <w:t>от создания до публичного статуса традиционно описывается как лестница источников финансирования</w:t>
      </w:r>
      <w:r w:rsidRPr="00E011CC">
        <w:rPr>
          <w:sz w:val="28"/>
          <w:szCs w:val="28"/>
        </w:rPr>
        <w:t xml:space="preserve">: </w:t>
      </w:r>
      <w:r w:rsidRPr="000B2458">
        <w:rPr>
          <w:sz w:val="28"/>
          <w:szCs w:val="28"/>
          <w:highlight w:val="cyan"/>
        </w:rPr>
        <w:t>собственные средства основателей → заёмный капитал → венчурное финансирование → фонды прямых инвестиций → pre-IPO → IPO</w:t>
      </w:r>
      <w:r w:rsidRPr="00E011CC">
        <w:rPr>
          <w:sz w:val="28"/>
          <w:szCs w:val="28"/>
        </w:rPr>
        <w:t xml:space="preserve">. </w:t>
      </w:r>
      <w:commentRangeStart w:id="4"/>
      <w:r w:rsidRPr="00E011CC">
        <w:rPr>
          <w:sz w:val="28"/>
          <w:szCs w:val="28"/>
        </w:rPr>
        <w:t>За</w:t>
      </w:r>
      <w:commentRangeEnd w:id="4"/>
      <w:r w:rsidR="000B2458">
        <w:rPr>
          <w:rStyle w:val="af2"/>
        </w:rPr>
        <w:commentReference w:id="4"/>
      </w:r>
      <w:r w:rsidRPr="00E011CC">
        <w:rPr>
          <w:sz w:val="28"/>
          <w:szCs w:val="28"/>
        </w:rPr>
        <w:t xml:space="preserve"> основу настоящего исследования эта интуитивная последовательность принимается не как произвольное обобщение, а как эмпирически обоснованная модель финансового цикла роста А. Бергера и Г. Удела, построенная на </w:t>
      </w:r>
      <w:r>
        <w:rPr>
          <w:sz w:val="28"/>
          <w:szCs w:val="28"/>
          <w:lang w:val="ru-RU"/>
        </w:rPr>
        <w:t>неразрывной связи</w:t>
      </w:r>
      <w:r w:rsidRPr="00E011CC">
        <w:rPr>
          <w:sz w:val="28"/>
          <w:szCs w:val="28"/>
        </w:rPr>
        <w:t xml:space="preserve"> размера, возраста и информационной прозрачности компании. На </w:t>
      </w:r>
      <w:r w:rsidRPr="000B2458">
        <w:rPr>
          <w:sz w:val="28"/>
          <w:szCs w:val="28"/>
          <w:highlight w:val="cyan"/>
        </w:rPr>
        <w:t xml:space="preserve">самой ранней фазе, когда компания ещё разрабатывает продукт или бизнес-концепцию, а её активы преимущественно нематериальны, она вынуждена опираться на начальное, </w:t>
      </w:r>
      <w:commentRangeStart w:id="5"/>
      <w:r w:rsidRPr="000B2458">
        <w:rPr>
          <w:sz w:val="28"/>
          <w:szCs w:val="28"/>
          <w:highlight w:val="cyan"/>
        </w:rPr>
        <w:t>инсайдерское</w:t>
      </w:r>
      <w:commentRangeEnd w:id="5"/>
      <w:r w:rsidR="000B2458">
        <w:rPr>
          <w:rStyle w:val="af2"/>
        </w:rPr>
        <w:commentReference w:id="5"/>
      </w:r>
      <w:r w:rsidRPr="00E011CC">
        <w:rPr>
          <w:sz w:val="28"/>
          <w:szCs w:val="28"/>
        </w:rPr>
        <w:t xml:space="preserve"> финансирование — личные сбережения основателя, займы у семьи и друзей, торговый кредит поставщиков, — поскольку информационная непрозрачность делает её недоступной для внешних, </w:t>
      </w:r>
      <w:r w:rsidRPr="00E011CC">
        <w:rPr>
          <w:sz w:val="28"/>
          <w:szCs w:val="28"/>
        </w:rPr>
        <w:lastRenderedPageBreak/>
        <w:t>формализованных источников капитала. По мере роста компания получает доступ к посредническому финансированию сразу по двум направлениям: заёмному (кредиты банков и финансовых компаний) и долевому (бизнес-ангелы, венчурные фонды)</w:t>
      </w:r>
      <w:r>
        <w:rPr>
          <w:sz w:val="28"/>
          <w:szCs w:val="28"/>
          <w:lang w:val="ru-RU"/>
        </w:rPr>
        <w:t>. О</w:t>
      </w:r>
      <w:r w:rsidRPr="00E011CC">
        <w:rPr>
          <w:sz w:val="28"/>
          <w:szCs w:val="28"/>
        </w:rPr>
        <w:t>ба</w:t>
      </w:r>
      <w:r>
        <w:rPr>
          <w:sz w:val="28"/>
          <w:szCs w:val="28"/>
          <w:lang w:val="ru-RU"/>
        </w:rPr>
        <w:t xml:space="preserve"> этих</w:t>
      </w:r>
      <w:r w:rsidRPr="00E011CC">
        <w:rPr>
          <w:sz w:val="28"/>
          <w:szCs w:val="28"/>
        </w:rPr>
        <w:t xml:space="preserve"> источника становятся доступны параллельно, а не последовательно. Наконец, по мере дальнейшего роста размера, возраста и, что особенно важно, информационной прозрачности компании она получает доступ к публичным рынкам капитала — как долговым, так и долевым</w:t>
      </w:r>
      <w:r w:rsidR="001E5DF5">
        <w:rPr>
          <w:rStyle w:val="a7"/>
          <w:sz w:val="28"/>
          <w:szCs w:val="28"/>
          <w:lang w:val="ru-RU"/>
        </w:rPr>
        <w:footnoteReference w:id="133"/>
      </w:r>
      <w:r w:rsidR="001E5DF5" w:rsidRPr="00F52647">
        <w:rPr>
          <w:sz w:val="28"/>
          <w:szCs w:val="28"/>
          <w:lang w:val="ru-RU"/>
        </w:rPr>
        <w:t>.</w:t>
      </w:r>
      <w:r w:rsidR="001E5DF5" w:rsidRPr="00F52647">
        <w:rPr>
          <w:sz w:val="28"/>
          <w:szCs w:val="28"/>
          <w:lang w:val="en-US"/>
        </w:rPr>
        <w:t> </w:t>
      </w:r>
      <w:r>
        <w:rPr>
          <w:sz w:val="28"/>
          <w:szCs w:val="28"/>
          <w:lang w:val="ru-RU"/>
        </w:rPr>
        <w:t xml:space="preserve">Модель </w:t>
      </w:r>
      <w:r w:rsidRPr="00E011CC">
        <w:rPr>
          <w:sz w:val="28"/>
          <w:szCs w:val="28"/>
        </w:rPr>
        <w:t>Бергера и Удела задаёт общую логику последовательности типов капитала, но остаётся укрупнённ</w:t>
      </w:r>
      <w:r>
        <w:rPr>
          <w:sz w:val="28"/>
          <w:szCs w:val="28"/>
          <w:lang w:val="ru-RU"/>
        </w:rPr>
        <w:t>ой,</w:t>
      </w:r>
      <w:r w:rsidRPr="00E011CC">
        <w:rPr>
          <w:sz w:val="28"/>
          <w:szCs w:val="28"/>
        </w:rPr>
        <w:t xml:space="preserve"> </w:t>
      </w:r>
      <w:r>
        <w:rPr>
          <w:sz w:val="28"/>
          <w:szCs w:val="28"/>
          <w:lang w:val="ru-RU"/>
        </w:rPr>
        <w:t xml:space="preserve">поскольку описывает </w:t>
      </w:r>
      <w:r w:rsidRPr="00E011CC">
        <w:rPr>
          <w:sz w:val="28"/>
          <w:szCs w:val="28"/>
        </w:rPr>
        <w:t xml:space="preserve">три широкие фазы, не </w:t>
      </w:r>
      <w:r>
        <w:rPr>
          <w:sz w:val="28"/>
          <w:szCs w:val="28"/>
          <w:lang w:val="ru-RU"/>
        </w:rPr>
        <w:t>называет</w:t>
      </w:r>
      <w:r w:rsidRPr="00E011CC">
        <w:rPr>
          <w:sz w:val="28"/>
          <w:szCs w:val="28"/>
        </w:rPr>
        <w:t xml:space="preserve"> конкретны</w:t>
      </w:r>
      <w:r>
        <w:rPr>
          <w:sz w:val="28"/>
          <w:szCs w:val="28"/>
          <w:lang w:val="ru-RU"/>
        </w:rPr>
        <w:t>е</w:t>
      </w:r>
      <w:r w:rsidRPr="00E011CC">
        <w:rPr>
          <w:sz w:val="28"/>
          <w:szCs w:val="28"/>
        </w:rPr>
        <w:t>, практически применимы</w:t>
      </w:r>
      <w:r>
        <w:rPr>
          <w:sz w:val="28"/>
          <w:szCs w:val="28"/>
          <w:lang w:val="ru-RU"/>
        </w:rPr>
        <w:t>е</w:t>
      </w:r>
      <w:r w:rsidRPr="00E011CC">
        <w:rPr>
          <w:sz w:val="28"/>
          <w:szCs w:val="28"/>
        </w:rPr>
        <w:t xml:space="preserve"> названия</w:t>
      </w:r>
      <w:r>
        <w:rPr>
          <w:sz w:val="28"/>
          <w:szCs w:val="28"/>
          <w:lang w:val="ru-RU"/>
        </w:rPr>
        <w:t xml:space="preserve"> этапов привлечения капитала с их особенностями</w:t>
      </w:r>
      <w:r w:rsidRPr="00E011CC">
        <w:rPr>
          <w:sz w:val="28"/>
          <w:szCs w:val="28"/>
        </w:rPr>
        <w:t>. Операционализацию этой логики в виде детальных, отраслевых классификаций предлагают</w:t>
      </w:r>
      <w:r>
        <w:rPr>
          <w:sz w:val="28"/>
          <w:szCs w:val="28"/>
          <w:lang w:val="ru-RU"/>
        </w:rPr>
        <w:t xml:space="preserve"> различные</w:t>
      </w:r>
      <w:r w:rsidRPr="00E011CC">
        <w:rPr>
          <w:sz w:val="28"/>
          <w:szCs w:val="28"/>
        </w:rPr>
        <w:t xml:space="preserve"> профессиональные ассоциации венчурного и прямого инвестирования</w:t>
      </w:r>
      <w:r>
        <w:rPr>
          <w:sz w:val="28"/>
          <w:szCs w:val="28"/>
          <w:lang w:val="ru-RU"/>
        </w:rPr>
        <w:t>.</w:t>
      </w:r>
      <w:r w:rsidRPr="00E011CC">
        <w:rPr>
          <w:sz w:val="28"/>
          <w:szCs w:val="28"/>
        </w:rPr>
        <w:t> </w:t>
      </w:r>
    </w:p>
    <w:p w14:paraId="05FD5F92" w14:textId="04C61D77" w:rsidR="004C2BB5" w:rsidRPr="004C2BB5" w:rsidRDefault="00E011CC" w:rsidP="004C2BB5">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Так, </w:t>
      </w:r>
      <w:r w:rsidR="00EA7643" w:rsidRPr="00EA7643">
        <w:rPr>
          <w:sz w:val="28"/>
          <w:szCs w:val="28"/>
        </w:rPr>
        <w:t>Европейская ассоциация венчурного и частного капитала</w:t>
      </w:r>
      <w:r w:rsidR="004C2BB5" w:rsidRPr="004C2BB5">
        <w:rPr>
          <w:sz w:val="28"/>
          <w:szCs w:val="28"/>
        </w:rPr>
        <w:t xml:space="preserve"> </w:t>
      </w:r>
      <w:r w:rsidR="004C2BB5" w:rsidRPr="004C2BB5">
        <w:rPr>
          <w:sz w:val="28"/>
          <w:szCs w:val="28"/>
          <w:lang w:val="en-US"/>
        </w:rPr>
        <w:t>Invest</w:t>
      </w:r>
      <w:r w:rsidR="004C2BB5" w:rsidRPr="004C2BB5">
        <w:rPr>
          <w:sz w:val="28"/>
          <w:szCs w:val="28"/>
          <w:lang w:val="ru-RU"/>
        </w:rPr>
        <w:t xml:space="preserve"> </w:t>
      </w:r>
      <w:r w:rsidR="004C2BB5" w:rsidRPr="004C2BB5">
        <w:rPr>
          <w:sz w:val="28"/>
          <w:szCs w:val="28"/>
          <w:lang w:val="en-US"/>
        </w:rPr>
        <w:t>Europe</w:t>
      </w:r>
      <w:r w:rsidR="004C2BB5" w:rsidRPr="004C2BB5">
        <w:rPr>
          <w:sz w:val="28"/>
          <w:szCs w:val="28"/>
          <w:lang w:val="ru-RU"/>
        </w:rPr>
        <w:t xml:space="preserve"> выделяет семь основных стадий финансирования, которые подразделяются на венчурный капитал (ранние стадии) и прямые инвестиции (поздние стадии). К стадиям венчурного капитала относятся: посевная (</w:t>
      </w:r>
      <w:r w:rsidR="004C2BB5" w:rsidRPr="004C2BB5">
        <w:rPr>
          <w:sz w:val="28"/>
          <w:szCs w:val="28"/>
          <w:lang w:val="en-US"/>
        </w:rPr>
        <w:t>seed</w:t>
      </w:r>
      <w:r w:rsidR="004C2BB5" w:rsidRPr="004C2BB5">
        <w:rPr>
          <w:sz w:val="28"/>
          <w:szCs w:val="28"/>
          <w:lang w:val="ru-RU"/>
        </w:rPr>
        <w:t>) — финансирование для завершения исследований, создания прототипов и рыночных тестов до начала массового производства; стартап (</w:t>
      </w:r>
      <w:r w:rsidR="004C2BB5" w:rsidRPr="004C2BB5">
        <w:rPr>
          <w:sz w:val="28"/>
          <w:szCs w:val="28"/>
          <w:lang w:val="en-US"/>
        </w:rPr>
        <w:t>start</w:t>
      </w:r>
      <w:r w:rsidR="004C2BB5" w:rsidRPr="004C2BB5">
        <w:rPr>
          <w:sz w:val="28"/>
          <w:szCs w:val="28"/>
          <w:lang w:val="ru-RU"/>
        </w:rPr>
        <w:t>-</w:t>
      </w:r>
      <w:r w:rsidR="004C2BB5" w:rsidRPr="004C2BB5">
        <w:rPr>
          <w:sz w:val="28"/>
          <w:szCs w:val="28"/>
          <w:lang w:val="en-US"/>
        </w:rPr>
        <w:t>up</w:t>
      </w:r>
      <w:r w:rsidR="004C2BB5" w:rsidRPr="004C2BB5">
        <w:rPr>
          <w:sz w:val="28"/>
          <w:szCs w:val="28"/>
          <w:lang w:val="ru-RU"/>
        </w:rPr>
        <w:t>) — финансирование компаний с готовым продуктом для запуска массового производства, дистрибуции и начального маркетинга, а также поздний венчурный капитал (</w:t>
      </w:r>
      <w:r w:rsidR="004C2BB5" w:rsidRPr="004C2BB5">
        <w:rPr>
          <w:sz w:val="28"/>
          <w:szCs w:val="28"/>
          <w:lang w:val="en-US"/>
        </w:rPr>
        <w:t>later</w:t>
      </w:r>
      <w:r w:rsidR="004C2BB5" w:rsidRPr="004C2BB5">
        <w:rPr>
          <w:sz w:val="28"/>
          <w:szCs w:val="28"/>
          <w:lang w:val="ru-RU"/>
        </w:rPr>
        <w:t>-</w:t>
      </w:r>
      <w:r w:rsidR="004C2BB5" w:rsidRPr="004C2BB5">
        <w:rPr>
          <w:sz w:val="28"/>
          <w:szCs w:val="28"/>
          <w:lang w:val="en-US"/>
        </w:rPr>
        <w:t>stage</w:t>
      </w:r>
      <w:r w:rsidR="004C2BB5" w:rsidRPr="004C2BB5">
        <w:rPr>
          <w:sz w:val="28"/>
          <w:szCs w:val="28"/>
          <w:lang w:val="ru-RU"/>
        </w:rPr>
        <w:t xml:space="preserve"> </w:t>
      </w:r>
      <w:r w:rsidR="004C2BB5" w:rsidRPr="004C2BB5">
        <w:rPr>
          <w:sz w:val="28"/>
          <w:szCs w:val="28"/>
          <w:lang w:val="en-US"/>
        </w:rPr>
        <w:t>venture</w:t>
      </w:r>
      <w:r w:rsidR="004C2BB5" w:rsidRPr="004C2BB5">
        <w:rPr>
          <w:sz w:val="28"/>
          <w:szCs w:val="28"/>
          <w:lang w:val="ru-RU"/>
        </w:rPr>
        <w:t xml:space="preserve">) — финансирование действующих компаний, как правило, на раундах </w:t>
      </w:r>
      <w:r w:rsidR="004C2BB5" w:rsidRPr="004C2BB5">
        <w:rPr>
          <w:sz w:val="28"/>
          <w:szCs w:val="28"/>
          <w:lang w:val="en-US"/>
        </w:rPr>
        <w:t>C</w:t>
      </w:r>
      <w:r w:rsidR="004C2BB5" w:rsidRPr="004C2BB5">
        <w:rPr>
          <w:sz w:val="28"/>
          <w:szCs w:val="28"/>
          <w:lang w:val="ru-RU"/>
        </w:rPr>
        <w:t xml:space="preserve"> или </w:t>
      </w:r>
      <w:r w:rsidR="004C2BB5" w:rsidRPr="004C2BB5">
        <w:rPr>
          <w:sz w:val="28"/>
          <w:szCs w:val="28"/>
          <w:lang w:val="en-US"/>
        </w:rPr>
        <w:t>D</w:t>
      </w:r>
      <w:r w:rsidR="004C2BB5" w:rsidRPr="004C2BB5">
        <w:rPr>
          <w:sz w:val="28"/>
          <w:szCs w:val="28"/>
          <w:lang w:val="ru-RU"/>
        </w:rPr>
        <w:t>. К стадиям прямых инвестиций относятся: рост (</w:t>
      </w:r>
      <w:r w:rsidR="004C2BB5" w:rsidRPr="004C2BB5">
        <w:rPr>
          <w:sz w:val="28"/>
          <w:szCs w:val="28"/>
          <w:lang w:val="en-US"/>
        </w:rPr>
        <w:t>growth</w:t>
      </w:r>
      <w:r w:rsidR="004C2BB5" w:rsidRPr="004C2BB5">
        <w:rPr>
          <w:sz w:val="28"/>
          <w:szCs w:val="28"/>
          <w:lang w:val="ru-RU"/>
        </w:rPr>
        <w:t>) — миноритарные инвестиции в относительно зрелые компании для расширения бизнеса и выхода на новые рынки; выкуп (</w:t>
      </w:r>
      <w:r w:rsidR="004C2BB5" w:rsidRPr="004C2BB5">
        <w:rPr>
          <w:sz w:val="28"/>
          <w:szCs w:val="28"/>
          <w:lang w:val="en-US"/>
        </w:rPr>
        <w:t>buyout</w:t>
      </w:r>
      <w:r w:rsidR="004C2BB5" w:rsidRPr="004C2BB5">
        <w:rPr>
          <w:sz w:val="28"/>
          <w:szCs w:val="28"/>
          <w:lang w:val="ru-RU"/>
        </w:rPr>
        <w:t>) — финансирование для приобретения компании, часто с привлечением заемного капитала и получением контрольного пакета; санирование/спасение (</w:t>
      </w:r>
      <w:r w:rsidR="004C2BB5" w:rsidRPr="004C2BB5">
        <w:rPr>
          <w:sz w:val="28"/>
          <w:szCs w:val="28"/>
          <w:lang w:val="en-US"/>
        </w:rPr>
        <w:t>turnaround</w:t>
      </w:r>
      <w:r w:rsidR="004C2BB5" w:rsidRPr="004C2BB5">
        <w:rPr>
          <w:sz w:val="28"/>
          <w:szCs w:val="28"/>
          <w:lang w:val="ru-RU"/>
        </w:rPr>
        <w:t>/</w:t>
      </w:r>
      <w:r w:rsidR="004C2BB5" w:rsidRPr="004C2BB5">
        <w:rPr>
          <w:sz w:val="28"/>
          <w:szCs w:val="28"/>
          <w:lang w:val="en-US"/>
        </w:rPr>
        <w:t>rescue</w:t>
      </w:r>
      <w:r w:rsidR="004C2BB5" w:rsidRPr="004C2BB5">
        <w:rPr>
          <w:sz w:val="28"/>
          <w:szCs w:val="28"/>
          <w:lang w:val="ru-RU"/>
        </w:rPr>
        <w:t>) — финансирование компаний, переживающих финансовые трудности, с целью восстановления прибыльности; замещающий капитал (</w:t>
      </w:r>
      <w:r w:rsidR="004C2BB5" w:rsidRPr="004C2BB5">
        <w:rPr>
          <w:sz w:val="28"/>
          <w:szCs w:val="28"/>
          <w:lang w:val="en-US"/>
        </w:rPr>
        <w:t>replacement</w:t>
      </w:r>
      <w:r w:rsidR="004C2BB5" w:rsidRPr="004C2BB5">
        <w:rPr>
          <w:sz w:val="28"/>
          <w:szCs w:val="28"/>
          <w:lang w:val="ru-RU"/>
        </w:rPr>
        <w:t xml:space="preserve"> </w:t>
      </w:r>
      <w:r w:rsidR="004C2BB5" w:rsidRPr="004C2BB5">
        <w:rPr>
          <w:sz w:val="28"/>
          <w:szCs w:val="28"/>
          <w:lang w:val="en-US"/>
        </w:rPr>
        <w:t>capital</w:t>
      </w:r>
      <w:r w:rsidR="004C2BB5" w:rsidRPr="004C2BB5">
        <w:rPr>
          <w:sz w:val="28"/>
          <w:szCs w:val="28"/>
          <w:lang w:val="ru-RU"/>
        </w:rPr>
        <w:t xml:space="preserve">) — выкуп миноритарной доли у другого </w:t>
      </w:r>
      <w:r w:rsidR="004C2BB5" w:rsidRPr="004C2BB5">
        <w:rPr>
          <w:sz w:val="28"/>
          <w:szCs w:val="28"/>
          <w:lang w:val="ru-RU"/>
        </w:rPr>
        <w:lastRenderedPageBreak/>
        <w:t>инвестора или акционера</w:t>
      </w:r>
      <w:r w:rsidR="004C2BB5">
        <w:rPr>
          <w:rStyle w:val="a7"/>
          <w:sz w:val="28"/>
          <w:szCs w:val="28"/>
          <w:lang w:val="ru-RU"/>
        </w:rPr>
        <w:footnoteReference w:id="134"/>
      </w:r>
      <w:r w:rsidR="004C2BB5" w:rsidRPr="004C2BB5">
        <w:rPr>
          <w:sz w:val="28"/>
          <w:szCs w:val="28"/>
          <w:lang w:val="ru-RU"/>
        </w:rPr>
        <w:t>.</w:t>
      </w:r>
    </w:p>
    <w:p w14:paraId="6685744A" w14:textId="169DB9E6" w:rsidR="004C2BB5" w:rsidRPr="002F3805" w:rsidRDefault="002973C1" w:rsidP="002973C1">
      <w:pPr>
        <w:pBdr>
          <w:top w:val="nil"/>
          <w:left w:val="nil"/>
          <w:bottom w:val="nil"/>
          <w:right w:val="nil"/>
          <w:between w:val="nil"/>
        </w:pBdr>
        <w:spacing w:before="2" w:line="360" w:lineRule="auto"/>
        <w:ind w:left="140" w:right="145" w:firstLine="708"/>
        <w:jc w:val="both"/>
        <w:rPr>
          <w:sz w:val="28"/>
          <w:szCs w:val="28"/>
          <w:lang w:val="ru-RU"/>
        </w:rPr>
      </w:pPr>
      <w:r w:rsidRPr="004C5A59">
        <w:rPr>
          <w:sz w:val="28"/>
          <w:szCs w:val="28"/>
          <w:lang w:val="ru-RU"/>
        </w:rPr>
        <w:t>Американская ассоциация венчурного капитала (</w:t>
      </w:r>
      <w:r w:rsidRPr="004C5A59">
        <w:rPr>
          <w:sz w:val="28"/>
          <w:szCs w:val="28"/>
          <w:lang w:val="en-US"/>
        </w:rPr>
        <w:t>NVCA</w:t>
      </w:r>
      <w:r w:rsidRPr="004C5A59">
        <w:rPr>
          <w:sz w:val="28"/>
          <w:szCs w:val="28"/>
          <w:lang w:val="ru-RU"/>
        </w:rPr>
        <w:t xml:space="preserve">), совместно с аналитической платформой </w:t>
      </w:r>
      <w:r w:rsidRPr="004C5A59">
        <w:rPr>
          <w:sz w:val="28"/>
          <w:szCs w:val="28"/>
          <w:lang w:val="en-US"/>
        </w:rPr>
        <w:t>PitchBook</w:t>
      </w:r>
      <w:r w:rsidRPr="004C5A59">
        <w:rPr>
          <w:sz w:val="28"/>
          <w:szCs w:val="28"/>
          <w:lang w:val="ru-RU"/>
        </w:rPr>
        <w:t xml:space="preserve">, </w:t>
      </w:r>
      <w:r w:rsidR="002F3805" w:rsidRPr="002F3805">
        <w:rPr>
          <w:sz w:val="28"/>
          <w:szCs w:val="28"/>
        </w:rPr>
        <w:t>выделяет пять основных стадий, привязанных к сериям акций и сумме сделки: Pre-seed/Seed (ангельская и посевная) — первые раунды, часто с участием бизнес-ангелов и для сумм менее $500 тыс.; Early-stage (ранняя) — раунды серий A и B; Late-stage (поздняя) — раунды серий C и D; Venture growth (венчурный рост) — раунды серии E и позднее; Corporate venture capital (корпоративный венчурный капитал) — инвестиции через корпоративные венчурные подразделения или напрямую с баланса корпораций. В отличие от Invest Europe, где четко разделены венчурный капитал и прямые инвестиции (включая выкупы и санирование), классификация NVCA сфокусирована исключительно на венчурных инвестициях и построена вокруг серийного принципа финансирования, объединяя раунды по типам выпускаемых акций</w:t>
      </w:r>
      <w:r w:rsidR="002F3805">
        <w:rPr>
          <w:rStyle w:val="a7"/>
          <w:sz w:val="28"/>
          <w:szCs w:val="28"/>
        </w:rPr>
        <w:footnoteReference w:id="135"/>
      </w:r>
      <w:r w:rsidR="002F3805" w:rsidRPr="002F3805">
        <w:rPr>
          <w:sz w:val="28"/>
          <w:szCs w:val="28"/>
        </w:rPr>
        <w:t>.</w:t>
      </w:r>
    </w:p>
    <w:p w14:paraId="60098A9D" w14:textId="77777777" w:rsidR="002F3805" w:rsidRPr="00EA7643" w:rsidRDefault="002973C1" w:rsidP="002973C1">
      <w:pPr>
        <w:pBdr>
          <w:top w:val="nil"/>
          <w:left w:val="nil"/>
          <w:bottom w:val="nil"/>
          <w:right w:val="nil"/>
          <w:between w:val="nil"/>
        </w:pBdr>
        <w:spacing w:before="2" w:line="360" w:lineRule="auto"/>
        <w:ind w:left="140" w:right="145" w:firstLine="708"/>
        <w:jc w:val="both"/>
        <w:rPr>
          <w:sz w:val="28"/>
          <w:szCs w:val="28"/>
          <w:lang w:val="ru-RU"/>
        </w:rPr>
      </w:pPr>
      <w:r w:rsidRPr="004C5A59">
        <w:rPr>
          <w:sz w:val="28"/>
          <w:szCs w:val="28"/>
          <w:lang w:val="ru-RU"/>
        </w:rPr>
        <w:t xml:space="preserve">Российская ассоциация венчурного инвестирования (РАВИ) использует </w:t>
      </w:r>
      <w:r w:rsidR="00A13097">
        <w:rPr>
          <w:sz w:val="28"/>
          <w:szCs w:val="28"/>
          <w:lang w:val="ru-RU"/>
        </w:rPr>
        <w:t>четырех</w:t>
      </w:r>
      <w:r w:rsidRPr="004C5A59">
        <w:rPr>
          <w:sz w:val="28"/>
          <w:szCs w:val="28"/>
          <w:lang w:val="ru-RU"/>
        </w:rPr>
        <w:t>ступенчатую классификацию —</w:t>
      </w:r>
      <w:r w:rsidR="00A13097">
        <w:rPr>
          <w:sz w:val="28"/>
          <w:szCs w:val="28"/>
          <w:lang w:val="ru-RU"/>
        </w:rPr>
        <w:t xml:space="preserve"> посевная</w:t>
      </w:r>
      <w:r w:rsidRPr="004C5A59">
        <w:rPr>
          <w:sz w:val="28"/>
          <w:szCs w:val="28"/>
          <w:lang w:val="ru-RU"/>
        </w:rPr>
        <w:t xml:space="preserve"> </w:t>
      </w:r>
      <w:r w:rsidR="00A13097">
        <w:rPr>
          <w:sz w:val="28"/>
          <w:szCs w:val="28"/>
          <w:lang w:val="ru-RU"/>
        </w:rPr>
        <w:t>(</w:t>
      </w:r>
      <w:r w:rsidRPr="004C5A59">
        <w:rPr>
          <w:sz w:val="28"/>
          <w:szCs w:val="28"/>
          <w:lang w:val="en-US"/>
        </w:rPr>
        <w:t>seed</w:t>
      </w:r>
      <w:r w:rsidR="00A13097">
        <w:rPr>
          <w:sz w:val="28"/>
          <w:szCs w:val="28"/>
          <w:lang w:val="ru-RU"/>
        </w:rPr>
        <w:t>)</w:t>
      </w:r>
      <w:r w:rsidRPr="004C5A59">
        <w:rPr>
          <w:sz w:val="28"/>
          <w:szCs w:val="28"/>
          <w:lang w:val="ru-RU"/>
        </w:rPr>
        <w:t xml:space="preserve">, </w:t>
      </w:r>
      <w:r w:rsidR="00A13097">
        <w:rPr>
          <w:sz w:val="28"/>
          <w:szCs w:val="28"/>
          <w:lang w:val="ru-RU"/>
        </w:rPr>
        <w:t>начальная</w:t>
      </w:r>
      <w:r w:rsidRPr="004C5A59">
        <w:rPr>
          <w:sz w:val="28"/>
          <w:szCs w:val="28"/>
          <w:lang w:val="ru-RU"/>
        </w:rPr>
        <w:t>,</w:t>
      </w:r>
      <w:r w:rsidR="00A13097">
        <w:rPr>
          <w:sz w:val="28"/>
          <w:szCs w:val="28"/>
          <w:lang w:val="ru-RU"/>
        </w:rPr>
        <w:t xml:space="preserve"> ранняя,</w:t>
      </w:r>
      <w:r w:rsidRPr="004C5A59">
        <w:rPr>
          <w:sz w:val="28"/>
          <w:szCs w:val="28"/>
          <w:lang w:val="ru-RU"/>
        </w:rPr>
        <w:t xml:space="preserve"> </w:t>
      </w:r>
      <w:r w:rsidR="00A13097">
        <w:rPr>
          <w:sz w:val="28"/>
          <w:szCs w:val="28"/>
          <w:lang w:val="ru-RU"/>
        </w:rPr>
        <w:t>расширение</w:t>
      </w:r>
      <w:r w:rsidR="00C703DB">
        <w:rPr>
          <w:rStyle w:val="a7"/>
          <w:sz w:val="28"/>
          <w:szCs w:val="28"/>
          <w:lang w:val="en-US"/>
        </w:rPr>
        <w:footnoteReference w:id="136"/>
      </w:r>
      <w:r w:rsidRPr="004C5A59">
        <w:rPr>
          <w:sz w:val="28"/>
          <w:szCs w:val="28"/>
          <w:lang w:val="ru-RU"/>
        </w:rPr>
        <w:t xml:space="preserve">, частично пересекающуюся с обеими зарубежными системами, но не совпадающую с ними дословно ни по числу стадий, ни по их границам. </w:t>
      </w:r>
    </w:p>
    <w:p w14:paraId="7E58A7BB" w14:textId="782523B5" w:rsidR="003C1309" w:rsidRDefault="00BA3503" w:rsidP="002973C1">
      <w:pPr>
        <w:pBdr>
          <w:top w:val="nil"/>
          <w:left w:val="nil"/>
          <w:bottom w:val="nil"/>
          <w:right w:val="nil"/>
          <w:between w:val="nil"/>
        </w:pBdr>
        <w:spacing w:before="2" w:line="360" w:lineRule="auto"/>
        <w:ind w:left="140" w:right="145" w:firstLine="708"/>
        <w:jc w:val="both"/>
        <w:rPr>
          <w:sz w:val="28"/>
          <w:szCs w:val="28"/>
          <w:lang w:val="ru-RU"/>
        </w:rPr>
      </w:pPr>
      <w:r w:rsidRPr="00BA3503">
        <w:rPr>
          <w:sz w:val="28"/>
          <w:szCs w:val="28"/>
        </w:rPr>
        <w:t>Дж. Пламмер в отчёте QED, ставшем одним из стандартных отраслевых ориентиров, привязывает стадии не к содержательным критериям, а непосредственно к ожидаемой инвесторами норме доходности: 50–70% годовых на посевной стадии, снижаясь до 40–60% на первой стадии финансирования и далее по мере снижения риска</w:t>
      </w:r>
      <w:r>
        <w:rPr>
          <w:rStyle w:val="a7"/>
          <w:sz w:val="28"/>
          <w:szCs w:val="28"/>
        </w:rPr>
        <w:footnoteReference w:id="137"/>
      </w:r>
      <w:r w:rsidRPr="00BA3503">
        <w:rPr>
          <w:sz w:val="28"/>
          <w:szCs w:val="28"/>
        </w:rPr>
        <w:t xml:space="preserve">. Показательно, что даже эта норма доходности не является общепризнанной величиной: сопоставление отчёта Пламмера с </w:t>
      </w:r>
      <w:r w:rsidRPr="00BA3503">
        <w:rPr>
          <w:sz w:val="28"/>
          <w:szCs w:val="28"/>
        </w:rPr>
        <w:lastRenderedPageBreak/>
        <w:t>альтернативными источниками — методом Шерлиса и Сахлмана</w:t>
      </w:r>
      <w:r w:rsidR="00850C18">
        <w:rPr>
          <w:rStyle w:val="a7"/>
          <w:sz w:val="28"/>
          <w:szCs w:val="28"/>
        </w:rPr>
        <w:footnoteReference w:id="138"/>
      </w:r>
      <w:r w:rsidRPr="00BA3503">
        <w:rPr>
          <w:sz w:val="28"/>
          <w:szCs w:val="28"/>
        </w:rPr>
        <w:t>, а также данными Сахлмана и других авторов</w:t>
      </w:r>
      <w:r w:rsidR="00850C18">
        <w:rPr>
          <w:rStyle w:val="a7"/>
          <w:sz w:val="28"/>
          <w:szCs w:val="28"/>
        </w:rPr>
        <w:footnoteReference w:id="139"/>
      </w:r>
      <w:r w:rsidRPr="00BA3503">
        <w:rPr>
          <w:sz w:val="28"/>
          <w:szCs w:val="28"/>
        </w:rPr>
        <w:t xml:space="preserve"> — обнаруживает разброс требуемой доходности на посевной стадии от 50 до 100% годовых в зависимости от источника.</w:t>
      </w:r>
    </w:p>
    <w:p w14:paraId="4BB2FA80" w14:textId="642611F1" w:rsidR="00EA7643" w:rsidRPr="00336917" w:rsidRDefault="00EA7643" w:rsidP="002973C1">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Сравнение классификаций </w:t>
      </w:r>
      <w:r w:rsidR="006301ED">
        <w:rPr>
          <w:sz w:val="28"/>
          <w:szCs w:val="28"/>
          <w:lang w:val="ru-RU"/>
        </w:rPr>
        <w:t xml:space="preserve">детальных </w:t>
      </w:r>
      <w:r>
        <w:rPr>
          <w:sz w:val="28"/>
          <w:szCs w:val="28"/>
          <w:lang w:val="ru-RU"/>
        </w:rPr>
        <w:t>стадий финансирования приведено в таблице ниже.</w:t>
      </w:r>
    </w:p>
    <w:p w14:paraId="67968B0B" w14:textId="61453EFB" w:rsidR="002973C1" w:rsidRPr="00EA7643" w:rsidRDefault="002973C1" w:rsidP="002973C1">
      <w:pPr>
        <w:pBdr>
          <w:top w:val="nil"/>
          <w:left w:val="nil"/>
          <w:bottom w:val="nil"/>
          <w:right w:val="nil"/>
          <w:between w:val="nil"/>
        </w:pBdr>
        <w:spacing w:before="2" w:line="360" w:lineRule="auto"/>
        <w:ind w:left="140" w:right="145" w:firstLine="708"/>
        <w:jc w:val="both"/>
        <w:rPr>
          <w:sz w:val="28"/>
          <w:szCs w:val="28"/>
          <w:lang w:val="ru-RU"/>
        </w:rPr>
      </w:pPr>
      <w:r w:rsidRPr="00EA7643">
        <w:rPr>
          <w:sz w:val="28"/>
          <w:szCs w:val="28"/>
          <w:lang w:val="ru-RU"/>
        </w:rPr>
        <w:t xml:space="preserve">Таблица </w:t>
      </w:r>
      <w:r w:rsidR="00EA7643" w:rsidRPr="00EA7643">
        <w:rPr>
          <w:sz w:val="28"/>
          <w:szCs w:val="28"/>
          <w:lang w:val="ru-RU"/>
        </w:rPr>
        <w:t xml:space="preserve">1.2 </w:t>
      </w:r>
      <w:r w:rsidRPr="00EA7643">
        <w:rPr>
          <w:sz w:val="28"/>
          <w:szCs w:val="28"/>
          <w:lang w:val="ru-RU"/>
        </w:rPr>
        <w:t xml:space="preserve">— </w:t>
      </w:r>
      <w:r w:rsidR="00EA7643" w:rsidRPr="00EA7643">
        <w:rPr>
          <w:sz w:val="28"/>
          <w:szCs w:val="28"/>
          <w:lang w:val="en-US"/>
        </w:rPr>
        <w:t>C</w:t>
      </w:r>
      <w:r w:rsidRPr="00EA7643">
        <w:rPr>
          <w:sz w:val="28"/>
          <w:szCs w:val="28"/>
          <w:lang w:val="ru-RU"/>
        </w:rPr>
        <w:t>равнение классификаций стадий привлечения капитала</w:t>
      </w:r>
      <w:r w:rsidR="00EA7643" w:rsidRPr="00EA7643">
        <w:rPr>
          <w:sz w:val="28"/>
          <w:szCs w:val="28"/>
          <w:lang w:val="ru-RU"/>
        </w:rPr>
        <w:t>.</w:t>
      </w:r>
    </w:p>
    <w:tbl>
      <w:tblPr>
        <w:tblStyle w:val="ab"/>
        <w:tblW w:w="0" w:type="auto"/>
        <w:tblInd w:w="140" w:type="dxa"/>
        <w:tblLook w:val="04A0" w:firstRow="1" w:lastRow="0" w:firstColumn="1" w:lastColumn="0" w:noHBand="0" w:noVBand="1"/>
      </w:tblPr>
      <w:tblGrid>
        <w:gridCol w:w="2514"/>
        <w:gridCol w:w="1310"/>
        <w:gridCol w:w="2552"/>
        <w:gridCol w:w="3684"/>
      </w:tblGrid>
      <w:tr w:rsidR="00EA7643" w14:paraId="155ABAC7" w14:textId="77777777" w:rsidTr="00EA7643">
        <w:tc>
          <w:tcPr>
            <w:tcW w:w="2514" w:type="dxa"/>
          </w:tcPr>
          <w:p w14:paraId="04FDD33B" w14:textId="152D88B5" w:rsidR="00EA7643" w:rsidRDefault="00EA7643" w:rsidP="00EB7E68">
            <w:pPr>
              <w:spacing w:before="2" w:line="360" w:lineRule="auto"/>
              <w:ind w:right="145"/>
              <w:jc w:val="both"/>
              <w:rPr>
                <w:sz w:val="28"/>
                <w:szCs w:val="28"/>
                <w:lang w:val="ru-RU"/>
              </w:rPr>
            </w:pPr>
            <w:r w:rsidRPr="00EA7643">
              <w:rPr>
                <w:sz w:val="28"/>
                <w:szCs w:val="28"/>
              </w:rPr>
              <w:t>Источник</w:t>
            </w:r>
          </w:p>
        </w:tc>
        <w:tc>
          <w:tcPr>
            <w:tcW w:w="1310" w:type="dxa"/>
          </w:tcPr>
          <w:p w14:paraId="0310F22D"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Число стадий</w:t>
            </w:r>
          </w:p>
          <w:p w14:paraId="189D42C5" w14:textId="77777777" w:rsidR="00EA7643" w:rsidRDefault="00EA7643" w:rsidP="00EA7643">
            <w:pPr>
              <w:spacing w:before="2" w:line="360" w:lineRule="auto"/>
              <w:ind w:right="145"/>
              <w:jc w:val="both"/>
              <w:rPr>
                <w:sz w:val="28"/>
                <w:szCs w:val="28"/>
                <w:lang w:val="ru-RU"/>
              </w:rPr>
            </w:pPr>
          </w:p>
        </w:tc>
        <w:tc>
          <w:tcPr>
            <w:tcW w:w="2552" w:type="dxa"/>
          </w:tcPr>
          <w:p w14:paraId="294D6D1E"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Основание классификации</w:t>
            </w:r>
          </w:p>
          <w:p w14:paraId="64174C37" w14:textId="77777777" w:rsidR="00EA7643" w:rsidRDefault="00EA7643" w:rsidP="00EB7E68">
            <w:pPr>
              <w:spacing w:before="2" w:line="360" w:lineRule="auto"/>
              <w:ind w:right="145"/>
              <w:jc w:val="both"/>
              <w:rPr>
                <w:sz w:val="28"/>
                <w:szCs w:val="28"/>
                <w:lang w:val="ru-RU"/>
              </w:rPr>
            </w:pPr>
          </w:p>
        </w:tc>
        <w:tc>
          <w:tcPr>
            <w:tcW w:w="3684" w:type="dxa"/>
          </w:tcPr>
          <w:p w14:paraId="4E88F0DD"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Стадии</w:t>
            </w:r>
          </w:p>
          <w:p w14:paraId="6CD3D336" w14:textId="77777777" w:rsidR="00EA7643" w:rsidRDefault="00EA7643" w:rsidP="00EB7E68">
            <w:pPr>
              <w:spacing w:before="2" w:line="360" w:lineRule="auto"/>
              <w:ind w:right="145"/>
              <w:jc w:val="both"/>
              <w:rPr>
                <w:sz w:val="28"/>
                <w:szCs w:val="28"/>
                <w:lang w:val="ru-RU"/>
              </w:rPr>
            </w:pPr>
          </w:p>
        </w:tc>
      </w:tr>
      <w:tr w:rsidR="00EA7643" w:rsidRPr="00986688" w14:paraId="0C4B8FD8" w14:textId="77777777" w:rsidTr="00EA7643">
        <w:tc>
          <w:tcPr>
            <w:tcW w:w="2514" w:type="dxa"/>
          </w:tcPr>
          <w:p w14:paraId="088A9A3F"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Invest Europe</w:t>
            </w:r>
          </w:p>
          <w:p w14:paraId="54BC1705" w14:textId="77777777" w:rsidR="00EA7643" w:rsidRPr="00EA7643" w:rsidRDefault="00EA7643" w:rsidP="00EA7643">
            <w:pPr>
              <w:spacing w:before="2" w:line="360" w:lineRule="auto"/>
              <w:ind w:right="145"/>
              <w:jc w:val="both"/>
              <w:rPr>
                <w:sz w:val="28"/>
                <w:szCs w:val="28"/>
                <w:lang w:val="en-US"/>
              </w:rPr>
            </w:pPr>
          </w:p>
        </w:tc>
        <w:tc>
          <w:tcPr>
            <w:tcW w:w="1310" w:type="dxa"/>
          </w:tcPr>
          <w:p w14:paraId="7D6B0E64"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7</w:t>
            </w:r>
          </w:p>
          <w:p w14:paraId="4ECBF388" w14:textId="77777777" w:rsidR="00EA7643" w:rsidRPr="00EA7643" w:rsidRDefault="00EA7643" w:rsidP="00EB7E68">
            <w:pPr>
              <w:spacing w:before="2" w:line="360" w:lineRule="auto"/>
              <w:ind w:right="145"/>
              <w:jc w:val="both"/>
              <w:rPr>
                <w:sz w:val="28"/>
                <w:szCs w:val="28"/>
                <w:lang w:val="en-US"/>
              </w:rPr>
            </w:pPr>
          </w:p>
        </w:tc>
        <w:tc>
          <w:tcPr>
            <w:tcW w:w="2552" w:type="dxa"/>
          </w:tcPr>
          <w:p w14:paraId="0837828C" w14:textId="77777777" w:rsidR="00EA7643" w:rsidRPr="00EA7643" w:rsidRDefault="00EA7643" w:rsidP="00EA7643">
            <w:pPr>
              <w:spacing w:before="2" w:line="360" w:lineRule="auto"/>
              <w:ind w:right="145"/>
              <w:jc w:val="both"/>
              <w:rPr>
                <w:sz w:val="28"/>
                <w:szCs w:val="28"/>
                <w:lang w:val="en-US"/>
              </w:rPr>
            </w:pPr>
            <w:r w:rsidRPr="00EA7643">
              <w:rPr>
                <w:sz w:val="28"/>
                <w:szCs w:val="28"/>
                <w:lang w:val="en-US"/>
              </w:rPr>
              <w:t>Назначение капитала</w:t>
            </w:r>
          </w:p>
          <w:p w14:paraId="014A84A6" w14:textId="77777777" w:rsidR="00EA7643" w:rsidRPr="00EA7643" w:rsidRDefault="00EA7643" w:rsidP="00EB7E68">
            <w:pPr>
              <w:spacing w:before="2" w:line="360" w:lineRule="auto"/>
              <w:ind w:right="145"/>
              <w:jc w:val="both"/>
              <w:rPr>
                <w:sz w:val="28"/>
                <w:szCs w:val="28"/>
                <w:lang w:val="en-US"/>
              </w:rPr>
            </w:pPr>
          </w:p>
        </w:tc>
        <w:tc>
          <w:tcPr>
            <w:tcW w:w="3684" w:type="dxa"/>
          </w:tcPr>
          <w:p w14:paraId="44197F1A" w14:textId="77777777" w:rsidR="00EA7643" w:rsidRDefault="00EA7643" w:rsidP="00EA7643">
            <w:pPr>
              <w:spacing w:before="2" w:line="360" w:lineRule="auto"/>
              <w:ind w:right="145"/>
              <w:jc w:val="both"/>
              <w:rPr>
                <w:sz w:val="28"/>
                <w:szCs w:val="28"/>
                <w:lang w:val="en-US"/>
              </w:rPr>
            </w:pPr>
            <w:r w:rsidRPr="00EA7643">
              <w:rPr>
                <w:sz w:val="28"/>
                <w:szCs w:val="28"/>
                <w:lang w:val="en-US"/>
              </w:rPr>
              <w:t xml:space="preserve">Венчур: Seed → Start-up → Later-stage venture; </w:t>
            </w:r>
          </w:p>
          <w:p w14:paraId="22CF786C" w14:textId="0BDE9058" w:rsidR="00EA7643" w:rsidRPr="00EA7643" w:rsidRDefault="00EA7643" w:rsidP="00EB7E68">
            <w:pPr>
              <w:spacing w:before="2" w:line="360" w:lineRule="auto"/>
              <w:ind w:right="145"/>
              <w:jc w:val="both"/>
              <w:rPr>
                <w:sz w:val="28"/>
                <w:szCs w:val="28"/>
                <w:lang w:val="en-US"/>
              </w:rPr>
            </w:pPr>
            <w:r w:rsidRPr="00EA7643">
              <w:rPr>
                <w:sz w:val="28"/>
                <w:szCs w:val="28"/>
                <w:lang w:val="en-US"/>
              </w:rPr>
              <w:t>PE: Growth → Buyout → Turnaround/rescue → Replacement capital</w:t>
            </w:r>
          </w:p>
        </w:tc>
      </w:tr>
      <w:tr w:rsidR="00EA7643" w:rsidRPr="00986688" w14:paraId="3C484346" w14:textId="77777777" w:rsidTr="00EA7643">
        <w:tc>
          <w:tcPr>
            <w:tcW w:w="2514" w:type="dxa"/>
          </w:tcPr>
          <w:p w14:paraId="6B28FBB3" w14:textId="77777777" w:rsidR="00EA7643" w:rsidRPr="00EA7643" w:rsidRDefault="00EA7643" w:rsidP="00EA7643">
            <w:pPr>
              <w:spacing w:before="2" w:line="360" w:lineRule="auto"/>
              <w:ind w:right="145"/>
              <w:jc w:val="both"/>
              <w:rPr>
                <w:sz w:val="28"/>
                <w:szCs w:val="28"/>
                <w:lang w:val="ru-RU"/>
              </w:rPr>
            </w:pPr>
            <w:r w:rsidRPr="00EA7643">
              <w:rPr>
                <w:sz w:val="28"/>
                <w:szCs w:val="28"/>
                <w:lang w:val="en-US"/>
              </w:rPr>
              <w:t>NVCA</w:t>
            </w:r>
            <w:r w:rsidRPr="00EA7643">
              <w:rPr>
                <w:sz w:val="28"/>
                <w:szCs w:val="28"/>
                <w:lang w:val="ru-RU"/>
              </w:rPr>
              <w:t xml:space="preserve"> / </w:t>
            </w:r>
            <w:r w:rsidRPr="00EA7643">
              <w:rPr>
                <w:sz w:val="28"/>
                <w:szCs w:val="28"/>
                <w:lang w:val="en-US"/>
              </w:rPr>
              <w:t>PitchBook</w:t>
            </w:r>
          </w:p>
          <w:p w14:paraId="49DA10D2" w14:textId="77777777" w:rsidR="00EA7643" w:rsidRPr="00EA7643" w:rsidRDefault="00EA7643" w:rsidP="00EA7643">
            <w:pPr>
              <w:spacing w:before="2" w:line="360" w:lineRule="auto"/>
              <w:ind w:right="145"/>
              <w:jc w:val="both"/>
              <w:rPr>
                <w:sz w:val="28"/>
                <w:szCs w:val="28"/>
                <w:lang w:val="en-US"/>
              </w:rPr>
            </w:pPr>
          </w:p>
        </w:tc>
        <w:tc>
          <w:tcPr>
            <w:tcW w:w="1310" w:type="dxa"/>
          </w:tcPr>
          <w:p w14:paraId="5D03CA46" w14:textId="77777777" w:rsidR="00EA7643" w:rsidRPr="00EA7643" w:rsidRDefault="00EA7643" w:rsidP="00EA7643">
            <w:pPr>
              <w:spacing w:before="2" w:line="360" w:lineRule="auto"/>
              <w:ind w:right="145"/>
              <w:jc w:val="both"/>
              <w:rPr>
                <w:sz w:val="28"/>
                <w:szCs w:val="28"/>
                <w:lang w:val="ru-RU"/>
              </w:rPr>
            </w:pPr>
            <w:r w:rsidRPr="00EA7643">
              <w:rPr>
                <w:sz w:val="28"/>
                <w:szCs w:val="28"/>
                <w:lang w:val="ru-RU"/>
              </w:rPr>
              <w:t>5</w:t>
            </w:r>
          </w:p>
          <w:p w14:paraId="4DC42516" w14:textId="77777777" w:rsidR="00EA7643" w:rsidRPr="00EA7643" w:rsidRDefault="00EA7643" w:rsidP="00EB7E68">
            <w:pPr>
              <w:spacing w:before="2" w:line="360" w:lineRule="auto"/>
              <w:ind w:right="145"/>
              <w:jc w:val="both"/>
              <w:rPr>
                <w:sz w:val="28"/>
                <w:szCs w:val="28"/>
                <w:lang w:val="en-US"/>
              </w:rPr>
            </w:pPr>
          </w:p>
        </w:tc>
        <w:tc>
          <w:tcPr>
            <w:tcW w:w="2552" w:type="dxa"/>
          </w:tcPr>
          <w:p w14:paraId="46D373A2" w14:textId="77777777" w:rsidR="00EA7643" w:rsidRPr="00EA7643" w:rsidRDefault="00EA7643" w:rsidP="00EA7643">
            <w:pPr>
              <w:spacing w:before="2" w:line="360" w:lineRule="auto"/>
              <w:ind w:right="145"/>
              <w:jc w:val="both"/>
              <w:rPr>
                <w:sz w:val="28"/>
                <w:szCs w:val="28"/>
                <w:lang w:val="ru-RU"/>
              </w:rPr>
            </w:pPr>
            <w:r w:rsidRPr="00EA7643">
              <w:rPr>
                <w:sz w:val="28"/>
                <w:szCs w:val="28"/>
                <w:lang w:val="ru-RU"/>
              </w:rPr>
              <w:t>Серия акций / сумма сделки</w:t>
            </w:r>
          </w:p>
          <w:p w14:paraId="78CFA896" w14:textId="77777777" w:rsidR="00EA7643" w:rsidRPr="00EA7643" w:rsidRDefault="00EA7643" w:rsidP="00EB7E68">
            <w:pPr>
              <w:spacing w:before="2" w:line="360" w:lineRule="auto"/>
              <w:ind w:right="145"/>
              <w:jc w:val="both"/>
              <w:rPr>
                <w:sz w:val="28"/>
                <w:szCs w:val="28"/>
                <w:lang w:val="en-US"/>
              </w:rPr>
            </w:pPr>
          </w:p>
        </w:tc>
        <w:tc>
          <w:tcPr>
            <w:tcW w:w="3684" w:type="dxa"/>
          </w:tcPr>
          <w:p w14:paraId="51837C66" w14:textId="32EA9B9B" w:rsidR="00EA7643" w:rsidRPr="00EA7643" w:rsidRDefault="00EA7643" w:rsidP="00EB7E68">
            <w:pPr>
              <w:spacing w:before="2" w:line="360" w:lineRule="auto"/>
              <w:ind w:right="145"/>
              <w:jc w:val="both"/>
              <w:rPr>
                <w:sz w:val="28"/>
                <w:szCs w:val="28"/>
                <w:lang w:val="en-US"/>
              </w:rPr>
            </w:pPr>
            <w:r w:rsidRPr="00EA7643">
              <w:rPr>
                <w:sz w:val="28"/>
                <w:szCs w:val="28"/>
                <w:lang w:val="en-US"/>
              </w:rPr>
              <w:t>Pre-seed/Seed (&lt;$500К) → Early-stage (Series A-B) → Late-stage (Series C-D) → Venture growth (Series E+) → Corporate venture capital</w:t>
            </w:r>
          </w:p>
        </w:tc>
      </w:tr>
      <w:tr w:rsidR="00EA7643" w:rsidRPr="00D07CFD" w14:paraId="1FECA190" w14:textId="77777777" w:rsidTr="00EA7643">
        <w:tc>
          <w:tcPr>
            <w:tcW w:w="2514" w:type="dxa"/>
          </w:tcPr>
          <w:p w14:paraId="701C9AAB" w14:textId="77777777" w:rsidR="00D07CFD" w:rsidRPr="00D07CFD" w:rsidRDefault="00D07CFD" w:rsidP="00D07CFD">
            <w:pPr>
              <w:spacing w:before="2" w:line="360" w:lineRule="auto"/>
              <w:ind w:right="145"/>
              <w:jc w:val="both"/>
              <w:rPr>
                <w:sz w:val="28"/>
                <w:szCs w:val="28"/>
                <w:lang w:val="ru-RU"/>
              </w:rPr>
            </w:pPr>
            <w:r w:rsidRPr="00D07CFD">
              <w:rPr>
                <w:sz w:val="28"/>
                <w:szCs w:val="28"/>
                <w:lang w:val="en-US"/>
              </w:rPr>
              <w:t>RVCA</w:t>
            </w:r>
            <w:r w:rsidRPr="00D07CFD">
              <w:rPr>
                <w:sz w:val="28"/>
                <w:szCs w:val="28"/>
                <w:lang w:val="ru-RU"/>
              </w:rPr>
              <w:t xml:space="preserve"> (РАВИ)</w:t>
            </w:r>
          </w:p>
          <w:p w14:paraId="3B49B5B0" w14:textId="77777777" w:rsidR="00EA7643" w:rsidRPr="00D07CFD" w:rsidRDefault="00EA7643" w:rsidP="00D07CFD">
            <w:pPr>
              <w:spacing w:before="2" w:line="360" w:lineRule="auto"/>
              <w:ind w:right="145"/>
              <w:jc w:val="both"/>
              <w:rPr>
                <w:sz w:val="28"/>
                <w:szCs w:val="28"/>
                <w:lang w:val="ru-RU"/>
              </w:rPr>
            </w:pPr>
          </w:p>
        </w:tc>
        <w:tc>
          <w:tcPr>
            <w:tcW w:w="1310" w:type="dxa"/>
          </w:tcPr>
          <w:p w14:paraId="5D12BE0F"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4</w:t>
            </w:r>
          </w:p>
          <w:p w14:paraId="15CBF1F0" w14:textId="77777777" w:rsidR="00EA7643" w:rsidRPr="00D07CFD" w:rsidRDefault="00EA7643" w:rsidP="00EB7E68">
            <w:pPr>
              <w:spacing w:before="2" w:line="360" w:lineRule="auto"/>
              <w:ind w:right="145"/>
              <w:jc w:val="both"/>
              <w:rPr>
                <w:sz w:val="28"/>
                <w:szCs w:val="28"/>
                <w:lang w:val="ru-RU"/>
              </w:rPr>
            </w:pPr>
          </w:p>
        </w:tc>
        <w:tc>
          <w:tcPr>
            <w:tcW w:w="2552" w:type="dxa"/>
          </w:tcPr>
          <w:p w14:paraId="7CD17B4E"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Смешанное</w:t>
            </w:r>
          </w:p>
          <w:p w14:paraId="4C0D453A" w14:textId="77777777" w:rsidR="00EA7643" w:rsidRPr="00D07CFD" w:rsidRDefault="00EA7643" w:rsidP="00EB7E68">
            <w:pPr>
              <w:spacing w:before="2" w:line="360" w:lineRule="auto"/>
              <w:ind w:right="145"/>
              <w:jc w:val="both"/>
              <w:rPr>
                <w:sz w:val="28"/>
                <w:szCs w:val="28"/>
                <w:lang w:val="ru-RU"/>
              </w:rPr>
            </w:pPr>
          </w:p>
        </w:tc>
        <w:tc>
          <w:tcPr>
            <w:tcW w:w="3684" w:type="dxa"/>
          </w:tcPr>
          <w:p w14:paraId="1BFCC9FF"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Посевная → Начальная → Ранняя → Расширение</w:t>
            </w:r>
          </w:p>
          <w:p w14:paraId="34258F06" w14:textId="77777777" w:rsidR="00EA7643" w:rsidRPr="00D07CFD" w:rsidRDefault="00EA7643" w:rsidP="00EB7E68">
            <w:pPr>
              <w:spacing w:before="2" w:line="360" w:lineRule="auto"/>
              <w:ind w:right="145"/>
              <w:jc w:val="both"/>
              <w:rPr>
                <w:sz w:val="28"/>
                <w:szCs w:val="28"/>
                <w:lang w:val="ru-RU"/>
              </w:rPr>
            </w:pPr>
          </w:p>
        </w:tc>
      </w:tr>
      <w:tr w:rsidR="00EA7643" w:rsidRPr="00986688" w14:paraId="4C4B574E" w14:textId="77777777" w:rsidTr="00EA7643">
        <w:tc>
          <w:tcPr>
            <w:tcW w:w="2514" w:type="dxa"/>
          </w:tcPr>
          <w:p w14:paraId="40779C0D"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Пламмер (</w:t>
            </w:r>
            <w:r w:rsidRPr="00D07CFD">
              <w:rPr>
                <w:sz w:val="28"/>
                <w:szCs w:val="28"/>
                <w:lang w:val="en-US"/>
              </w:rPr>
              <w:t>QED</w:t>
            </w:r>
            <w:r w:rsidRPr="00D07CFD">
              <w:rPr>
                <w:sz w:val="28"/>
                <w:szCs w:val="28"/>
                <w:lang w:val="ru-RU"/>
              </w:rPr>
              <w:t>, 1987)</w:t>
            </w:r>
          </w:p>
          <w:p w14:paraId="53FED69F" w14:textId="77777777" w:rsidR="00EA7643" w:rsidRPr="00D07CFD" w:rsidRDefault="00EA7643" w:rsidP="00D07CFD">
            <w:pPr>
              <w:spacing w:before="2" w:line="360" w:lineRule="auto"/>
              <w:ind w:right="145"/>
              <w:jc w:val="both"/>
              <w:rPr>
                <w:sz w:val="28"/>
                <w:szCs w:val="28"/>
                <w:lang w:val="en-US"/>
              </w:rPr>
            </w:pPr>
          </w:p>
        </w:tc>
        <w:tc>
          <w:tcPr>
            <w:tcW w:w="1310" w:type="dxa"/>
          </w:tcPr>
          <w:p w14:paraId="30B40396"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6</w:t>
            </w:r>
          </w:p>
          <w:p w14:paraId="727C6C46" w14:textId="77777777" w:rsidR="00EA7643" w:rsidRPr="00D07CFD" w:rsidRDefault="00EA7643" w:rsidP="00EB7E68">
            <w:pPr>
              <w:spacing w:before="2" w:line="360" w:lineRule="auto"/>
              <w:ind w:right="145"/>
              <w:jc w:val="both"/>
              <w:rPr>
                <w:sz w:val="28"/>
                <w:szCs w:val="28"/>
                <w:lang w:val="en-US"/>
              </w:rPr>
            </w:pPr>
          </w:p>
        </w:tc>
        <w:tc>
          <w:tcPr>
            <w:tcW w:w="2552" w:type="dxa"/>
          </w:tcPr>
          <w:p w14:paraId="030E6EF6" w14:textId="77777777" w:rsidR="00D07CFD" w:rsidRPr="00D07CFD" w:rsidRDefault="00D07CFD" w:rsidP="00D07CFD">
            <w:pPr>
              <w:spacing w:before="2" w:line="360" w:lineRule="auto"/>
              <w:ind w:right="145"/>
              <w:jc w:val="both"/>
              <w:rPr>
                <w:sz w:val="28"/>
                <w:szCs w:val="28"/>
                <w:lang w:val="ru-RU"/>
              </w:rPr>
            </w:pPr>
            <w:r w:rsidRPr="00D07CFD">
              <w:rPr>
                <w:sz w:val="28"/>
                <w:szCs w:val="28"/>
                <w:lang w:val="ru-RU"/>
              </w:rPr>
              <w:t>Требуемая норма доходности инвестора</w:t>
            </w:r>
          </w:p>
          <w:p w14:paraId="2A52A374" w14:textId="77777777" w:rsidR="00EA7643" w:rsidRPr="00D07CFD" w:rsidRDefault="00EA7643" w:rsidP="00EB7E68">
            <w:pPr>
              <w:spacing w:before="2" w:line="360" w:lineRule="auto"/>
              <w:ind w:right="145"/>
              <w:jc w:val="both"/>
              <w:rPr>
                <w:sz w:val="28"/>
                <w:szCs w:val="28"/>
                <w:lang w:val="en-US"/>
              </w:rPr>
            </w:pPr>
          </w:p>
        </w:tc>
        <w:tc>
          <w:tcPr>
            <w:tcW w:w="3684" w:type="dxa"/>
          </w:tcPr>
          <w:p w14:paraId="3F5573E1" w14:textId="37FFBD8B" w:rsidR="00EA7643" w:rsidRPr="00D07CFD" w:rsidRDefault="00D07CFD" w:rsidP="00EB7E68">
            <w:pPr>
              <w:spacing w:before="2" w:line="360" w:lineRule="auto"/>
              <w:ind w:right="145"/>
              <w:jc w:val="both"/>
              <w:rPr>
                <w:sz w:val="28"/>
                <w:szCs w:val="28"/>
                <w:lang w:val="en-US"/>
              </w:rPr>
            </w:pPr>
            <w:r w:rsidRPr="00D07CFD">
              <w:rPr>
                <w:sz w:val="28"/>
                <w:szCs w:val="28"/>
                <w:lang w:val="en-US"/>
              </w:rPr>
              <w:t>Start-up (50–70%) → First stage (40–60%) → Second stage (35–50%) → Third stage (30–50%) → Fourth stage (30–50%) → Bridge/Mezzanine (25–35%)</w:t>
            </w:r>
          </w:p>
        </w:tc>
      </w:tr>
    </w:tbl>
    <w:p w14:paraId="0D6675FD" w14:textId="7C4A070A" w:rsidR="00B5623C" w:rsidRPr="00D07CFD" w:rsidRDefault="00D07CFD" w:rsidP="00D07CFD">
      <w:pPr>
        <w:pBdr>
          <w:top w:val="nil"/>
          <w:left w:val="nil"/>
          <w:bottom w:val="nil"/>
          <w:right w:val="nil"/>
          <w:between w:val="nil"/>
        </w:pBdr>
        <w:spacing w:before="2" w:line="360" w:lineRule="auto"/>
        <w:ind w:left="140" w:right="145"/>
        <w:jc w:val="both"/>
        <w:rPr>
          <w:sz w:val="28"/>
          <w:szCs w:val="28"/>
          <w:lang w:val="en-US"/>
        </w:rPr>
      </w:pPr>
      <w:r>
        <w:rPr>
          <w:sz w:val="28"/>
          <w:szCs w:val="28"/>
          <w:lang w:val="ru-RU"/>
        </w:rPr>
        <w:lastRenderedPageBreak/>
        <w:t>Источник</w:t>
      </w:r>
      <w:r w:rsidRPr="00D07CFD">
        <w:rPr>
          <w:sz w:val="28"/>
          <w:szCs w:val="28"/>
          <w:lang w:val="en-US"/>
        </w:rPr>
        <w:t>:</w:t>
      </w:r>
      <w:r>
        <w:rPr>
          <w:sz w:val="28"/>
          <w:szCs w:val="28"/>
          <w:lang w:val="en-US"/>
        </w:rPr>
        <w:t xml:space="preserve"> </w:t>
      </w:r>
      <w:r w:rsidRPr="00D07CFD">
        <w:rPr>
          <w:sz w:val="28"/>
          <w:szCs w:val="28"/>
        </w:rPr>
        <w:t>Составлено</w:t>
      </w:r>
      <w:r w:rsidRPr="00D07CFD">
        <w:rPr>
          <w:sz w:val="28"/>
          <w:szCs w:val="28"/>
          <w:lang w:val="en-US"/>
        </w:rPr>
        <w:t xml:space="preserve"> </w:t>
      </w:r>
      <w:r w:rsidRPr="00D07CFD">
        <w:rPr>
          <w:sz w:val="28"/>
          <w:szCs w:val="28"/>
        </w:rPr>
        <w:t>автором</w:t>
      </w:r>
      <w:r w:rsidRPr="00D07CFD">
        <w:rPr>
          <w:sz w:val="28"/>
          <w:szCs w:val="28"/>
          <w:lang w:val="en-US"/>
        </w:rPr>
        <w:t xml:space="preserve"> </w:t>
      </w:r>
      <w:r w:rsidRPr="00D07CFD">
        <w:rPr>
          <w:sz w:val="28"/>
          <w:szCs w:val="28"/>
        </w:rPr>
        <w:t>на</w:t>
      </w:r>
      <w:r w:rsidRPr="00D07CFD">
        <w:rPr>
          <w:sz w:val="28"/>
          <w:szCs w:val="28"/>
          <w:lang w:val="en-US"/>
        </w:rPr>
        <w:t xml:space="preserve"> </w:t>
      </w:r>
      <w:r w:rsidRPr="00D07CFD">
        <w:rPr>
          <w:sz w:val="28"/>
          <w:szCs w:val="28"/>
        </w:rPr>
        <w:t>основе</w:t>
      </w:r>
      <w:r w:rsidRPr="00D07CFD">
        <w:rPr>
          <w:sz w:val="28"/>
          <w:szCs w:val="28"/>
          <w:lang w:val="en-US"/>
        </w:rPr>
        <w:t xml:space="preserve"> Invest Europe (Glossary), PitchBook-NVCA Venture Monitor (2026 Yearbook), </w:t>
      </w:r>
      <w:r w:rsidRPr="00D07CFD">
        <w:rPr>
          <w:sz w:val="28"/>
          <w:szCs w:val="28"/>
        </w:rPr>
        <w:t>Российской</w:t>
      </w:r>
      <w:r w:rsidRPr="00D07CFD">
        <w:rPr>
          <w:sz w:val="28"/>
          <w:szCs w:val="28"/>
          <w:lang w:val="en-US"/>
        </w:rPr>
        <w:t xml:space="preserve"> </w:t>
      </w:r>
      <w:r w:rsidRPr="00D07CFD">
        <w:rPr>
          <w:sz w:val="28"/>
          <w:szCs w:val="28"/>
        </w:rPr>
        <w:t>ассоциации</w:t>
      </w:r>
      <w:r w:rsidRPr="00D07CFD">
        <w:rPr>
          <w:sz w:val="28"/>
          <w:szCs w:val="28"/>
          <w:lang w:val="en-US"/>
        </w:rPr>
        <w:t xml:space="preserve"> </w:t>
      </w:r>
      <w:r w:rsidRPr="00D07CFD">
        <w:rPr>
          <w:sz w:val="28"/>
          <w:szCs w:val="28"/>
        </w:rPr>
        <w:t>венчурного</w:t>
      </w:r>
      <w:r w:rsidRPr="00D07CFD">
        <w:rPr>
          <w:sz w:val="28"/>
          <w:szCs w:val="28"/>
          <w:lang w:val="en-US"/>
        </w:rPr>
        <w:t xml:space="preserve"> </w:t>
      </w:r>
      <w:r w:rsidRPr="00D07CFD">
        <w:rPr>
          <w:sz w:val="28"/>
          <w:szCs w:val="28"/>
        </w:rPr>
        <w:t>инвестирования</w:t>
      </w:r>
      <w:r w:rsidRPr="00D07CFD">
        <w:rPr>
          <w:sz w:val="28"/>
          <w:szCs w:val="28"/>
          <w:lang w:val="en-US"/>
        </w:rPr>
        <w:t xml:space="preserve"> (</w:t>
      </w:r>
      <w:r w:rsidRPr="00D07CFD">
        <w:rPr>
          <w:sz w:val="28"/>
          <w:szCs w:val="28"/>
        </w:rPr>
        <w:t>РАВИ</w:t>
      </w:r>
      <w:r w:rsidRPr="00D07CFD">
        <w:rPr>
          <w:sz w:val="28"/>
          <w:szCs w:val="28"/>
          <w:lang w:val="en-US"/>
        </w:rPr>
        <w:t xml:space="preserve">) </w:t>
      </w:r>
      <w:r w:rsidRPr="00D07CFD">
        <w:rPr>
          <w:sz w:val="28"/>
          <w:szCs w:val="28"/>
        </w:rPr>
        <w:t>и</w:t>
      </w:r>
      <w:r w:rsidRPr="00D07CFD">
        <w:rPr>
          <w:sz w:val="28"/>
          <w:szCs w:val="28"/>
          <w:lang w:val="en-US"/>
        </w:rPr>
        <w:t xml:space="preserve"> Plummer J.L. (QED Report on Venture Capital Financial Analysis, 1987, </w:t>
      </w:r>
      <w:r w:rsidRPr="00D07CFD">
        <w:rPr>
          <w:sz w:val="28"/>
          <w:szCs w:val="28"/>
        </w:rPr>
        <w:t>изложено</w:t>
      </w:r>
      <w:r w:rsidRPr="00D07CFD">
        <w:rPr>
          <w:sz w:val="28"/>
          <w:szCs w:val="28"/>
          <w:lang w:val="en-US"/>
        </w:rPr>
        <w:t xml:space="preserve"> </w:t>
      </w:r>
      <w:r w:rsidRPr="00D07CFD">
        <w:rPr>
          <w:sz w:val="28"/>
          <w:szCs w:val="28"/>
        </w:rPr>
        <w:t>по</w:t>
      </w:r>
      <w:r w:rsidRPr="00D07CFD">
        <w:rPr>
          <w:sz w:val="28"/>
          <w:szCs w:val="28"/>
          <w:lang w:val="en-US"/>
        </w:rPr>
        <w:t>: Khairajani R., KNAV, 2020). </w:t>
      </w:r>
    </w:p>
    <w:p w14:paraId="7CEE2CEF" w14:textId="22953041" w:rsidR="00FA5B71" w:rsidRPr="00FA5B71" w:rsidRDefault="00EB7E68" w:rsidP="00EB7E68">
      <w:pPr>
        <w:pBdr>
          <w:top w:val="nil"/>
          <w:left w:val="nil"/>
          <w:bottom w:val="nil"/>
          <w:right w:val="nil"/>
          <w:between w:val="nil"/>
        </w:pBdr>
        <w:spacing w:before="2" w:line="360" w:lineRule="auto"/>
        <w:ind w:left="140" w:right="145" w:firstLine="708"/>
        <w:jc w:val="both"/>
        <w:rPr>
          <w:sz w:val="28"/>
          <w:szCs w:val="28"/>
          <w:lang w:val="ru-RU"/>
        </w:rPr>
      </w:pPr>
      <w:r w:rsidRPr="004C5A59">
        <w:rPr>
          <w:sz w:val="28"/>
          <w:szCs w:val="28"/>
          <w:lang w:val="ru-RU"/>
        </w:rPr>
        <w:t xml:space="preserve">Показательно, что среди всех перечисленных систем отсутствует терминологическое единство: один и тот же по существу раунд финансирования может по-разному называться, иметь разные пороговые критерии отнесения и не совпадать по границам стадии в зависимости от того, чьей классификации придерживается аналитик. </w:t>
      </w:r>
      <w:r w:rsidR="00494CC7" w:rsidRPr="00494CC7">
        <w:rPr>
          <w:sz w:val="28"/>
          <w:szCs w:val="28"/>
        </w:rPr>
        <w:t>к аналогичному выводу, сопоставив методологии крупнейших ассоциаций, приходит и Е.Ю. Макушина</w:t>
      </w:r>
      <w:r w:rsidR="00494CC7">
        <w:rPr>
          <w:rStyle w:val="a7"/>
          <w:sz w:val="28"/>
          <w:szCs w:val="28"/>
        </w:rPr>
        <w:footnoteReference w:id="140"/>
      </w:r>
      <w:r w:rsidR="00494CC7" w:rsidRPr="00494CC7">
        <w:rPr>
          <w:sz w:val="28"/>
          <w:szCs w:val="28"/>
        </w:rPr>
        <w:t>, отмечающая, что при сходной общей логике построения статистики название и границы промежуточных стадий у разных организаций расходятся</w:t>
      </w:r>
      <w:r w:rsidR="00494CC7">
        <w:rPr>
          <w:sz w:val="28"/>
          <w:szCs w:val="28"/>
          <w:lang w:val="ru-RU"/>
        </w:rPr>
        <w:t xml:space="preserve">. </w:t>
      </w:r>
      <w:r w:rsidR="00FA5B71">
        <w:rPr>
          <w:sz w:val="28"/>
          <w:szCs w:val="28"/>
          <w:lang w:val="ru-RU"/>
        </w:rPr>
        <w:t>Данная неоднородность может быть проиллюстрирована с помощью рисунка 1.5.</w:t>
      </w:r>
    </w:p>
    <w:p w14:paraId="7C077151" w14:textId="0BF88E69" w:rsidR="00FA5B71" w:rsidRDefault="00752081" w:rsidP="00EB7E68">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Рисунок 1.5</w:t>
      </w:r>
      <w:r w:rsidR="00135112">
        <w:rPr>
          <w:sz w:val="28"/>
          <w:szCs w:val="28"/>
          <w:lang w:val="ru-RU"/>
        </w:rPr>
        <w:t xml:space="preserve"> - </w:t>
      </w:r>
      <w:r w:rsidR="00135112" w:rsidRPr="00135112">
        <w:rPr>
          <w:sz w:val="28"/>
          <w:szCs w:val="28"/>
        </w:rPr>
        <w:t>Расхождение терминологии стадий финансирования между системами</w:t>
      </w:r>
      <w:r w:rsidR="00135112">
        <w:rPr>
          <w:sz w:val="28"/>
          <w:szCs w:val="28"/>
          <w:lang w:val="ru-RU"/>
        </w:rPr>
        <w:t>.</w:t>
      </w:r>
    </w:p>
    <w:p w14:paraId="05359ED8" w14:textId="509CDE41" w:rsidR="00135112" w:rsidRPr="00135112" w:rsidRDefault="00135112" w:rsidP="00135112">
      <w:pPr>
        <w:pBdr>
          <w:top w:val="nil"/>
          <w:left w:val="nil"/>
          <w:bottom w:val="nil"/>
          <w:right w:val="nil"/>
          <w:between w:val="nil"/>
        </w:pBdr>
        <w:spacing w:before="2" w:line="360" w:lineRule="auto"/>
        <w:ind w:right="145"/>
        <w:jc w:val="both"/>
        <w:rPr>
          <w:sz w:val="28"/>
          <w:szCs w:val="28"/>
          <w:lang w:val="en-US"/>
        </w:rPr>
      </w:pPr>
      <w:r w:rsidRPr="00135112">
        <w:rPr>
          <w:noProof/>
          <w:sz w:val="28"/>
          <w:szCs w:val="28"/>
          <w:lang w:val="ru-RU" w:eastAsia="ru-RU"/>
        </w:rPr>
        <w:drawing>
          <wp:inline distT="0" distB="0" distL="0" distR="0" wp14:anchorId="2D074DA3" wp14:editId="2D517D30">
            <wp:extent cx="6483350" cy="1807210"/>
            <wp:effectExtent l="0" t="0" r="0" b="2540"/>
            <wp:docPr id="139078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87901" name=""/>
                    <pic:cNvPicPr/>
                  </pic:nvPicPr>
                  <pic:blipFill>
                    <a:blip r:embed="rId16"/>
                    <a:stretch>
                      <a:fillRect/>
                    </a:stretch>
                  </pic:blipFill>
                  <pic:spPr>
                    <a:xfrm>
                      <a:off x="0" y="0"/>
                      <a:ext cx="6483350" cy="1807210"/>
                    </a:xfrm>
                    <a:prstGeom prst="rect">
                      <a:avLst/>
                    </a:prstGeom>
                  </pic:spPr>
                </pic:pic>
              </a:graphicData>
            </a:graphic>
          </wp:inline>
        </w:drawing>
      </w:r>
    </w:p>
    <w:p w14:paraId="39AA3287" w14:textId="5B7FAE18" w:rsidR="00135112" w:rsidRPr="007B7B73" w:rsidRDefault="00135112" w:rsidP="00EB7E68">
      <w:pPr>
        <w:pBdr>
          <w:top w:val="nil"/>
          <w:left w:val="nil"/>
          <w:bottom w:val="nil"/>
          <w:right w:val="nil"/>
          <w:between w:val="nil"/>
        </w:pBdr>
        <w:spacing w:before="2" w:line="360" w:lineRule="auto"/>
        <w:ind w:left="140" w:right="145" w:firstLine="708"/>
        <w:jc w:val="both"/>
        <w:rPr>
          <w:sz w:val="28"/>
          <w:szCs w:val="28"/>
          <w:lang w:val="en-US"/>
        </w:rPr>
      </w:pPr>
      <w:r>
        <w:rPr>
          <w:sz w:val="28"/>
          <w:szCs w:val="28"/>
          <w:lang w:val="ru-RU"/>
        </w:rPr>
        <w:t>Источник</w:t>
      </w:r>
      <w:r w:rsidRPr="007B7B73">
        <w:rPr>
          <w:sz w:val="28"/>
          <w:szCs w:val="28"/>
          <w:lang w:val="en-US"/>
        </w:rPr>
        <w:t xml:space="preserve">: </w:t>
      </w:r>
      <w:r>
        <w:rPr>
          <w:sz w:val="28"/>
          <w:szCs w:val="28"/>
          <w:lang w:val="en-US"/>
        </w:rPr>
        <w:t>c</w:t>
      </w:r>
      <w:r w:rsidRPr="00135112">
        <w:rPr>
          <w:sz w:val="28"/>
          <w:szCs w:val="28"/>
        </w:rPr>
        <w:t>оставлено</w:t>
      </w:r>
      <w:r w:rsidRPr="007B7B73">
        <w:rPr>
          <w:sz w:val="28"/>
          <w:szCs w:val="28"/>
          <w:lang w:val="en-US"/>
        </w:rPr>
        <w:t xml:space="preserve"> </w:t>
      </w:r>
      <w:r w:rsidRPr="00135112">
        <w:rPr>
          <w:sz w:val="28"/>
          <w:szCs w:val="28"/>
        </w:rPr>
        <w:t>автором</w:t>
      </w:r>
      <w:r w:rsidRPr="007B7B73">
        <w:rPr>
          <w:sz w:val="28"/>
          <w:szCs w:val="28"/>
          <w:lang w:val="en-US"/>
        </w:rPr>
        <w:t xml:space="preserve"> </w:t>
      </w:r>
      <w:r w:rsidRPr="00135112">
        <w:rPr>
          <w:sz w:val="28"/>
          <w:szCs w:val="28"/>
        </w:rPr>
        <w:t>на</w:t>
      </w:r>
      <w:r w:rsidRPr="007B7B73">
        <w:rPr>
          <w:sz w:val="28"/>
          <w:szCs w:val="28"/>
          <w:lang w:val="en-US"/>
        </w:rPr>
        <w:t xml:space="preserve"> </w:t>
      </w:r>
      <w:r w:rsidRPr="00135112">
        <w:rPr>
          <w:sz w:val="28"/>
          <w:szCs w:val="28"/>
        </w:rPr>
        <w:t>основе</w:t>
      </w:r>
      <w:r w:rsidRPr="007B7B73">
        <w:rPr>
          <w:sz w:val="28"/>
          <w:szCs w:val="28"/>
          <w:lang w:val="en-US"/>
        </w:rPr>
        <w:t xml:space="preserve"> Invest Europe (Glossary), PitchBook-NVCA Venture Monitor (2026 Yearbook), </w:t>
      </w:r>
      <w:r w:rsidRPr="00135112">
        <w:rPr>
          <w:sz w:val="28"/>
          <w:szCs w:val="28"/>
        </w:rPr>
        <w:t>Российской</w:t>
      </w:r>
      <w:r w:rsidRPr="007B7B73">
        <w:rPr>
          <w:sz w:val="28"/>
          <w:szCs w:val="28"/>
          <w:lang w:val="en-US"/>
        </w:rPr>
        <w:t xml:space="preserve"> </w:t>
      </w:r>
      <w:r w:rsidRPr="00135112">
        <w:rPr>
          <w:sz w:val="28"/>
          <w:szCs w:val="28"/>
        </w:rPr>
        <w:t>ассоциации</w:t>
      </w:r>
      <w:r w:rsidRPr="007B7B73">
        <w:rPr>
          <w:sz w:val="28"/>
          <w:szCs w:val="28"/>
          <w:lang w:val="en-US"/>
        </w:rPr>
        <w:t xml:space="preserve"> </w:t>
      </w:r>
      <w:r w:rsidRPr="00135112">
        <w:rPr>
          <w:sz w:val="28"/>
          <w:szCs w:val="28"/>
        </w:rPr>
        <w:t>венчурного</w:t>
      </w:r>
      <w:r w:rsidRPr="007B7B73">
        <w:rPr>
          <w:sz w:val="28"/>
          <w:szCs w:val="28"/>
          <w:lang w:val="en-US"/>
        </w:rPr>
        <w:t xml:space="preserve"> </w:t>
      </w:r>
      <w:r w:rsidRPr="00135112">
        <w:rPr>
          <w:sz w:val="28"/>
          <w:szCs w:val="28"/>
        </w:rPr>
        <w:t>инвестирования</w:t>
      </w:r>
      <w:r w:rsidRPr="007B7B73">
        <w:rPr>
          <w:sz w:val="28"/>
          <w:szCs w:val="28"/>
          <w:lang w:val="en-US"/>
        </w:rPr>
        <w:t xml:space="preserve"> (</w:t>
      </w:r>
      <w:r w:rsidRPr="00135112">
        <w:rPr>
          <w:sz w:val="28"/>
          <w:szCs w:val="28"/>
        </w:rPr>
        <w:t>РАВИ</w:t>
      </w:r>
      <w:r w:rsidRPr="007B7B73">
        <w:rPr>
          <w:sz w:val="28"/>
          <w:szCs w:val="28"/>
          <w:lang w:val="en-US"/>
        </w:rPr>
        <w:t xml:space="preserve">) </w:t>
      </w:r>
      <w:r w:rsidRPr="00135112">
        <w:rPr>
          <w:sz w:val="28"/>
          <w:szCs w:val="28"/>
        </w:rPr>
        <w:t>и</w:t>
      </w:r>
      <w:r w:rsidRPr="007B7B73">
        <w:rPr>
          <w:sz w:val="28"/>
          <w:szCs w:val="28"/>
          <w:lang w:val="en-US"/>
        </w:rPr>
        <w:t xml:space="preserve"> Plummer J.L. (QED Report on Venture Capital Financial Analysis, 1987, </w:t>
      </w:r>
      <w:r w:rsidRPr="00135112">
        <w:rPr>
          <w:sz w:val="28"/>
          <w:szCs w:val="28"/>
        </w:rPr>
        <w:t>изложено</w:t>
      </w:r>
      <w:r w:rsidRPr="007B7B73">
        <w:rPr>
          <w:sz w:val="28"/>
          <w:szCs w:val="28"/>
          <w:lang w:val="en-US"/>
        </w:rPr>
        <w:t xml:space="preserve"> </w:t>
      </w:r>
      <w:r w:rsidRPr="00135112">
        <w:rPr>
          <w:sz w:val="28"/>
          <w:szCs w:val="28"/>
        </w:rPr>
        <w:t>по</w:t>
      </w:r>
      <w:r w:rsidRPr="007B7B73">
        <w:rPr>
          <w:sz w:val="28"/>
          <w:szCs w:val="28"/>
          <w:lang w:val="en-US"/>
        </w:rPr>
        <w:t>: Khairajani R., KNAV, 2020).</w:t>
      </w:r>
    </w:p>
    <w:p w14:paraId="66DB2A98" w14:textId="77777777" w:rsidR="00786CC2" w:rsidRDefault="00EB7E68" w:rsidP="00786CC2">
      <w:pPr>
        <w:pBdr>
          <w:top w:val="nil"/>
          <w:left w:val="nil"/>
          <w:bottom w:val="nil"/>
          <w:right w:val="nil"/>
          <w:between w:val="nil"/>
        </w:pBdr>
        <w:spacing w:before="2" w:line="360" w:lineRule="auto"/>
        <w:ind w:left="140" w:right="145" w:firstLine="708"/>
        <w:jc w:val="both"/>
        <w:rPr>
          <w:sz w:val="28"/>
          <w:szCs w:val="28"/>
          <w:lang w:val="ru-RU"/>
        </w:rPr>
      </w:pPr>
      <w:r w:rsidRPr="004C5A59">
        <w:rPr>
          <w:sz w:val="28"/>
          <w:szCs w:val="28"/>
          <w:lang w:val="ru-RU"/>
        </w:rPr>
        <w:t>Именно эта неоднородность обосновывает необходимость независимого от конкретной отраслевой номенклатуры основания для типологии, предлагаемого в настоящем исследовании.</w:t>
      </w:r>
      <w:r w:rsidR="00786CC2">
        <w:rPr>
          <w:sz w:val="28"/>
          <w:szCs w:val="28"/>
          <w:lang w:val="ru-RU"/>
        </w:rPr>
        <w:t xml:space="preserve"> </w:t>
      </w:r>
    </w:p>
    <w:p w14:paraId="4D983B53" w14:textId="2A4E8048" w:rsidR="007E3C46" w:rsidRPr="00135112" w:rsidRDefault="007D76F4" w:rsidP="00786CC2">
      <w:pPr>
        <w:pBdr>
          <w:top w:val="nil"/>
          <w:left w:val="nil"/>
          <w:bottom w:val="nil"/>
          <w:right w:val="nil"/>
          <w:between w:val="nil"/>
        </w:pBdr>
        <w:spacing w:before="2" w:line="360" w:lineRule="auto"/>
        <w:ind w:left="140" w:right="145" w:firstLine="708"/>
        <w:jc w:val="both"/>
        <w:rPr>
          <w:sz w:val="28"/>
          <w:szCs w:val="28"/>
          <w:lang w:val="ru-RU"/>
        </w:rPr>
      </w:pPr>
      <w:r w:rsidRPr="007D76F4">
        <w:rPr>
          <w:sz w:val="28"/>
          <w:szCs w:val="28"/>
          <w:lang w:val="ru-RU"/>
        </w:rPr>
        <w:lastRenderedPageBreak/>
        <w:t xml:space="preserve">Даже там, где стадия жизненного цикла компании явно связывается со стратегией финансирования, она чаще принимается как заданная, а не диагностируемая характеристика. </w:t>
      </w:r>
      <w:r w:rsidR="00135112" w:rsidRPr="00135112">
        <w:rPr>
          <w:sz w:val="28"/>
          <w:szCs w:val="28"/>
        </w:rPr>
        <w:t>Уже в модели Бергера и Удела, рассмотренной выше, стадия (заданная через размер, возраст и информационную непрозрачность компании) напрямую определяет доступный тип капитала, а не подлежит собственной диагностике</w:t>
      </w:r>
      <w:r w:rsidR="00135112">
        <w:rPr>
          <w:sz w:val="28"/>
          <w:szCs w:val="28"/>
          <w:lang w:val="ru-RU"/>
        </w:rPr>
        <w:t>. Т</w:t>
      </w:r>
      <w:r w:rsidR="00135112" w:rsidRPr="00135112">
        <w:rPr>
          <w:sz w:val="28"/>
          <w:szCs w:val="28"/>
        </w:rPr>
        <w:t xml:space="preserve">а же логика впоследствии </w:t>
      </w:r>
      <w:r w:rsidR="00135112">
        <w:rPr>
          <w:sz w:val="28"/>
          <w:szCs w:val="28"/>
          <w:lang w:val="ru-RU"/>
        </w:rPr>
        <w:t>находит свое отражение</w:t>
      </w:r>
      <w:r w:rsidR="00135112" w:rsidRPr="00135112">
        <w:rPr>
          <w:sz w:val="28"/>
          <w:szCs w:val="28"/>
        </w:rPr>
        <w:t xml:space="preserve"> </w:t>
      </w:r>
      <w:r w:rsidR="00135112">
        <w:rPr>
          <w:sz w:val="28"/>
          <w:szCs w:val="28"/>
          <w:lang w:val="ru-RU"/>
        </w:rPr>
        <w:t>в других теориях и классификациях,</w:t>
      </w:r>
      <w:r w:rsidR="00135112" w:rsidRPr="00135112">
        <w:rPr>
          <w:sz w:val="28"/>
          <w:szCs w:val="28"/>
          <w:lang w:val="ru-RU"/>
        </w:rPr>
        <w:t xml:space="preserve"> </w:t>
      </w:r>
      <w:r w:rsidR="00135112">
        <w:rPr>
          <w:sz w:val="28"/>
          <w:szCs w:val="28"/>
          <w:lang w:val="ru-RU"/>
        </w:rPr>
        <w:t xml:space="preserve">рассмотренных далее. </w:t>
      </w:r>
    </w:p>
    <w:p w14:paraId="246D0AFF" w14:textId="63C00F74" w:rsidR="007E3C46" w:rsidRDefault="007E3C46" w:rsidP="007E3C46">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Наиболее близкий к предмету настоящего исследования пример такой привязки предлагает</w:t>
      </w:r>
      <w:r w:rsidRPr="007E3C46">
        <w:rPr>
          <w:sz w:val="28"/>
          <w:szCs w:val="28"/>
          <w:lang w:val="ru-RU"/>
        </w:rPr>
        <w:t xml:space="preserve"> </w:t>
      </w:r>
      <w:r w:rsidRPr="00E74E6C">
        <w:rPr>
          <w:sz w:val="28"/>
          <w:szCs w:val="28"/>
        </w:rPr>
        <w:t>Американский</w:t>
      </w:r>
      <w:r w:rsidRPr="007E3C46">
        <w:rPr>
          <w:sz w:val="28"/>
          <w:szCs w:val="28"/>
          <w:lang w:val="ru-RU"/>
        </w:rPr>
        <w:t xml:space="preserve"> </w:t>
      </w:r>
      <w:r w:rsidRPr="00E74E6C">
        <w:rPr>
          <w:sz w:val="28"/>
          <w:szCs w:val="28"/>
        </w:rPr>
        <w:t>институт</w:t>
      </w:r>
      <w:r w:rsidRPr="007E3C46">
        <w:rPr>
          <w:sz w:val="28"/>
          <w:szCs w:val="28"/>
          <w:lang w:val="ru-RU"/>
        </w:rPr>
        <w:t xml:space="preserve"> </w:t>
      </w:r>
      <w:r w:rsidRPr="00E74E6C">
        <w:rPr>
          <w:sz w:val="28"/>
          <w:szCs w:val="28"/>
        </w:rPr>
        <w:t>сертифицированных</w:t>
      </w:r>
      <w:r w:rsidRPr="007E3C46">
        <w:rPr>
          <w:sz w:val="28"/>
          <w:szCs w:val="28"/>
          <w:lang w:val="ru-RU"/>
        </w:rPr>
        <w:t xml:space="preserve"> </w:t>
      </w:r>
      <w:r w:rsidRPr="00E74E6C">
        <w:rPr>
          <w:sz w:val="28"/>
          <w:szCs w:val="28"/>
        </w:rPr>
        <w:t>общественных</w:t>
      </w:r>
      <w:r w:rsidRPr="007E3C46">
        <w:rPr>
          <w:sz w:val="28"/>
          <w:szCs w:val="28"/>
          <w:lang w:val="ru-RU"/>
        </w:rPr>
        <w:t xml:space="preserve"> </w:t>
      </w:r>
      <w:r w:rsidRPr="00E74E6C">
        <w:rPr>
          <w:sz w:val="28"/>
          <w:szCs w:val="28"/>
        </w:rPr>
        <w:t>бухгалтеров</w:t>
      </w:r>
      <w:r w:rsidRPr="007E3C46">
        <w:rPr>
          <w:sz w:val="28"/>
          <w:szCs w:val="28"/>
          <w:lang w:val="ru-RU"/>
        </w:rPr>
        <w:t xml:space="preserve"> (</w:t>
      </w:r>
      <w:r w:rsidRPr="007E3C46">
        <w:rPr>
          <w:sz w:val="28"/>
          <w:szCs w:val="28"/>
          <w:lang w:val="en-US"/>
        </w:rPr>
        <w:t>American</w:t>
      </w:r>
      <w:r w:rsidRPr="007E3C46">
        <w:rPr>
          <w:sz w:val="28"/>
          <w:szCs w:val="28"/>
          <w:lang w:val="ru-RU"/>
        </w:rPr>
        <w:t xml:space="preserve"> </w:t>
      </w:r>
      <w:r w:rsidRPr="007E3C46">
        <w:rPr>
          <w:sz w:val="28"/>
          <w:szCs w:val="28"/>
          <w:lang w:val="en-US"/>
        </w:rPr>
        <w:t>Institute</w:t>
      </w:r>
      <w:r w:rsidRPr="007E3C46">
        <w:rPr>
          <w:sz w:val="28"/>
          <w:szCs w:val="28"/>
          <w:lang w:val="ru-RU"/>
        </w:rPr>
        <w:t xml:space="preserve"> </w:t>
      </w:r>
      <w:r w:rsidRPr="007E3C46">
        <w:rPr>
          <w:sz w:val="28"/>
          <w:szCs w:val="28"/>
          <w:lang w:val="en-US"/>
        </w:rPr>
        <w:t>of</w:t>
      </w:r>
      <w:r w:rsidRPr="007E3C46">
        <w:rPr>
          <w:sz w:val="28"/>
          <w:szCs w:val="28"/>
          <w:lang w:val="ru-RU"/>
        </w:rPr>
        <w:t xml:space="preserve"> </w:t>
      </w:r>
      <w:r w:rsidRPr="007E3C46">
        <w:rPr>
          <w:sz w:val="28"/>
          <w:szCs w:val="28"/>
          <w:lang w:val="en-US"/>
        </w:rPr>
        <w:t>Certified</w:t>
      </w:r>
      <w:r w:rsidRPr="007E3C46">
        <w:rPr>
          <w:sz w:val="28"/>
          <w:szCs w:val="28"/>
          <w:lang w:val="ru-RU"/>
        </w:rPr>
        <w:t xml:space="preserve"> </w:t>
      </w:r>
      <w:r w:rsidRPr="007E3C46">
        <w:rPr>
          <w:sz w:val="28"/>
          <w:szCs w:val="28"/>
          <w:lang w:val="en-US"/>
        </w:rPr>
        <w:t>Public</w:t>
      </w:r>
      <w:r w:rsidRPr="007E3C46">
        <w:rPr>
          <w:sz w:val="28"/>
          <w:szCs w:val="28"/>
          <w:lang w:val="ru-RU"/>
        </w:rPr>
        <w:t xml:space="preserve"> </w:t>
      </w:r>
      <w:r w:rsidRPr="007E3C46">
        <w:rPr>
          <w:sz w:val="28"/>
          <w:szCs w:val="28"/>
          <w:lang w:val="en-US"/>
        </w:rPr>
        <w:t>Accountants</w:t>
      </w:r>
      <w:r w:rsidRPr="007E3C46">
        <w:rPr>
          <w:sz w:val="28"/>
          <w:szCs w:val="28"/>
          <w:lang w:val="ru-RU"/>
        </w:rPr>
        <w:t xml:space="preserve">, </w:t>
      </w:r>
      <w:r w:rsidRPr="004C5A59">
        <w:rPr>
          <w:sz w:val="28"/>
          <w:szCs w:val="28"/>
          <w:lang w:val="en-US"/>
        </w:rPr>
        <w:t>AICPA</w:t>
      </w:r>
      <w:r w:rsidRPr="007E3C46">
        <w:rPr>
          <w:sz w:val="28"/>
          <w:szCs w:val="28"/>
          <w:lang w:val="ru-RU"/>
        </w:rPr>
        <w:t>)</w:t>
      </w:r>
      <w:r>
        <w:rPr>
          <w:sz w:val="28"/>
          <w:szCs w:val="28"/>
          <w:lang w:val="ru-RU"/>
        </w:rPr>
        <w:t>.</w:t>
      </w:r>
      <w:r w:rsidRPr="007E3C46">
        <w:rPr>
          <w:sz w:val="28"/>
          <w:szCs w:val="28"/>
          <w:lang w:val="ru-RU"/>
        </w:rPr>
        <w:t xml:space="preserve"> </w:t>
      </w:r>
      <w:r>
        <w:rPr>
          <w:sz w:val="28"/>
          <w:szCs w:val="28"/>
          <w:lang w:val="ru-RU"/>
        </w:rPr>
        <w:t>В его</w:t>
      </w:r>
      <w:r w:rsidRPr="007E3C46">
        <w:rPr>
          <w:sz w:val="28"/>
          <w:szCs w:val="28"/>
          <w:lang w:val="ru-RU"/>
        </w:rPr>
        <w:t xml:space="preserve"> </w:t>
      </w:r>
      <w:r w:rsidRPr="004C5A59">
        <w:rPr>
          <w:sz w:val="28"/>
          <w:szCs w:val="28"/>
          <w:lang w:val="ru-RU"/>
        </w:rPr>
        <w:t>руководстве</w:t>
      </w:r>
      <w:r w:rsidRPr="007E3C46">
        <w:rPr>
          <w:sz w:val="28"/>
          <w:szCs w:val="28"/>
          <w:lang w:val="ru-RU"/>
        </w:rPr>
        <w:t xml:space="preserve"> </w:t>
      </w:r>
      <w:r w:rsidRPr="004C5A59">
        <w:rPr>
          <w:sz w:val="28"/>
          <w:szCs w:val="28"/>
          <w:lang w:val="ru-RU"/>
        </w:rPr>
        <w:t>по</w:t>
      </w:r>
      <w:r w:rsidRPr="007E3C46">
        <w:rPr>
          <w:sz w:val="28"/>
          <w:szCs w:val="28"/>
          <w:lang w:val="ru-RU"/>
        </w:rPr>
        <w:t xml:space="preserve"> </w:t>
      </w:r>
      <w:r w:rsidRPr="004C5A59">
        <w:rPr>
          <w:sz w:val="28"/>
          <w:szCs w:val="28"/>
          <w:lang w:val="ru-RU"/>
        </w:rPr>
        <w:t>оценке</w:t>
      </w:r>
      <w:r w:rsidRPr="007E3C46">
        <w:rPr>
          <w:sz w:val="28"/>
          <w:szCs w:val="28"/>
          <w:lang w:val="ru-RU"/>
        </w:rPr>
        <w:t xml:space="preserve"> </w:t>
      </w:r>
      <w:r w:rsidRPr="004C5A59">
        <w:rPr>
          <w:sz w:val="28"/>
          <w:szCs w:val="28"/>
          <w:lang w:val="ru-RU"/>
        </w:rPr>
        <w:t>портфельных</w:t>
      </w:r>
      <w:r w:rsidRPr="007E3C46">
        <w:rPr>
          <w:sz w:val="28"/>
          <w:szCs w:val="28"/>
          <w:lang w:val="ru-RU"/>
        </w:rPr>
        <w:t xml:space="preserve"> </w:t>
      </w:r>
      <w:r w:rsidRPr="004C5A59">
        <w:rPr>
          <w:sz w:val="28"/>
          <w:szCs w:val="28"/>
          <w:lang w:val="ru-RU"/>
        </w:rPr>
        <w:t>инвестиций</w:t>
      </w:r>
      <w:r w:rsidRPr="007E3C46">
        <w:rPr>
          <w:sz w:val="28"/>
          <w:szCs w:val="28"/>
          <w:lang w:val="ru-RU"/>
        </w:rPr>
        <w:t xml:space="preserve"> </w:t>
      </w:r>
      <w:r w:rsidRPr="004C5A59">
        <w:rPr>
          <w:sz w:val="28"/>
          <w:szCs w:val="28"/>
          <w:lang w:val="ru-RU"/>
        </w:rPr>
        <w:t>венчурных</w:t>
      </w:r>
      <w:r w:rsidRPr="007E3C46">
        <w:rPr>
          <w:sz w:val="28"/>
          <w:szCs w:val="28"/>
          <w:lang w:val="ru-RU"/>
        </w:rPr>
        <w:t xml:space="preserve"> </w:t>
      </w:r>
      <w:r w:rsidRPr="004C5A59">
        <w:rPr>
          <w:sz w:val="28"/>
          <w:szCs w:val="28"/>
          <w:lang w:val="ru-RU"/>
        </w:rPr>
        <w:t>и</w:t>
      </w:r>
      <w:r w:rsidRPr="007E3C46">
        <w:rPr>
          <w:sz w:val="28"/>
          <w:szCs w:val="28"/>
          <w:lang w:val="ru-RU"/>
        </w:rPr>
        <w:t xml:space="preserve"> </w:t>
      </w:r>
      <w:r w:rsidRPr="004C5A59">
        <w:rPr>
          <w:sz w:val="28"/>
          <w:szCs w:val="28"/>
          <w:lang w:val="en-US"/>
        </w:rPr>
        <w:t>PE</w:t>
      </w:r>
      <w:r w:rsidRPr="007E3C46">
        <w:rPr>
          <w:sz w:val="28"/>
          <w:szCs w:val="28"/>
          <w:lang w:val="ru-RU"/>
        </w:rPr>
        <w:t>-</w:t>
      </w:r>
      <w:r w:rsidRPr="004C5A59">
        <w:rPr>
          <w:sz w:val="28"/>
          <w:szCs w:val="28"/>
          <w:lang w:val="ru-RU"/>
        </w:rPr>
        <w:t>фондов</w:t>
      </w:r>
      <w:r w:rsidRPr="007E3C46">
        <w:rPr>
          <w:sz w:val="28"/>
          <w:szCs w:val="28"/>
          <w:lang w:val="ru-RU"/>
        </w:rPr>
        <w:t xml:space="preserve">  </w:t>
      </w:r>
      <w:r w:rsidRPr="00E74E6C">
        <w:rPr>
          <w:sz w:val="28"/>
          <w:szCs w:val="28"/>
          <w:lang w:val="ru-RU"/>
        </w:rPr>
        <w:t>выделяется</w:t>
      </w:r>
      <w:r w:rsidRPr="007E3C46">
        <w:rPr>
          <w:sz w:val="28"/>
          <w:szCs w:val="28"/>
          <w:lang w:val="ru-RU"/>
        </w:rPr>
        <w:t xml:space="preserve"> 6 </w:t>
      </w:r>
      <w:r w:rsidRPr="00E74E6C">
        <w:rPr>
          <w:sz w:val="28"/>
          <w:szCs w:val="28"/>
          <w:lang w:val="ru-RU"/>
        </w:rPr>
        <w:t>стадий</w:t>
      </w:r>
      <w:r w:rsidRPr="007E3C46">
        <w:rPr>
          <w:sz w:val="28"/>
          <w:szCs w:val="28"/>
          <w:lang w:val="ru-RU"/>
        </w:rPr>
        <w:t xml:space="preserve"> </w:t>
      </w:r>
      <w:r w:rsidRPr="00E74E6C">
        <w:rPr>
          <w:sz w:val="28"/>
          <w:szCs w:val="28"/>
          <w:lang w:val="ru-RU"/>
        </w:rPr>
        <w:t>развития</w:t>
      </w:r>
      <w:r w:rsidRPr="007E3C46">
        <w:rPr>
          <w:sz w:val="28"/>
          <w:szCs w:val="28"/>
          <w:lang w:val="ru-RU"/>
        </w:rPr>
        <w:t xml:space="preserve"> </w:t>
      </w:r>
      <w:r w:rsidRPr="00E74E6C">
        <w:rPr>
          <w:sz w:val="28"/>
          <w:szCs w:val="28"/>
          <w:lang w:val="ru-RU"/>
        </w:rPr>
        <w:t>портфельной</w:t>
      </w:r>
      <w:r w:rsidRPr="007E3C46">
        <w:rPr>
          <w:sz w:val="28"/>
          <w:szCs w:val="28"/>
          <w:lang w:val="ru-RU"/>
        </w:rPr>
        <w:t xml:space="preserve"> </w:t>
      </w:r>
      <w:r w:rsidRPr="00E74E6C">
        <w:rPr>
          <w:sz w:val="28"/>
          <w:szCs w:val="28"/>
          <w:lang w:val="ru-RU"/>
        </w:rPr>
        <w:t>компании</w:t>
      </w:r>
      <w:r w:rsidRPr="007E3C46">
        <w:rPr>
          <w:sz w:val="28"/>
          <w:szCs w:val="28"/>
          <w:lang w:val="ru-RU"/>
        </w:rPr>
        <w:t xml:space="preserve"> (</w:t>
      </w:r>
      <w:r w:rsidRPr="00E74E6C">
        <w:rPr>
          <w:sz w:val="28"/>
          <w:szCs w:val="28"/>
          <w:lang w:val="en-US"/>
        </w:rPr>
        <w:t>Stage</w:t>
      </w:r>
      <w:r w:rsidRPr="007E3C46">
        <w:rPr>
          <w:sz w:val="28"/>
          <w:szCs w:val="28"/>
          <w:lang w:val="ru-RU"/>
        </w:rPr>
        <w:t xml:space="preserve"> 1–6)</w:t>
      </w:r>
      <w:r w:rsidR="00296390">
        <w:rPr>
          <w:rStyle w:val="a7"/>
          <w:sz w:val="28"/>
          <w:szCs w:val="28"/>
          <w:lang w:val="ru-RU"/>
        </w:rPr>
        <w:footnoteReference w:id="141"/>
      </w:r>
      <w:r w:rsidRPr="007E3C46">
        <w:rPr>
          <w:sz w:val="28"/>
          <w:szCs w:val="28"/>
          <w:lang w:val="ru-RU"/>
        </w:rPr>
        <w:t xml:space="preserve">. </w:t>
      </w:r>
      <w:r w:rsidRPr="00E74E6C">
        <w:rPr>
          <w:sz w:val="28"/>
          <w:szCs w:val="28"/>
          <w:lang w:val="ru-RU"/>
        </w:rPr>
        <w:t>Выбор метода расчёта справедливой стоимости (</w:t>
      </w:r>
      <w:r w:rsidRPr="00E74E6C">
        <w:rPr>
          <w:sz w:val="28"/>
          <w:szCs w:val="28"/>
          <w:lang w:val="en-US"/>
        </w:rPr>
        <w:t>Fair</w:t>
      </w:r>
      <w:r w:rsidRPr="00E74E6C">
        <w:rPr>
          <w:sz w:val="28"/>
          <w:szCs w:val="28"/>
          <w:lang w:val="ru-RU"/>
        </w:rPr>
        <w:t xml:space="preserve"> </w:t>
      </w:r>
      <w:r w:rsidRPr="00E74E6C">
        <w:rPr>
          <w:sz w:val="28"/>
          <w:szCs w:val="28"/>
          <w:lang w:val="en-US"/>
        </w:rPr>
        <w:t>Value</w:t>
      </w:r>
      <w:r w:rsidRPr="00E74E6C">
        <w:rPr>
          <w:sz w:val="28"/>
          <w:szCs w:val="28"/>
          <w:lang w:val="ru-RU"/>
        </w:rPr>
        <w:t>) зависит от стадии, однако ключевым принципом является калибровка (</w:t>
      </w:r>
      <w:r w:rsidRPr="00E74E6C">
        <w:rPr>
          <w:sz w:val="28"/>
          <w:szCs w:val="28"/>
          <w:lang w:val="en-US"/>
        </w:rPr>
        <w:t>calibration</w:t>
      </w:r>
      <w:r w:rsidRPr="00E74E6C">
        <w:rPr>
          <w:sz w:val="28"/>
          <w:szCs w:val="28"/>
          <w:lang w:val="ru-RU"/>
        </w:rPr>
        <w:t>) — использование цены последней рыночной транзакции для настройки входных данных других моделей оценки.</w:t>
      </w:r>
      <w:r>
        <w:rPr>
          <w:sz w:val="28"/>
          <w:szCs w:val="28"/>
          <w:lang w:val="ru-RU"/>
        </w:rPr>
        <w:t xml:space="preserve"> Выделяются следующие с</w:t>
      </w:r>
      <w:r w:rsidRPr="00E74E6C">
        <w:rPr>
          <w:sz w:val="28"/>
          <w:szCs w:val="28"/>
          <w:lang w:val="ru-RU"/>
        </w:rPr>
        <w:t xml:space="preserve">тадии развития и методы оценки </w:t>
      </w:r>
      <w:r w:rsidRPr="00E74E6C">
        <w:rPr>
          <w:sz w:val="28"/>
          <w:szCs w:val="28"/>
          <w:lang w:val="en-US"/>
        </w:rPr>
        <w:t>Fair</w:t>
      </w:r>
      <w:r w:rsidRPr="00E74E6C">
        <w:rPr>
          <w:sz w:val="28"/>
          <w:szCs w:val="28"/>
          <w:lang w:val="ru-RU"/>
        </w:rPr>
        <w:t xml:space="preserve"> </w:t>
      </w:r>
      <w:r w:rsidRPr="00E74E6C">
        <w:rPr>
          <w:sz w:val="28"/>
          <w:szCs w:val="28"/>
          <w:lang w:val="en-US"/>
        </w:rPr>
        <w:t>Value</w:t>
      </w:r>
      <w:r w:rsidR="00D072A1">
        <w:rPr>
          <w:sz w:val="28"/>
          <w:szCs w:val="28"/>
          <w:lang w:val="ru-RU"/>
        </w:rPr>
        <w:t xml:space="preserve">, отображенные </w:t>
      </w:r>
      <w:r w:rsidR="00786CC2">
        <w:rPr>
          <w:sz w:val="28"/>
          <w:szCs w:val="28"/>
          <w:lang w:val="ru-RU"/>
        </w:rPr>
        <w:t>в таблие</w:t>
      </w:r>
      <w:r w:rsidR="00D072A1">
        <w:rPr>
          <w:sz w:val="28"/>
          <w:szCs w:val="28"/>
          <w:lang w:val="ru-RU"/>
        </w:rPr>
        <w:t xml:space="preserve"> 1.</w:t>
      </w:r>
      <w:r w:rsidR="00786CC2">
        <w:rPr>
          <w:sz w:val="28"/>
          <w:szCs w:val="28"/>
          <w:lang w:val="ru-RU"/>
        </w:rPr>
        <w:t>3</w:t>
      </w:r>
      <w:r w:rsidR="00D072A1">
        <w:rPr>
          <w:sz w:val="28"/>
          <w:szCs w:val="28"/>
          <w:lang w:val="ru-RU"/>
        </w:rPr>
        <w:t xml:space="preserve">. </w:t>
      </w:r>
    </w:p>
    <w:p w14:paraId="737E3939" w14:textId="11603A77" w:rsidR="00287FF2" w:rsidRDefault="00287FF2" w:rsidP="007E3C46">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Таблица 1.3 – Шесть стадий развития компании по мет</w:t>
      </w:r>
    </w:p>
    <w:p w14:paraId="1DED640A" w14:textId="3B734AD7" w:rsidR="00786CC2" w:rsidRPr="00E74E6C" w:rsidRDefault="00786CC2" w:rsidP="00786CC2">
      <w:pPr>
        <w:pBdr>
          <w:top w:val="nil"/>
          <w:left w:val="nil"/>
          <w:bottom w:val="nil"/>
          <w:right w:val="nil"/>
          <w:between w:val="nil"/>
        </w:pBdr>
        <w:spacing w:before="2" w:line="360" w:lineRule="auto"/>
        <w:ind w:right="145"/>
        <w:jc w:val="both"/>
        <w:rPr>
          <w:sz w:val="28"/>
          <w:szCs w:val="28"/>
          <w:lang w:val="ru-RU"/>
        </w:rPr>
      </w:pPr>
      <w:r w:rsidRPr="00786CC2">
        <w:rPr>
          <w:noProof/>
          <w:sz w:val="28"/>
          <w:szCs w:val="28"/>
          <w:lang w:val="ru-RU" w:eastAsia="ru-RU"/>
        </w:rPr>
        <w:drawing>
          <wp:inline distT="0" distB="0" distL="0" distR="0" wp14:anchorId="510AF1D9" wp14:editId="44F232AA">
            <wp:extent cx="6483350" cy="3175635"/>
            <wp:effectExtent l="0" t="0" r="0" b="5715"/>
            <wp:docPr id="13072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72291" name=""/>
                    <pic:cNvPicPr/>
                  </pic:nvPicPr>
                  <pic:blipFill>
                    <a:blip r:embed="rId17"/>
                    <a:stretch>
                      <a:fillRect/>
                    </a:stretch>
                  </pic:blipFill>
                  <pic:spPr>
                    <a:xfrm>
                      <a:off x="0" y="0"/>
                      <a:ext cx="6483350" cy="3175635"/>
                    </a:xfrm>
                    <a:prstGeom prst="rect">
                      <a:avLst/>
                    </a:prstGeom>
                  </pic:spPr>
                </pic:pic>
              </a:graphicData>
            </a:graphic>
          </wp:inline>
        </w:drawing>
      </w:r>
    </w:p>
    <w:p w14:paraId="228D199D" w14:textId="27BD5867" w:rsidR="007E3C46" w:rsidRPr="004C5A59" w:rsidRDefault="007E3C46" w:rsidP="007E3C46">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lastRenderedPageBreak/>
        <w:t xml:space="preserve">Очевидно, что от </w:t>
      </w:r>
      <w:r w:rsidRPr="004C5A59">
        <w:rPr>
          <w:sz w:val="28"/>
          <w:szCs w:val="28"/>
          <w:lang w:val="ru-RU"/>
        </w:rPr>
        <w:t>стадии зависит выбор корректного метода определения справедливой стоимости (</w:t>
      </w:r>
      <w:r w:rsidRPr="004C5A59">
        <w:rPr>
          <w:sz w:val="28"/>
          <w:szCs w:val="28"/>
          <w:lang w:val="en-US"/>
        </w:rPr>
        <w:t>Fair</w:t>
      </w:r>
      <w:r w:rsidRPr="004C5A59">
        <w:rPr>
          <w:sz w:val="28"/>
          <w:szCs w:val="28"/>
          <w:lang w:val="ru-RU"/>
        </w:rPr>
        <w:t xml:space="preserve"> </w:t>
      </w:r>
      <w:r w:rsidRPr="004C5A59">
        <w:rPr>
          <w:sz w:val="28"/>
          <w:szCs w:val="28"/>
          <w:lang w:val="en-US"/>
        </w:rPr>
        <w:t>Value</w:t>
      </w:r>
      <w:r w:rsidRPr="004C5A59">
        <w:rPr>
          <w:sz w:val="28"/>
          <w:szCs w:val="28"/>
          <w:lang w:val="ru-RU"/>
        </w:rPr>
        <w:t>) для целей финансовой отчётности, — ещё один случай, где стадия используется как переключатель метода оценки, а не как объект самостоятельной диагностики.</w:t>
      </w:r>
      <w:r>
        <w:rPr>
          <w:sz w:val="28"/>
          <w:szCs w:val="28"/>
          <w:lang w:val="ru-RU"/>
        </w:rPr>
        <w:t xml:space="preserve"> Кроме того,</w:t>
      </w:r>
      <w:r w:rsidRPr="007E3C46">
        <w:rPr>
          <w:sz w:val="28"/>
          <w:szCs w:val="28"/>
        </w:rPr>
        <w:t xml:space="preserve"> этот авторитетный профессиональный стандарт, структурно наиболее близкий к каскадной логике настоящего исследования, остаётся принципиально иным по трём основаниям</w:t>
      </w:r>
      <w:r>
        <w:rPr>
          <w:sz w:val="28"/>
          <w:szCs w:val="28"/>
          <w:lang w:val="ru-RU"/>
        </w:rPr>
        <w:t>.</w:t>
      </w:r>
      <w:r w:rsidRPr="007E3C46">
        <w:rPr>
          <w:sz w:val="28"/>
          <w:szCs w:val="28"/>
        </w:rPr>
        <w:t xml:space="preserve"> </w:t>
      </w:r>
      <w:r>
        <w:rPr>
          <w:sz w:val="28"/>
          <w:szCs w:val="28"/>
          <w:lang w:val="ru-RU"/>
        </w:rPr>
        <w:t xml:space="preserve">Во-первых, </w:t>
      </w:r>
      <w:r w:rsidRPr="007E3C46">
        <w:rPr>
          <w:sz w:val="28"/>
          <w:szCs w:val="28"/>
        </w:rPr>
        <w:t>стадия определяется через качественный, экспертный нарратив (готовность продукта, наличие первых заказов, достижение безубыточности), а не через формализованную процедуру с проверяемыми весами</w:t>
      </w:r>
      <w:r>
        <w:rPr>
          <w:sz w:val="28"/>
          <w:szCs w:val="28"/>
          <w:lang w:val="ru-RU"/>
        </w:rPr>
        <w:t>. Во-вторых,</w:t>
      </w:r>
      <w:r w:rsidRPr="007E3C46">
        <w:rPr>
          <w:sz w:val="28"/>
          <w:szCs w:val="28"/>
        </w:rPr>
        <w:t xml:space="preserve"> </w:t>
      </w:r>
      <w:r>
        <w:rPr>
          <w:sz w:val="28"/>
          <w:szCs w:val="28"/>
          <w:lang w:val="ru-RU"/>
        </w:rPr>
        <w:t xml:space="preserve">происходит </w:t>
      </w:r>
      <w:r w:rsidRPr="007E3C46">
        <w:rPr>
          <w:sz w:val="28"/>
          <w:szCs w:val="28"/>
        </w:rPr>
        <w:t>переключ</w:t>
      </w:r>
      <w:r>
        <w:rPr>
          <w:sz w:val="28"/>
          <w:szCs w:val="28"/>
          <w:lang w:val="ru-RU"/>
        </w:rPr>
        <w:t>ение</w:t>
      </w:r>
      <w:r w:rsidRPr="007E3C46">
        <w:rPr>
          <w:sz w:val="28"/>
          <w:szCs w:val="28"/>
        </w:rPr>
        <w:t xml:space="preserve"> между подходами к оценке, а не измеряет специфический дисконт внутри одного и того же доходного подхода</w:t>
      </w:r>
      <w:r>
        <w:rPr>
          <w:sz w:val="28"/>
          <w:szCs w:val="28"/>
          <w:lang w:val="ru-RU"/>
        </w:rPr>
        <w:t>.</w:t>
      </w:r>
      <w:r w:rsidRPr="007E3C46">
        <w:rPr>
          <w:sz w:val="28"/>
          <w:szCs w:val="28"/>
        </w:rPr>
        <w:t xml:space="preserve"> </w:t>
      </w:r>
      <w:r>
        <w:rPr>
          <w:sz w:val="28"/>
          <w:szCs w:val="28"/>
          <w:lang w:val="ru-RU"/>
        </w:rPr>
        <w:t>В-третьих,</w:t>
      </w:r>
      <w:r w:rsidRPr="007E3C46">
        <w:rPr>
          <w:sz w:val="28"/>
          <w:szCs w:val="28"/>
        </w:rPr>
        <w:t xml:space="preserve"> </w:t>
      </w:r>
      <w:r>
        <w:rPr>
          <w:sz w:val="28"/>
          <w:szCs w:val="28"/>
          <w:lang w:val="ru-RU"/>
        </w:rPr>
        <w:t xml:space="preserve">он </w:t>
      </w:r>
      <w:r w:rsidRPr="007E3C46">
        <w:rPr>
          <w:sz w:val="28"/>
          <w:szCs w:val="28"/>
        </w:rPr>
        <w:t>представляет собой снимок на момент оценки, а не сопоставление динамики между контрольными точками</w:t>
      </w:r>
      <w:r>
        <w:rPr>
          <w:sz w:val="28"/>
          <w:szCs w:val="28"/>
          <w:lang w:val="ru-RU"/>
        </w:rPr>
        <w:t xml:space="preserve"> внутри этапов</w:t>
      </w:r>
      <w:r w:rsidRPr="007E3C46">
        <w:rPr>
          <w:sz w:val="28"/>
          <w:szCs w:val="28"/>
        </w:rPr>
        <w:t>. AICPA, таким образом, решает вопрос какой метод оценки уместен сейчас, тогда как настоящее исследование ставит другой вопрос — насколько компания готова к следующему этапу привлечения капитала</w:t>
      </w:r>
      <w:r w:rsidR="00AE7320" w:rsidRPr="00AE7320">
        <w:rPr>
          <w:sz w:val="28"/>
          <w:szCs w:val="28"/>
          <w:lang w:val="ru-RU"/>
        </w:rPr>
        <w:t>.</w:t>
      </w:r>
      <w:r w:rsidRPr="007E3C46">
        <w:rPr>
          <w:sz w:val="28"/>
          <w:szCs w:val="28"/>
        </w:rPr>
        <w:t xml:space="preserve"> </w:t>
      </w:r>
      <w:r w:rsidR="00AE7320">
        <w:rPr>
          <w:sz w:val="28"/>
          <w:szCs w:val="28"/>
          <w:lang w:val="ru-RU"/>
        </w:rPr>
        <w:t>И</w:t>
      </w:r>
      <w:r w:rsidRPr="007E3C46">
        <w:rPr>
          <w:sz w:val="28"/>
          <w:szCs w:val="28"/>
        </w:rPr>
        <w:t>менно это отличие в предмете, а не в наборе стадий, задаёт границу новизны.</w:t>
      </w:r>
    </w:p>
    <w:p w14:paraId="21EBE5CB" w14:textId="0A394365" w:rsidR="007D76F4" w:rsidRPr="007D76F4" w:rsidRDefault="007E3C46" w:rsidP="007D76F4">
      <w:pPr>
        <w:pBdr>
          <w:top w:val="nil"/>
          <w:left w:val="nil"/>
          <w:bottom w:val="nil"/>
          <w:right w:val="nil"/>
          <w:between w:val="nil"/>
        </w:pBdr>
        <w:spacing w:before="2" w:line="360" w:lineRule="auto"/>
        <w:ind w:left="140" w:right="145" w:firstLine="708"/>
        <w:jc w:val="both"/>
        <w:rPr>
          <w:sz w:val="28"/>
          <w:szCs w:val="28"/>
          <w:lang w:val="ru-RU"/>
        </w:rPr>
      </w:pPr>
      <w:r w:rsidRPr="007E3C46">
        <w:rPr>
          <w:sz w:val="28"/>
          <w:szCs w:val="28"/>
        </w:rPr>
        <w:t xml:space="preserve">Та же логика — стадия как заданная, а не диагностируемая переменная — прослеживается и в отечественных финансовых исследованиях. </w:t>
      </w:r>
      <w:r w:rsidR="007D76F4" w:rsidRPr="007D76F4">
        <w:rPr>
          <w:sz w:val="28"/>
          <w:szCs w:val="28"/>
          <w:lang w:val="ru-RU"/>
        </w:rPr>
        <w:t>С.В. Захаров исследует выбор финансового инструмента (долг/акции/гибриды), максимизирующего стоимость для изначальных собственников, на трёх стадиях, определяемых единственным количественным критерием — волатильностью рентабельности операционных денежных потоков</w:t>
      </w:r>
      <w:r w:rsidR="007D76F4">
        <w:rPr>
          <w:rStyle w:val="a7"/>
          <w:sz w:val="28"/>
          <w:szCs w:val="28"/>
          <w:lang w:val="ru-RU"/>
        </w:rPr>
        <w:footnoteReference w:id="142"/>
      </w:r>
      <w:r w:rsidR="007D76F4" w:rsidRPr="007D76F4">
        <w:rPr>
          <w:sz w:val="28"/>
          <w:szCs w:val="28"/>
          <w:lang w:val="ru-RU"/>
        </w:rPr>
        <w:t xml:space="preserve">. </w:t>
      </w:r>
      <w:r w:rsidR="007D76F4">
        <w:rPr>
          <w:sz w:val="28"/>
          <w:szCs w:val="28"/>
          <w:lang w:val="ru-RU"/>
        </w:rPr>
        <w:t>Выделяются следующие стадии</w:t>
      </w:r>
      <w:r w:rsidR="007D76F4" w:rsidRPr="007D76F4">
        <w:rPr>
          <w:sz w:val="28"/>
          <w:szCs w:val="28"/>
          <w:lang w:val="ru-RU"/>
        </w:rPr>
        <w:t xml:space="preserve">: </w:t>
      </w:r>
    </w:p>
    <w:p w14:paraId="46A285FC" w14:textId="77777777" w:rsidR="007D76F4" w:rsidRDefault="007D76F4" w:rsidP="007D76F4">
      <w:pPr>
        <w:pBdr>
          <w:top w:val="nil"/>
          <w:left w:val="nil"/>
          <w:bottom w:val="nil"/>
          <w:right w:val="nil"/>
          <w:between w:val="nil"/>
        </w:pBdr>
        <w:spacing w:before="2" w:line="360" w:lineRule="auto"/>
        <w:ind w:left="140" w:right="145" w:firstLine="708"/>
        <w:jc w:val="both"/>
        <w:rPr>
          <w:sz w:val="28"/>
          <w:szCs w:val="28"/>
          <w:lang w:val="ru-RU"/>
        </w:rPr>
      </w:pPr>
      <w:r w:rsidRPr="007D76F4">
        <w:rPr>
          <w:sz w:val="28"/>
          <w:szCs w:val="28"/>
          <w:lang w:val="ru-RU"/>
        </w:rPr>
        <w:t>- начальн</w:t>
      </w:r>
      <w:r>
        <w:rPr>
          <w:sz w:val="28"/>
          <w:szCs w:val="28"/>
          <w:lang w:val="ru-RU"/>
        </w:rPr>
        <w:t>ая</w:t>
      </w:r>
      <w:r w:rsidRPr="007D76F4">
        <w:rPr>
          <w:sz w:val="28"/>
          <w:szCs w:val="28"/>
          <w:lang w:val="ru-RU"/>
        </w:rPr>
        <w:t xml:space="preserve"> стади</w:t>
      </w:r>
      <w:r>
        <w:rPr>
          <w:sz w:val="28"/>
          <w:szCs w:val="28"/>
          <w:lang w:val="ru-RU"/>
        </w:rPr>
        <w:t>я</w:t>
      </w:r>
      <w:r w:rsidRPr="007D76F4">
        <w:rPr>
          <w:sz w:val="28"/>
          <w:szCs w:val="28"/>
          <w:lang w:val="ru-RU"/>
        </w:rPr>
        <w:t xml:space="preserve"> (стратегия определяется рекурсивно из следующей, сохранение контроля критично), </w:t>
      </w:r>
    </w:p>
    <w:p w14:paraId="6E667A54" w14:textId="1ADE1C6D" w:rsidR="007D76F4" w:rsidRDefault="007D76F4" w:rsidP="007D76F4">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 </w:t>
      </w:r>
      <w:r w:rsidRPr="007D76F4">
        <w:rPr>
          <w:sz w:val="28"/>
          <w:szCs w:val="28"/>
          <w:lang w:val="ru-RU"/>
        </w:rPr>
        <w:t>стади</w:t>
      </w:r>
      <w:r>
        <w:rPr>
          <w:sz w:val="28"/>
          <w:szCs w:val="28"/>
          <w:lang w:val="ru-RU"/>
        </w:rPr>
        <w:t>я</w:t>
      </w:r>
      <w:r w:rsidRPr="007D76F4">
        <w:rPr>
          <w:sz w:val="28"/>
          <w:szCs w:val="28"/>
          <w:lang w:val="ru-RU"/>
        </w:rPr>
        <w:t xml:space="preserve"> быстрого неустойчивого роста (ключевую роль играют конвертируемые облигации и внешние финансовые инвесторы)</w:t>
      </w:r>
      <w:r>
        <w:rPr>
          <w:sz w:val="28"/>
          <w:szCs w:val="28"/>
          <w:lang w:val="ru-RU"/>
        </w:rPr>
        <w:t>,</w:t>
      </w:r>
    </w:p>
    <w:p w14:paraId="3D34BD87" w14:textId="77777777" w:rsidR="007D76F4" w:rsidRDefault="007D76F4" w:rsidP="007D76F4">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lastRenderedPageBreak/>
        <w:t xml:space="preserve">- </w:t>
      </w:r>
      <w:r w:rsidRPr="007D76F4">
        <w:rPr>
          <w:sz w:val="28"/>
          <w:szCs w:val="28"/>
          <w:lang w:val="ru-RU"/>
        </w:rPr>
        <w:t>стабильн</w:t>
      </w:r>
      <w:r>
        <w:rPr>
          <w:sz w:val="28"/>
          <w:szCs w:val="28"/>
          <w:lang w:val="ru-RU"/>
        </w:rPr>
        <w:t xml:space="preserve">ая </w:t>
      </w:r>
      <w:r w:rsidRPr="007D76F4">
        <w:rPr>
          <w:sz w:val="28"/>
          <w:szCs w:val="28"/>
          <w:lang w:val="ru-RU"/>
        </w:rPr>
        <w:t>стади</w:t>
      </w:r>
      <w:r>
        <w:rPr>
          <w:sz w:val="28"/>
          <w:szCs w:val="28"/>
          <w:lang w:val="ru-RU"/>
        </w:rPr>
        <w:t>я</w:t>
      </w:r>
      <w:r w:rsidRPr="007D76F4">
        <w:rPr>
          <w:sz w:val="28"/>
          <w:szCs w:val="28"/>
          <w:lang w:val="ru-RU"/>
        </w:rPr>
        <w:t xml:space="preserve"> (критичность сохранения контроля ослабевает, открывая продажу крупных долей внешним инвесторам). </w:t>
      </w:r>
    </w:p>
    <w:p w14:paraId="67C530F5" w14:textId="60C49ACD" w:rsidR="007D76F4" w:rsidRPr="007D76F4" w:rsidRDefault="00A51E0A" w:rsidP="007D76F4">
      <w:pPr>
        <w:pBdr>
          <w:top w:val="nil"/>
          <w:left w:val="nil"/>
          <w:bottom w:val="nil"/>
          <w:right w:val="nil"/>
          <w:between w:val="nil"/>
        </w:pBdr>
        <w:spacing w:before="2" w:line="360" w:lineRule="auto"/>
        <w:ind w:left="140" w:right="145" w:firstLine="708"/>
        <w:jc w:val="both"/>
        <w:rPr>
          <w:sz w:val="28"/>
          <w:szCs w:val="28"/>
          <w:lang w:val="ru-RU"/>
        </w:rPr>
      </w:pPr>
      <w:r w:rsidRPr="00A51E0A">
        <w:rPr>
          <w:sz w:val="28"/>
          <w:szCs w:val="28"/>
        </w:rPr>
        <w:t>Апробация предложенной Захаровым методики выбора увеличивающей стоимость стратегии финансирования проведена на двух российских компаниях</w:t>
      </w:r>
      <w:r w:rsidRPr="00A51E0A">
        <w:rPr>
          <w:sz w:val="28"/>
          <w:szCs w:val="28"/>
          <w:lang w:val="ru-RU"/>
        </w:rPr>
        <w:t xml:space="preserve">. </w:t>
      </w:r>
      <w:r>
        <w:rPr>
          <w:sz w:val="28"/>
          <w:szCs w:val="28"/>
          <w:lang w:val="ru-RU"/>
        </w:rPr>
        <w:t>У</w:t>
      </w:r>
      <w:r w:rsidRPr="00A51E0A">
        <w:rPr>
          <w:sz w:val="28"/>
          <w:szCs w:val="28"/>
        </w:rPr>
        <w:t xml:space="preserve"> Аптек 36,6 выбранная менеджментом стратегия финансирования не входила в множество стратегий, рекомендованных моделью, — и именно этот разрыв, по данным автора, коррелировал с последующим ухудшением финансового положения компании</w:t>
      </w:r>
      <w:r>
        <w:rPr>
          <w:sz w:val="28"/>
          <w:szCs w:val="28"/>
          <w:lang w:val="ru-RU"/>
        </w:rPr>
        <w:t>.</w:t>
      </w:r>
      <w:r w:rsidRPr="00A51E0A">
        <w:rPr>
          <w:sz w:val="28"/>
          <w:szCs w:val="28"/>
        </w:rPr>
        <w:t xml:space="preserve"> </w:t>
      </w:r>
      <w:r>
        <w:rPr>
          <w:sz w:val="28"/>
          <w:szCs w:val="28"/>
          <w:lang w:val="ru-RU"/>
        </w:rPr>
        <w:t>У</w:t>
      </w:r>
      <w:r w:rsidRPr="00A51E0A">
        <w:rPr>
          <w:sz w:val="28"/>
          <w:szCs w:val="28"/>
        </w:rPr>
        <w:t xml:space="preserve"> Вимм-Билль-Данн выбранная стратегия, напротив, входила в целевое множество, и компания сохраняла финансовую стабильность.</w:t>
      </w:r>
      <w:r w:rsidRPr="00A51E0A">
        <w:rPr>
          <w:sz w:val="28"/>
          <w:szCs w:val="28"/>
          <w:lang w:val="ru-RU"/>
        </w:rPr>
        <w:t xml:space="preserve"> </w:t>
      </w:r>
      <w:r w:rsidR="00A7354F" w:rsidRPr="00A7354F">
        <w:rPr>
          <w:sz w:val="28"/>
          <w:szCs w:val="28"/>
        </w:rPr>
        <w:t>Та же логика</w:t>
      </w:r>
      <w:r w:rsidR="00A7354F" w:rsidRPr="00A7354F">
        <w:rPr>
          <w:sz w:val="28"/>
          <w:szCs w:val="28"/>
          <w:lang w:val="ru-RU"/>
        </w:rPr>
        <w:t xml:space="preserve">, </w:t>
      </w:r>
      <w:r w:rsidR="00A7354F">
        <w:rPr>
          <w:sz w:val="28"/>
          <w:szCs w:val="28"/>
          <w:lang w:val="ru-RU"/>
        </w:rPr>
        <w:t>которая заключается в принятии</w:t>
      </w:r>
      <w:r w:rsidR="00A7354F" w:rsidRPr="00A7354F">
        <w:rPr>
          <w:sz w:val="28"/>
          <w:szCs w:val="28"/>
        </w:rPr>
        <w:t xml:space="preserve"> стади</w:t>
      </w:r>
      <w:r w:rsidR="00A7354F">
        <w:rPr>
          <w:sz w:val="28"/>
          <w:szCs w:val="28"/>
          <w:lang w:val="ru-RU"/>
        </w:rPr>
        <w:t>и</w:t>
      </w:r>
      <w:r w:rsidR="00A7354F" w:rsidRPr="00A7354F">
        <w:rPr>
          <w:sz w:val="28"/>
          <w:szCs w:val="28"/>
        </w:rPr>
        <w:t xml:space="preserve"> жизненного цикла как заданн</w:t>
      </w:r>
      <w:r w:rsidR="00A7354F">
        <w:rPr>
          <w:sz w:val="28"/>
          <w:szCs w:val="28"/>
          <w:lang w:val="ru-RU"/>
        </w:rPr>
        <w:t>ой</w:t>
      </w:r>
      <w:r w:rsidR="00A7354F" w:rsidRPr="00A7354F">
        <w:rPr>
          <w:sz w:val="28"/>
          <w:szCs w:val="28"/>
        </w:rPr>
        <w:t>, а не диагностируем</w:t>
      </w:r>
      <w:r w:rsidR="00A7354F">
        <w:rPr>
          <w:sz w:val="28"/>
          <w:szCs w:val="28"/>
          <w:lang w:val="ru-RU"/>
        </w:rPr>
        <w:t>ой</w:t>
      </w:r>
      <w:r w:rsidR="00A7354F" w:rsidRPr="00A7354F">
        <w:rPr>
          <w:sz w:val="28"/>
          <w:szCs w:val="28"/>
        </w:rPr>
        <w:t xml:space="preserve"> переменн</w:t>
      </w:r>
      <w:r w:rsidR="00A7354F">
        <w:rPr>
          <w:sz w:val="28"/>
          <w:szCs w:val="28"/>
          <w:lang w:val="ru-RU"/>
        </w:rPr>
        <w:t>ой,</w:t>
      </w:r>
      <w:r w:rsidR="00A7354F" w:rsidRPr="00A7354F">
        <w:rPr>
          <w:sz w:val="28"/>
          <w:szCs w:val="28"/>
        </w:rPr>
        <w:t xml:space="preserve"> воспроизводится и за пределами российской литературы</w:t>
      </w:r>
      <w:r w:rsidR="00A7354F">
        <w:rPr>
          <w:sz w:val="28"/>
          <w:szCs w:val="28"/>
          <w:lang w:val="ru-RU"/>
        </w:rPr>
        <w:t>.</w:t>
      </w:r>
      <w:r w:rsidR="00A7354F" w:rsidRPr="00A7354F">
        <w:rPr>
          <w:sz w:val="28"/>
          <w:szCs w:val="28"/>
        </w:rPr>
        <w:t xml:space="preserve"> Булан и Ян тестируют теорию порядка финансирования (pecking order) непосредственно на материале жизненного цикла компании, также принимая саму стадию как исходную, не подвергаемую сомнению данность</w:t>
      </w:r>
      <w:r w:rsidR="00A7354F">
        <w:rPr>
          <w:rStyle w:val="a7"/>
          <w:sz w:val="28"/>
          <w:szCs w:val="28"/>
        </w:rPr>
        <w:footnoteReference w:id="143"/>
      </w:r>
      <w:r w:rsidR="007D76F4" w:rsidRPr="007D76F4">
        <w:rPr>
          <w:sz w:val="28"/>
          <w:szCs w:val="28"/>
          <w:lang w:val="ru-RU"/>
        </w:rPr>
        <w:t>.</w:t>
      </w:r>
    </w:p>
    <w:p w14:paraId="3129F3CE" w14:textId="77777777" w:rsidR="00F921D3" w:rsidRPr="00336917" w:rsidRDefault="007D76F4" w:rsidP="007D76F4">
      <w:pPr>
        <w:pBdr>
          <w:top w:val="nil"/>
          <w:left w:val="nil"/>
          <w:bottom w:val="nil"/>
          <w:right w:val="nil"/>
          <w:between w:val="nil"/>
        </w:pBdr>
        <w:spacing w:before="2" w:line="360" w:lineRule="auto"/>
        <w:ind w:left="140" w:right="145" w:firstLine="708"/>
        <w:jc w:val="both"/>
        <w:rPr>
          <w:sz w:val="28"/>
          <w:szCs w:val="28"/>
          <w:lang w:val="ru-RU"/>
        </w:rPr>
      </w:pPr>
      <w:r w:rsidRPr="007D76F4">
        <w:rPr>
          <w:sz w:val="28"/>
          <w:szCs w:val="28"/>
          <w:lang w:val="ru-RU"/>
        </w:rPr>
        <w:t>Е.В. Красильникова моделирует вероятность перехода компании между четырьмя стадиями — медленный рост, бурный рост, зрелость, спад — через логит-модели на основе левериджа, маржи операционной прибыли, кредитного рейтинга, ESG-факторов и агентских отношений; апробация — на выборке крупных российских компаний (Уралкалий, Русал, Лента, Мегафон)</w:t>
      </w:r>
      <w:r w:rsidR="00213287">
        <w:rPr>
          <w:rStyle w:val="a7"/>
          <w:sz w:val="28"/>
          <w:szCs w:val="28"/>
          <w:lang w:val="ru-RU"/>
        </w:rPr>
        <w:footnoteReference w:id="144"/>
      </w:r>
      <w:r w:rsidRPr="007D76F4">
        <w:rPr>
          <w:sz w:val="28"/>
          <w:szCs w:val="28"/>
          <w:lang w:val="ru-RU"/>
        </w:rPr>
        <w:t>. Показательно, что сама Красильникова прямо констатирует ограничение предшествующей литературы, совпадающее с направлением критики настоящего исследования: в концепции жизненного цикла организации И. Адизеса и Л. Грейнера вектор исследований направлен в основном на изучение организационных, но не финансово-экономических характеристик компании. При этом ни Захаров, ни Красильникова не предлагают собственной альтернативной классификации стадий — оба работают с методом определения момента или вероятности перехода между уже принятыми стадиями, а не со способом диагностики готовности к капиталу как таковой.</w:t>
      </w:r>
    </w:p>
    <w:p w14:paraId="049386F8" w14:textId="77777777" w:rsidR="00F921D3" w:rsidRPr="00F921D3" w:rsidRDefault="00F921D3" w:rsidP="00F921D3">
      <w:pPr>
        <w:pBdr>
          <w:top w:val="nil"/>
          <w:left w:val="nil"/>
          <w:bottom w:val="nil"/>
          <w:right w:val="nil"/>
          <w:between w:val="nil"/>
        </w:pBdr>
        <w:spacing w:before="2" w:line="360" w:lineRule="auto"/>
        <w:ind w:left="140" w:right="145" w:firstLine="708"/>
        <w:jc w:val="both"/>
        <w:rPr>
          <w:sz w:val="28"/>
          <w:szCs w:val="28"/>
          <w:u w:val="single"/>
          <w:lang w:val="ru-RU"/>
        </w:rPr>
      </w:pPr>
      <w:r w:rsidRPr="00F921D3">
        <w:rPr>
          <w:sz w:val="28"/>
          <w:szCs w:val="28"/>
          <w:u w:val="single"/>
          <w:lang w:val="ru-RU"/>
        </w:rPr>
        <w:lastRenderedPageBreak/>
        <w:t>Пробел в существующих классификациях: почему стадия не равна готовности</w:t>
      </w:r>
    </w:p>
    <w:p w14:paraId="05878CDF" w14:textId="77777777" w:rsidR="00F921D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Все рассмотренные выше системы координат разли</w:t>
      </w:r>
      <w:r>
        <w:rPr>
          <w:sz w:val="28"/>
          <w:szCs w:val="28"/>
          <w:lang w:val="ru-RU"/>
        </w:rPr>
        <w:t>чаются</w:t>
      </w:r>
      <w:r w:rsidRPr="00F921D3">
        <w:rPr>
          <w:sz w:val="28"/>
          <w:szCs w:val="28"/>
          <w:lang w:val="ru-RU"/>
        </w:rPr>
        <w:t xml:space="preserve"> основани</w:t>
      </w:r>
      <w:r>
        <w:rPr>
          <w:sz w:val="28"/>
          <w:szCs w:val="28"/>
          <w:lang w:val="ru-RU"/>
        </w:rPr>
        <w:t>ями</w:t>
      </w:r>
      <w:r w:rsidRPr="00F921D3">
        <w:rPr>
          <w:sz w:val="28"/>
          <w:szCs w:val="28"/>
          <w:lang w:val="ru-RU"/>
        </w:rPr>
        <w:t>, числ</w:t>
      </w:r>
      <w:r>
        <w:rPr>
          <w:sz w:val="28"/>
          <w:szCs w:val="28"/>
          <w:lang w:val="ru-RU"/>
        </w:rPr>
        <w:t>ом</w:t>
      </w:r>
      <w:r w:rsidRPr="00F921D3">
        <w:rPr>
          <w:sz w:val="28"/>
          <w:szCs w:val="28"/>
          <w:lang w:val="ru-RU"/>
        </w:rPr>
        <w:t xml:space="preserve"> стадий и предметных областей</w:t>
      </w:r>
      <w:r>
        <w:rPr>
          <w:sz w:val="28"/>
          <w:szCs w:val="28"/>
          <w:lang w:val="ru-RU"/>
        </w:rPr>
        <w:t>, но имеют</w:t>
      </w:r>
      <w:r w:rsidRPr="00F921D3">
        <w:rPr>
          <w:sz w:val="28"/>
          <w:szCs w:val="28"/>
          <w:lang w:val="ru-RU"/>
        </w:rPr>
        <w:t xml:space="preserve"> </w:t>
      </w:r>
      <w:r>
        <w:rPr>
          <w:sz w:val="28"/>
          <w:szCs w:val="28"/>
          <w:lang w:val="ru-RU"/>
        </w:rPr>
        <w:t>о</w:t>
      </w:r>
      <w:r w:rsidRPr="00F921D3">
        <w:rPr>
          <w:sz w:val="28"/>
          <w:szCs w:val="28"/>
          <w:lang w:val="ru-RU"/>
        </w:rPr>
        <w:t>дн</w:t>
      </w:r>
      <w:r>
        <w:rPr>
          <w:sz w:val="28"/>
          <w:szCs w:val="28"/>
          <w:lang w:val="ru-RU"/>
        </w:rPr>
        <w:t>у</w:t>
      </w:r>
      <w:r w:rsidRPr="00F921D3">
        <w:rPr>
          <w:sz w:val="28"/>
          <w:szCs w:val="28"/>
          <w:lang w:val="ru-RU"/>
        </w:rPr>
        <w:t xml:space="preserve"> общ</w:t>
      </w:r>
      <w:r>
        <w:rPr>
          <w:sz w:val="28"/>
          <w:szCs w:val="28"/>
          <w:lang w:val="ru-RU"/>
        </w:rPr>
        <w:t>у</w:t>
      </w:r>
      <w:r w:rsidRPr="00F921D3">
        <w:rPr>
          <w:sz w:val="28"/>
          <w:szCs w:val="28"/>
          <w:lang w:val="ru-RU"/>
        </w:rPr>
        <w:t>я слабость. Универсальные модели жизненного цикла (Грейнер, Адизес, Черчилль-Льюис, Миллер-Фризен, Энтони-Рамеш, Дикинсон) классифицируют компанию по управленческому кризису, продуктовой готовности, знаку денежного потока или бухгалтерским показателям</w:t>
      </w:r>
      <w:r>
        <w:rPr>
          <w:sz w:val="28"/>
          <w:szCs w:val="28"/>
          <w:lang w:val="ru-RU"/>
        </w:rPr>
        <w:t>,</w:t>
      </w:r>
      <w:r w:rsidRPr="00F921D3">
        <w:rPr>
          <w:sz w:val="28"/>
          <w:szCs w:val="28"/>
          <w:lang w:val="ru-RU"/>
        </w:rPr>
        <w:t xml:space="preserve"> но ни одна из них не задаёт вопрос, способна ли компания на этой стадии быть достоверно продиагностирована внешним инвестором</w:t>
      </w:r>
      <w:r>
        <w:rPr>
          <w:sz w:val="28"/>
          <w:szCs w:val="28"/>
          <w:lang w:val="ru-RU"/>
        </w:rPr>
        <w:t xml:space="preserve"> на предмет готовности к привлечению капитала</w:t>
      </w:r>
      <w:r w:rsidRPr="00F921D3">
        <w:rPr>
          <w:sz w:val="28"/>
          <w:szCs w:val="28"/>
          <w:lang w:val="ru-RU"/>
        </w:rPr>
        <w:t xml:space="preserve">: у них стадия описывает бизнес, а не готовность его данных. </w:t>
      </w:r>
    </w:p>
    <w:p w14:paraId="69975191" w14:textId="77777777" w:rsidR="00BC305A" w:rsidRPr="007B7B7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Отраслевые типологии раундов финансирования (</w:t>
      </w:r>
      <w:r w:rsidRPr="00F921D3">
        <w:rPr>
          <w:sz w:val="28"/>
          <w:szCs w:val="28"/>
          <w:lang w:val="en-US"/>
        </w:rPr>
        <w:t>NVCA</w:t>
      </w:r>
      <w:r w:rsidRPr="00F921D3">
        <w:rPr>
          <w:sz w:val="28"/>
          <w:szCs w:val="28"/>
          <w:lang w:val="ru-RU"/>
        </w:rPr>
        <w:t xml:space="preserve">, </w:t>
      </w:r>
      <w:r w:rsidRPr="00F921D3">
        <w:rPr>
          <w:sz w:val="28"/>
          <w:szCs w:val="28"/>
          <w:lang w:val="en-US"/>
        </w:rPr>
        <w:t>Invest</w:t>
      </w:r>
      <w:r w:rsidRPr="00F921D3">
        <w:rPr>
          <w:sz w:val="28"/>
          <w:szCs w:val="28"/>
          <w:lang w:val="ru-RU"/>
        </w:rPr>
        <w:t xml:space="preserve"> </w:t>
      </w:r>
      <w:r w:rsidRPr="00F921D3">
        <w:rPr>
          <w:sz w:val="28"/>
          <w:szCs w:val="28"/>
          <w:lang w:val="en-US"/>
        </w:rPr>
        <w:t>Europe</w:t>
      </w:r>
      <w:r w:rsidRPr="00F921D3">
        <w:rPr>
          <w:sz w:val="28"/>
          <w:szCs w:val="28"/>
          <w:lang w:val="ru-RU"/>
        </w:rPr>
        <w:t xml:space="preserve">, РАВИ, Пламмер) решают ещё более узкую задачу: они называют раунд или привязывают его к ожидаемой инвестором доходности, но не спрашивают, есть ли у компании вообще </w:t>
      </w:r>
      <w:r>
        <w:rPr>
          <w:sz w:val="28"/>
          <w:szCs w:val="28"/>
          <w:lang w:val="ru-RU"/>
        </w:rPr>
        <w:t xml:space="preserve">достоверная </w:t>
      </w:r>
      <w:r w:rsidRPr="00F921D3">
        <w:rPr>
          <w:sz w:val="28"/>
          <w:szCs w:val="28"/>
          <w:lang w:val="ru-RU"/>
        </w:rPr>
        <w:t xml:space="preserve">история, по которой эту доходность можно было бы обоснованно рассчитать, а не назначить экспертно. </w:t>
      </w:r>
    </w:p>
    <w:p w14:paraId="5F712A78" w14:textId="1D30ED2F" w:rsidR="00F921D3" w:rsidRPr="00F921D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А там, где стадия явно связывается с чем-то практически значимым </w:t>
      </w:r>
      <w:r>
        <w:rPr>
          <w:sz w:val="28"/>
          <w:szCs w:val="28"/>
          <w:lang w:val="ru-RU"/>
        </w:rPr>
        <w:t>(</w:t>
      </w:r>
      <w:r w:rsidR="00BC305A">
        <w:rPr>
          <w:sz w:val="28"/>
          <w:szCs w:val="28"/>
          <w:lang w:val="ru-RU"/>
        </w:rPr>
        <w:t xml:space="preserve">Бергер и удел – с </w:t>
      </w:r>
      <w:r w:rsidR="00213777">
        <w:rPr>
          <w:sz w:val="28"/>
          <w:szCs w:val="28"/>
          <w:lang w:val="ru-RU"/>
        </w:rPr>
        <w:t>доступностью типа</w:t>
      </w:r>
      <w:r w:rsidR="00BC305A">
        <w:rPr>
          <w:sz w:val="28"/>
          <w:szCs w:val="28"/>
          <w:lang w:val="ru-RU"/>
        </w:rPr>
        <w:t xml:space="preserve"> привлекаемого капитала, </w:t>
      </w:r>
      <w:r w:rsidRPr="00F921D3">
        <w:rPr>
          <w:sz w:val="28"/>
          <w:szCs w:val="28"/>
          <w:lang w:val="en-US"/>
        </w:rPr>
        <w:t>AICPA</w:t>
      </w:r>
      <w:r w:rsidRPr="00F921D3">
        <w:rPr>
          <w:sz w:val="28"/>
          <w:szCs w:val="28"/>
          <w:lang w:val="ru-RU"/>
        </w:rPr>
        <w:t xml:space="preserve"> </w:t>
      </w:r>
      <w:r w:rsidR="00296390" w:rsidRPr="00F921D3">
        <w:rPr>
          <w:sz w:val="28"/>
          <w:szCs w:val="28"/>
          <w:lang w:val="ru-RU"/>
        </w:rPr>
        <w:t>—</w:t>
      </w:r>
      <w:r w:rsidR="00213777">
        <w:rPr>
          <w:sz w:val="28"/>
          <w:szCs w:val="28"/>
          <w:lang w:val="ru-RU"/>
        </w:rPr>
        <w:t xml:space="preserve"> с</w:t>
      </w:r>
      <w:r w:rsidRPr="00F921D3">
        <w:rPr>
          <w:sz w:val="28"/>
          <w:szCs w:val="28"/>
          <w:lang w:val="ru-RU"/>
        </w:rPr>
        <w:t xml:space="preserve"> выбор</w:t>
      </w:r>
      <w:r w:rsidR="00213777">
        <w:rPr>
          <w:sz w:val="28"/>
          <w:szCs w:val="28"/>
          <w:lang w:val="ru-RU"/>
        </w:rPr>
        <w:t>ом</w:t>
      </w:r>
      <w:r w:rsidRPr="00F921D3">
        <w:rPr>
          <w:sz w:val="28"/>
          <w:szCs w:val="28"/>
          <w:lang w:val="ru-RU"/>
        </w:rPr>
        <w:t xml:space="preserve"> метода оценки, Захаров — </w:t>
      </w:r>
      <w:r w:rsidR="00213777">
        <w:rPr>
          <w:sz w:val="28"/>
          <w:szCs w:val="28"/>
          <w:lang w:val="ru-RU"/>
        </w:rPr>
        <w:t>с оптимальным выбором</w:t>
      </w:r>
      <w:r w:rsidRPr="00F921D3">
        <w:rPr>
          <w:sz w:val="28"/>
          <w:szCs w:val="28"/>
          <w:lang w:val="ru-RU"/>
        </w:rPr>
        <w:t xml:space="preserve"> финансового инструмента, Красильникова — </w:t>
      </w:r>
      <w:r w:rsidR="00213777">
        <w:rPr>
          <w:sz w:val="28"/>
          <w:szCs w:val="28"/>
          <w:lang w:val="ru-RU"/>
        </w:rPr>
        <w:t>с</w:t>
      </w:r>
      <w:r w:rsidRPr="00F921D3">
        <w:rPr>
          <w:sz w:val="28"/>
          <w:szCs w:val="28"/>
          <w:lang w:val="ru-RU"/>
        </w:rPr>
        <w:t xml:space="preserve"> вероятност</w:t>
      </w:r>
      <w:r w:rsidR="00213777">
        <w:rPr>
          <w:sz w:val="28"/>
          <w:szCs w:val="28"/>
          <w:lang w:val="ru-RU"/>
        </w:rPr>
        <w:t>ью</w:t>
      </w:r>
      <w:r w:rsidRPr="00F921D3">
        <w:rPr>
          <w:sz w:val="28"/>
          <w:szCs w:val="28"/>
          <w:lang w:val="ru-RU"/>
        </w:rPr>
        <w:t xml:space="preserve"> перехода на следующую стадию</w:t>
      </w:r>
      <w:r>
        <w:rPr>
          <w:sz w:val="28"/>
          <w:szCs w:val="28"/>
          <w:lang w:val="ru-RU"/>
        </w:rPr>
        <w:t>)</w:t>
      </w:r>
      <w:r w:rsidR="00182D46">
        <w:rPr>
          <w:sz w:val="28"/>
          <w:szCs w:val="28"/>
          <w:lang w:val="ru-RU"/>
        </w:rPr>
        <w:t>, она (т.е. стадия)</w:t>
      </w:r>
      <w:r w:rsidRPr="00F921D3">
        <w:rPr>
          <w:sz w:val="28"/>
          <w:szCs w:val="28"/>
          <w:lang w:val="ru-RU"/>
        </w:rPr>
        <w:t xml:space="preserve"> используется как входной параметр, определяемый заранее и извне, а не как то, что само подлежит диагностике.</w:t>
      </w:r>
    </w:p>
    <w:p w14:paraId="13771663" w14:textId="7C383BBF" w:rsidR="00F921D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Общая проблема, таким образом, формулируется так: все перечисленные системы координат отвечают на вопрос, на какой стадии находится компания, и молчаливо принимают этот ответ за ответ на вопрос, готова ли она к привлечению капитала</w:t>
      </w:r>
      <w:r w:rsidR="00182D46">
        <w:rPr>
          <w:sz w:val="28"/>
          <w:szCs w:val="28"/>
          <w:lang w:val="ru-RU"/>
        </w:rPr>
        <w:t>, и какого вида</w:t>
      </w:r>
      <w:r w:rsidRPr="00F921D3">
        <w:rPr>
          <w:sz w:val="28"/>
          <w:szCs w:val="28"/>
          <w:lang w:val="ru-RU"/>
        </w:rPr>
        <w:t xml:space="preserve">. Между тем это два разных вопроса, ответы на которые могут расходиться: компания на ранней стадии </w:t>
      </w:r>
      <w:r w:rsidR="00182D46" w:rsidRPr="00F921D3">
        <w:rPr>
          <w:sz w:val="28"/>
          <w:szCs w:val="28"/>
          <w:lang w:val="ru-RU"/>
        </w:rPr>
        <w:t xml:space="preserve">по любой из классификаций </w:t>
      </w:r>
      <w:r w:rsidRPr="00F921D3">
        <w:rPr>
          <w:sz w:val="28"/>
          <w:szCs w:val="28"/>
          <w:lang w:val="ru-RU"/>
        </w:rPr>
        <w:t xml:space="preserve">может </w:t>
      </w:r>
      <w:r w:rsidR="00BC305A">
        <w:rPr>
          <w:sz w:val="28"/>
          <w:szCs w:val="28"/>
          <w:lang w:val="ru-RU"/>
        </w:rPr>
        <w:t>быть институционально готова к привлечению капитала</w:t>
      </w:r>
      <w:r w:rsidRPr="00F921D3">
        <w:rPr>
          <w:sz w:val="28"/>
          <w:szCs w:val="28"/>
          <w:lang w:val="ru-RU"/>
        </w:rPr>
        <w:t>, тогда как компания, много лет находящаяся на стадии зрелости, — оставаться непрозрачной и недиагностируемой</w:t>
      </w:r>
      <w:r w:rsidR="00BC305A">
        <w:rPr>
          <w:sz w:val="28"/>
          <w:szCs w:val="28"/>
          <w:lang w:val="ru-RU"/>
        </w:rPr>
        <w:t xml:space="preserve"> для потенциального инвестора</w:t>
      </w:r>
      <w:r w:rsidR="003637A7">
        <w:rPr>
          <w:sz w:val="28"/>
          <w:szCs w:val="28"/>
          <w:lang w:val="ru-RU"/>
        </w:rPr>
        <w:t xml:space="preserve"> и в целом не готовой для привлечения капитала</w:t>
      </w:r>
      <w:r w:rsidRPr="00F921D3">
        <w:rPr>
          <w:sz w:val="28"/>
          <w:szCs w:val="28"/>
          <w:lang w:val="ru-RU"/>
        </w:rPr>
        <w:t>.</w:t>
      </w:r>
      <w:r w:rsidR="003637A7">
        <w:rPr>
          <w:sz w:val="28"/>
          <w:szCs w:val="28"/>
          <w:lang w:val="ru-RU"/>
        </w:rPr>
        <w:t xml:space="preserve"> </w:t>
      </w:r>
      <w:r w:rsidR="003637A7" w:rsidRPr="003637A7">
        <w:rPr>
          <w:sz w:val="28"/>
          <w:szCs w:val="28"/>
        </w:rPr>
        <w:t>Это расхождение схематично представлено на рисунке 1.</w:t>
      </w:r>
      <w:r w:rsidR="003637A7">
        <w:rPr>
          <w:sz w:val="28"/>
          <w:szCs w:val="28"/>
          <w:lang w:val="ru-RU"/>
        </w:rPr>
        <w:t>6</w:t>
      </w:r>
      <w:r w:rsidR="003637A7" w:rsidRPr="003637A7">
        <w:rPr>
          <w:sz w:val="28"/>
          <w:szCs w:val="28"/>
        </w:rPr>
        <w:t xml:space="preserve">: </w:t>
      </w:r>
      <w:r w:rsidR="003637A7" w:rsidRPr="003637A7">
        <w:rPr>
          <w:sz w:val="28"/>
          <w:szCs w:val="28"/>
        </w:rPr>
        <w:lastRenderedPageBreak/>
        <w:t>компании, для которых стадия и готовность действительно движутся синхронно, образуют ожидаемую диагональ, тогда как случаи форсированной готовности на ранней стадии и зрелости без достигнутой готовности — систематически выпадают из этой закономерности.</w:t>
      </w:r>
      <w:r w:rsidRPr="00F921D3">
        <w:rPr>
          <w:sz w:val="28"/>
          <w:szCs w:val="28"/>
          <w:lang w:val="ru-RU"/>
        </w:rPr>
        <w:t xml:space="preserve"> </w:t>
      </w:r>
    </w:p>
    <w:p w14:paraId="368ED43E" w14:textId="156A9818" w:rsidR="003637A7" w:rsidRDefault="003637A7" w:rsidP="00F921D3">
      <w:pPr>
        <w:pBdr>
          <w:top w:val="nil"/>
          <w:left w:val="nil"/>
          <w:bottom w:val="nil"/>
          <w:right w:val="nil"/>
          <w:between w:val="nil"/>
        </w:pBdr>
        <w:spacing w:before="2" w:line="360" w:lineRule="auto"/>
        <w:ind w:left="140" w:right="145" w:firstLine="708"/>
        <w:jc w:val="both"/>
        <w:rPr>
          <w:sz w:val="28"/>
          <w:szCs w:val="28"/>
          <w:lang w:val="ru-RU"/>
        </w:rPr>
      </w:pPr>
      <w:r w:rsidRPr="003637A7">
        <w:rPr>
          <w:sz w:val="28"/>
          <w:szCs w:val="28"/>
        </w:rPr>
        <w:t>Рисунок 1.</w:t>
      </w:r>
      <w:r w:rsidR="007B7B73" w:rsidRPr="007B7B73">
        <w:rPr>
          <w:sz w:val="28"/>
          <w:szCs w:val="28"/>
          <w:lang w:val="ru-RU"/>
        </w:rPr>
        <w:t>6</w:t>
      </w:r>
      <w:r w:rsidRPr="003637A7">
        <w:rPr>
          <w:sz w:val="28"/>
          <w:szCs w:val="28"/>
        </w:rPr>
        <w:t xml:space="preserve"> – </w:t>
      </w:r>
      <w:r>
        <w:rPr>
          <w:sz w:val="28"/>
          <w:szCs w:val="28"/>
          <w:lang w:val="ru-RU"/>
        </w:rPr>
        <w:t>Концептуальное р</w:t>
      </w:r>
      <w:r w:rsidRPr="003637A7">
        <w:rPr>
          <w:sz w:val="28"/>
          <w:szCs w:val="28"/>
        </w:rPr>
        <w:t>асхождение между стадией и готовностью к привлечению капитала</w:t>
      </w:r>
    </w:p>
    <w:p w14:paraId="7622A6F3" w14:textId="1BEE75A8" w:rsidR="00B235B4" w:rsidRDefault="00B235B4" w:rsidP="00B235B4">
      <w:pPr>
        <w:pBdr>
          <w:top w:val="nil"/>
          <w:left w:val="nil"/>
          <w:bottom w:val="nil"/>
          <w:right w:val="nil"/>
          <w:between w:val="nil"/>
        </w:pBdr>
        <w:spacing w:before="2" w:line="360" w:lineRule="auto"/>
        <w:ind w:right="145"/>
        <w:jc w:val="both"/>
        <w:rPr>
          <w:sz w:val="28"/>
          <w:szCs w:val="28"/>
          <w:lang w:val="ru-RU"/>
        </w:rPr>
      </w:pPr>
      <w:r w:rsidRPr="00B235B4">
        <w:rPr>
          <w:noProof/>
          <w:sz w:val="28"/>
          <w:szCs w:val="28"/>
          <w:lang w:val="ru-RU" w:eastAsia="ru-RU"/>
        </w:rPr>
        <w:drawing>
          <wp:inline distT="0" distB="0" distL="0" distR="0" wp14:anchorId="2624754A" wp14:editId="5676B1A8">
            <wp:extent cx="6483350" cy="3945255"/>
            <wp:effectExtent l="0" t="0" r="0" b="0"/>
            <wp:docPr id="13731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32025" name=""/>
                    <pic:cNvPicPr/>
                  </pic:nvPicPr>
                  <pic:blipFill>
                    <a:blip r:embed="rId18"/>
                    <a:stretch>
                      <a:fillRect/>
                    </a:stretch>
                  </pic:blipFill>
                  <pic:spPr>
                    <a:xfrm>
                      <a:off x="0" y="0"/>
                      <a:ext cx="6483350" cy="3945255"/>
                    </a:xfrm>
                    <a:prstGeom prst="rect">
                      <a:avLst/>
                    </a:prstGeom>
                  </pic:spPr>
                </pic:pic>
              </a:graphicData>
            </a:graphic>
          </wp:inline>
        </w:drawing>
      </w:r>
    </w:p>
    <w:p w14:paraId="02548FA4" w14:textId="0C76F7CF" w:rsidR="00B235B4" w:rsidRPr="00B235B4" w:rsidRDefault="00B235B4" w:rsidP="00F921D3">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Источник</w:t>
      </w:r>
      <w:r w:rsidRPr="00B235B4">
        <w:rPr>
          <w:sz w:val="28"/>
          <w:szCs w:val="28"/>
          <w:lang w:val="ru-RU"/>
        </w:rPr>
        <w:t xml:space="preserve">: </w:t>
      </w:r>
      <w:r>
        <w:rPr>
          <w:sz w:val="28"/>
          <w:szCs w:val="28"/>
          <w:lang w:val="ru-RU"/>
        </w:rPr>
        <w:t>составлено автором.</w:t>
      </w:r>
    </w:p>
    <w:p w14:paraId="06A52EEB" w14:textId="7FEC953C" w:rsidR="00182D46" w:rsidRPr="00F921D3" w:rsidRDefault="00182D46" w:rsidP="00F921D3">
      <w:pPr>
        <w:pBdr>
          <w:top w:val="nil"/>
          <w:left w:val="nil"/>
          <w:bottom w:val="nil"/>
          <w:right w:val="nil"/>
          <w:between w:val="nil"/>
        </w:pBdr>
        <w:spacing w:before="2" w:line="360" w:lineRule="auto"/>
        <w:ind w:left="140" w:right="145" w:firstLine="708"/>
        <w:jc w:val="both"/>
        <w:rPr>
          <w:sz w:val="28"/>
          <w:szCs w:val="28"/>
          <w:lang w:val="ru-RU"/>
        </w:rPr>
      </w:pPr>
      <w:r w:rsidRPr="00182D46">
        <w:rPr>
          <w:sz w:val="28"/>
          <w:szCs w:val="28"/>
        </w:rPr>
        <w:t>Ни одна стадийная классификация не способна объяснить это расхождение</w:t>
      </w:r>
      <w:r>
        <w:rPr>
          <w:sz w:val="28"/>
          <w:szCs w:val="28"/>
          <w:lang w:val="ru-RU"/>
        </w:rPr>
        <w:t>. Это происходит</w:t>
      </w:r>
      <w:r w:rsidRPr="00182D46">
        <w:rPr>
          <w:sz w:val="28"/>
          <w:szCs w:val="28"/>
        </w:rPr>
        <w:t xml:space="preserve"> не потому</w:t>
      </w:r>
      <w:r>
        <w:rPr>
          <w:sz w:val="28"/>
          <w:szCs w:val="28"/>
          <w:lang w:val="ru-RU"/>
        </w:rPr>
        <w:t>,</w:t>
      </w:r>
      <w:r w:rsidRPr="00182D46">
        <w:rPr>
          <w:sz w:val="28"/>
          <w:szCs w:val="28"/>
        </w:rPr>
        <w:t xml:space="preserve"> что она не опирается на данные о компании, а потому что она через эти данные измеряет иное свойство: масштаб, темп роста или направление денежного потока бизнеса, а не надёжность и проверяемость самой информации о нём. </w:t>
      </w:r>
    </w:p>
    <w:p w14:paraId="368B785A" w14:textId="3DC29423"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Ответом служат пять факторов, </w:t>
      </w:r>
      <w:r w:rsidR="00182D46" w:rsidRPr="00182D46">
        <w:rPr>
          <w:sz w:val="28"/>
          <w:szCs w:val="28"/>
        </w:rPr>
        <w:t>предлагаемых настоящим исследованием</w:t>
      </w:r>
      <w:r w:rsidR="00182D46" w:rsidRPr="00F921D3">
        <w:rPr>
          <w:sz w:val="28"/>
          <w:szCs w:val="28"/>
          <w:lang w:val="ru-RU"/>
        </w:rPr>
        <w:t xml:space="preserve"> </w:t>
      </w:r>
      <w:r w:rsidRPr="00F921D3">
        <w:rPr>
          <w:sz w:val="28"/>
          <w:szCs w:val="28"/>
          <w:lang w:val="ru-RU"/>
        </w:rPr>
        <w:t>определяющих измеримую историю компании</w:t>
      </w:r>
      <w:r w:rsidR="00182D46">
        <w:rPr>
          <w:sz w:val="28"/>
          <w:szCs w:val="28"/>
          <w:lang w:val="ru-RU"/>
        </w:rPr>
        <w:t>,</w:t>
      </w:r>
      <w:r w:rsidR="00182D46" w:rsidRPr="00182D46">
        <w:rPr>
          <w:sz w:val="28"/>
          <w:szCs w:val="28"/>
        </w:rPr>
        <w:t xml:space="preserve"> на основании которых вообще можно строить какую-либо диагностику</w:t>
      </w:r>
      <w:r w:rsidR="00182D46">
        <w:rPr>
          <w:sz w:val="28"/>
          <w:szCs w:val="28"/>
          <w:lang w:val="ru-RU"/>
        </w:rPr>
        <w:t xml:space="preserve"> готовности компании к привлечению капитала</w:t>
      </w:r>
      <w:r w:rsidRPr="00F921D3">
        <w:rPr>
          <w:sz w:val="28"/>
          <w:szCs w:val="28"/>
          <w:lang w:val="ru-RU"/>
        </w:rPr>
        <w:t xml:space="preserve">: </w:t>
      </w:r>
    </w:p>
    <w:p w14:paraId="2D95E634" w14:textId="77777777"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К1 — прозрачность структуры владения и контроля; </w:t>
      </w:r>
    </w:p>
    <w:p w14:paraId="10E4C898" w14:textId="77777777"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lastRenderedPageBreak/>
        <w:t xml:space="preserve">К2 — отсутствие непрозрачных сделок со связанными сторонами; </w:t>
      </w:r>
    </w:p>
    <w:p w14:paraId="1D39664E" w14:textId="77777777"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К3 — зрелость аудированной финансовой отчётности; </w:t>
      </w:r>
    </w:p>
    <w:p w14:paraId="017D232F" w14:textId="77777777"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К4 — точность и история финансового планирования; </w:t>
      </w:r>
    </w:p>
    <w:p w14:paraId="07FE91E7" w14:textId="77777777" w:rsidR="00182D46"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К5 — предсказуемость и формализованность подхода компании к распределению прибыли. </w:t>
      </w:r>
    </w:p>
    <w:p w14:paraId="5AA290CE" w14:textId="56F45901" w:rsidR="00F921D3" w:rsidRPr="00F921D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Теоретическое обоснование именно этого набора факторов через теорию агентских издержек и информационной асимметрии приводится в §1.3</w:t>
      </w:r>
      <w:r w:rsidR="00182D46">
        <w:rPr>
          <w:sz w:val="28"/>
          <w:szCs w:val="28"/>
          <w:lang w:val="ru-RU"/>
        </w:rPr>
        <w:t>.</w:t>
      </w:r>
      <w:r w:rsidRPr="00F921D3">
        <w:rPr>
          <w:sz w:val="28"/>
          <w:szCs w:val="28"/>
          <w:lang w:val="ru-RU"/>
        </w:rPr>
        <w:t xml:space="preserve"> </w:t>
      </w:r>
      <w:r w:rsidR="00182D46">
        <w:rPr>
          <w:sz w:val="28"/>
          <w:szCs w:val="28"/>
          <w:lang w:val="ru-RU"/>
        </w:rPr>
        <w:t>О</w:t>
      </w:r>
      <w:r w:rsidRPr="00F921D3">
        <w:rPr>
          <w:sz w:val="28"/>
          <w:szCs w:val="28"/>
          <w:lang w:val="ru-RU"/>
        </w:rPr>
        <w:t xml:space="preserve">перационализация в виде шкалы учётно-информационной зрелости и формализованной процедуры их измерения </w:t>
      </w:r>
      <w:r w:rsidR="00182D46">
        <w:rPr>
          <w:sz w:val="28"/>
          <w:szCs w:val="28"/>
          <w:lang w:val="ru-RU"/>
        </w:rPr>
        <w:t>является</w:t>
      </w:r>
      <w:r w:rsidRPr="00F921D3">
        <w:rPr>
          <w:sz w:val="28"/>
          <w:szCs w:val="28"/>
          <w:lang w:val="ru-RU"/>
        </w:rPr>
        <w:t xml:space="preserve"> предмет</w:t>
      </w:r>
      <w:r w:rsidR="00182D46">
        <w:rPr>
          <w:sz w:val="28"/>
          <w:szCs w:val="28"/>
          <w:lang w:val="ru-RU"/>
        </w:rPr>
        <w:t>ом</w:t>
      </w:r>
      <w:r w:rsidRPr="00F921D3">
        <w:rPr>
          <w:sz w:val="28"/>
          <w:szCs w:val="28"/>
          <w:lang w:val="ru-RU"/>
        </w:rPr>
        <w:t xml:space="preserve"> главы 3. Именно достижение измеримой истории по этим пяти факторам, а не стадия жизненного цикла, раунд финансирования или возраст компании, определяет способность компании быть диагностированной по методике настоящего исследования.</w:t>
      </w:r>
    </w:p>
    <w:p w14:paraId="299A1B8F" w14:textId="732F5C46" w:rsidR="00F921D3" w:rsidRPr="00F921D3" w:rsidRDefault="00F921D3" w:rsidP="00F921D3">
      <w:pPr>
        <w:pBdr>
          <w:top w:val="nil"/>
          <w:left w:val="nil"/>
          <w:bottom w:val="nil"/>
          <w:right w:val="nil"/>
          <w:between w:val="nil"/>
        </w:pBdr>
        <w:spacing w:before="2" w:line="360" w:lineRule="auto"/>
        <w:ind w:left="140" w:right="145" w:firstLine="708"/>
        <w:jc w:val="both"/>
        <w:rPr>
          <w:sz w:val="28"/>
          <w:szCs w:val="28"/>
          <w:lang w:val="ru-RU"/>
        </w:rPr>
      </w:pPr>
      <w:r w:rsidRPr="00F921D3">
        <w:rPr>
          <w:sz w:val="28"/>
          <w:szCs w:val="28"/>
          <w:lang w:val="ru-RU"/>
        </w:rPr>
        <w:t xml:space="preserve">Из этого различения следует и практическое следствие для типологии второго измерения, рассмотренной выше: </w:t>
      </w:r>
      <w:r w:rsidRPr="00F921D3">
        <w:rPr>
          <w:sz w:val="28"/>
          <w:szCs w:val="28"/>
          <w:lang w:val="en-US"/>
        </w:rPr>
        <w:t>pre</w:t>
      </w:r>
      <w:r w:rsidRPr="00F921D3">
        <w:rPr>
          <w:sz w:val="28"/>
          <w:szCs w:val="28"/>
          <w:lang w:val="ru-RU"/>
        </w:rPr>
        <w:t>-</w:t>
      </w:r>
      <w:r w:rsidRPr="00F921D3">
        <w:rPr>
          <w:sz w:val="28"/>
          <w:szCs w:val="28"/>
          <w:lang w:val="en-US"/>
        </w:rPr>
        <w:t>IPO</w:t>
      </w:r>
      <w:r w:rsidR="00182D46">
        <w:rPr>
          <w:sz w:val="28"/>
          <w:szCs w:val="28"/>
          <w:lang w:val="ru-RU"/>
        </w:rPr>
        <w:t xml:space="preserve"> как уникальная стадия перехода от непублчного статуса к публичному</w:t>
      </w:r>
      <w:r w:rsidRPr="00F921D3">
        <w:rPr>
          <w:sz w:val="28"/>
          <w:szCs w:val="28"/>
          <w:lang w:val="ru-RU"/>
        </w:rPr>
        <w:t xml:space="preserve"> </w:t>
      </w:r>
      <w:r w:rsidR="00182D46">
        <w:rPr>
          <w:sz w:val="28"/>
          <w:szCs w:val="28"/>
          <w:lang w:val="ru-RU"/>
        </w:rPr>
        <w:t>является</w:t>
      </w:r>
      <w:r w:rsidRPr="00F921D3">
        <w:rPr>
          <w:sz w:val="28"/>
          <w:szCs w:val="28"/>
          <w:lang w:val="ru-RU"/>
        </w:rPr>
        <w:t xml:space="preserve"> не жёстки</w:t>
      </w:r>
      <w:r w:rsidR="00182D46">
        <w:rPr>
          <w:sz w:val="28"/>
          <w:szCs w:val="28"/>
          <w:lang w:val="ru-RU"/>
        </w:rPr>
        <w:t>м</w:t>
      </w:r>
      <w:r w:rsidRPr="00F921D3">
        <w:rPr>
          <w:sz w:val="28"/>
          <w:szCs w:val="28"/>
          <w:lang w:val="ru-RU"/>
        </w:rPr>
        <w:t xml:space="preserve"> этап</w:t>
      </w:r>
      <w:r w:rsidR="00182D46">
        <w:rPr>
          <w:sz w:val="28"/>
          <w:szCs w:val="28"/>
          <w:lang w:val="ru-RU"/>
        </w:rPr>
        <w:t>ом</w:t>
      </w:r>
      <w:r w:rsidRPr="00F921D3">
        <w:rPr>
          <w:sz w:val="28"/>
          <w:szCs w:val="28"/>
          <w:lang w:val="ru-RU"/>
        </w:rPr>
        <w:t xml:space="preserve"> на одной из перечисленных лестниц (</w:t>
      </w:r>
      <w:r w:rsidRPr="00F921D3">
        <w:rPr>
          <w:sz w:val="28"/>
          <w:szCs w:val="28"/>
          <w:lang w:val="en-US"/>
        </w:rPr>
        <w:t>NVCA</w:t>
      </w:r>
      <w:r w:rsidRPr="00F921D3">
        <w:rPr>
          <w:sz w:val="28"/>
          <w:szCs w:val="28"/>
          <w:lang w:val="ru-RU"/>
        </w:rPr>
        <w:t xml:space="preserve">, </w:t>
      </w:r>
      <w:r w:rsidRPr="00F921D3">
        <w:rPr>
          <w:sz w:val="28"/>
          <w:szCs w:val="28"/>
          <w:lang w:val="en-US"/>
        </w:rPr>
        <w:t>Invest</w:t>
      </w:r>
      <w:r w:rsidRPr="00F921D3">
        <w:rPr>
          <w:sz w:val="28"/>
          <w:szCs w:val="28"/>
          <w:lang w:val="ru-RU"/>
        </w:rPr>
        <w:t xml:space="preserve"> </w:t>
      </w:r>
      <w:r w:rsidRPr="00F921D3">
        <w:rPr>
          <w:sz w:val="28"/>
          <w:szCs w:val="28"/>
          <w:lang w:val="en-US"/>
        </w:rPr>
        <w:t>Europe</w:t>
      </w:r>
      <w:r w:rsidRPr="00F921D3">
        <w:rPr>
          <w:sz w:val="28"/>
          <w:szCs w:val="28"/>
          <w:lang w:val="ru-RU"/>
        </w:rPr>
        <w:t>, РАВИ), а метка горизонта листинга, присоединяемая к любой точке пути компании, на которой достигнута измеримая история по пяти факторам, — вне зависимости от того, как эта точка называется в терминологии конкретной отраслевой классификации.</w:t>
      </w:r>
    </w:p>
    <w:p w14:paraId="5E79FF5A" w14:textId="497BE5C1" w:rsidR="004C5A59" w:rsidRPr="001E5DF5" w:rsidRDefault="007D76F4" w:rsidP="007D76F4">
      <w:pPr>
        <w:pBdr>
          <w:top w:val="nil"/>
          <w:left w:val="nil"/>
          <w:bottom w:val="nil"/>
          <w:right w:val="nil"/>
          <w:between w:val="nil"/>
        </w:pBdr>
        <w:spacing w:before="2" w:line="360" w:lineRule="auto"/>
        <w:ind w:left="140" w:right="145" w:firstLine="708"/>
        <w:jc w:val="both"/>
        <w:rPr>
          <w:sz w:val="28"/>
          <w:szCs w:val="28"/>
          <w:lang w:val="ru-RU"/>
        </w:rPr>
      </w:pPr>
      <w:r w:rsidRPr="007D76F4">
        <w:rPr>
          <w:sz w:val="28"/>
          <w:szCs w:val="28"/>
          <w:lang w:val="ru-RU"/>
        </w:rPr>
        <w:t xml:space="preserve"> </w:t>
      </w:r>
    </w:p>
    <w:p w14:paraId="2C2F48CB" w14:textId="77777777" w:rsidR="00942F88" w:rsidRPr="001E5DF5" w:rsidRDefault="00942F88" w:rsidP="00942F88">
      <w:pPr>
        <w:pBdr>
          <w:top w:val="nil"/>
          <w:left w:val="nil"/>
          <w:bottom w:val="nil"/>
          <w:right w:val="nil"/>
          <w:between w:val="nil"/>
        </w:pBdr>
        <w:tabs>
          <w:tab w:val="left" w:pos="1491"/>
        </w:tabs>
        <w:spacing w:line="360" w:lineRule="auto"/>
        <w:ind w:right="141"/>
        <w:jc w:val="both"/>
        <w:rPr>
          <w:i/>
          <w:iCs/>
          <w:sz w:val="24"/>
          <w:szCs w:val="24"/>
          <w:lang w:val="ru-RU"/>
        </w:rPr>
      </w:pPr>
    </w:p>
    <w:p w14:paraId="35641C0E" w14:textId="77777777" w:rsidR="00942F88" w:rsidRPr="001E5DF5" w:rsidRDefault="00942F88" w:rsidP="00942F88">
      <w:pPr>
        <w:pBdr>
          <w:top w:val="nil"/>
          <w:left w:val="nil"/>
          <w:bottom w:val="nil"/>
          <w:right w:val="nil"/>
          <w:between w:val="nil"/>
        </w:pBdr>
        <w:tabs>
          <w:tab w:val="left" w:pos="1491"/>
        </w:tabs>
        <w:spacing w:line="360" w:lineRule="auto"/>
        <w:ind w:right="141"/>
        <w:jc w:val="both"/>
        <w:rPr>
          <w:i/>
          <w:iCs/>
          <w:color w:val="808080" w:themeColor="background1" w:themeShade="80"/>
          <w:sz w:val="24"/>
          <w:szCs w:val="24"/>
          <w:lang w:val="ru-RU"/>
        </w:rPr>
      </w:pPr>
    </w:p>
    <w:p w14:paraId="1C1F26BA" w14:textId="766BFF69" w:rsidR="00A63D1B" w:rsidRPr="006D792A" w:rsidRDefault="00C05A53">
      <w:pPr>
        <w:numPr>
          <w:ilvl w:val="1"/>
          <w:numId w:val="3"/>
        </w:numPr>
        <w:pBdr>
          <w:top w:val="nil"/>
          <w:left w:val="nil"/>
          <w:bottom w:val="nil"/>
          <w:right w:val="nil"/>
          <w:between w:val="nil"/>
        </w:pBdr>
        <w:tabs>
          <w:tab w:val="left" w:pos="1491"/>
        </w:tabs>
        <w:spacing w:line="360" w:lineRule="auto"/>
        <w:ind w:right="141" w:firstLine="708"/>
        <w:jc w:val="both"/>
        <w:rPr>
          <w:i/>
          <w:iCs/>
          <w:color w:val="808080" w:themeColor="background1" w:themeShade="80"/>
          <w:sz w:val="24"/>
          <w:szCs w:val="24"/>
        </w:rPr>
      </w:pPr>
      <w:r w:rsidRPr="00C05A53">
        <w:rPr>
          <w:sz w:val="28"/>
          <w:szCs w:val="28"/>
        </w:rPr>
        <w:t xml:space="preserve">Институциональные инвесторы </w:t>
      </w:r>
      <w:r w:rsidR="00DB0E6A">
        <w:rPr>
          <w:sz w:val="28"/>
          <w:szCs w:val="28"/>
          <w:lang w:val="ru-RU"/>
        </w:rPr>
        <w:t xml:space="preserve">и рынок капитала </w:t>
      </w:r>
      <w:r w:rsidRPr="00C05A53">
        <w:rPr>
          <w:sz w:val="28"/>
          <w:szCs w:val="28"/>
        </w:rPr>
        <w:t xml:space="preserve">на пути компании: </w:t>
      </w:r>
      <w:r w:rsidR="00DB0E6A">
        <w:rPr>
          <w:sz w:val="28"/>
          <w:szCs w:val="28"/>
          <w:lang w:val="ru-RU"/>
        </w:rPr>
        <w:t xml:space="preserve">от контроля агентских издержек к природе готовности к привлечению капитала </w:t>
      </w:r>
    </w:p>
    <w:p w14:paraId="2E174590" w14:textId="77777777" w:rsidR="009D3955" w:rsidRDefault="009D3955" w:rsidP="00E92DAE">
      <w:pPr>
        <w:pBdr>
          <w:top w:val="nil"/>
          <w:left w:val="nil"/>
          <w:bottom w:val="nil"/>
          <w:right w:val="nil"/>
          <w:between w:val="nil"/>
        </w:pBdr>
        <w:spacing w:before="2" w:line="360" w:lineRule="auto"/>
        <w:ind w:left="140" w:right="145" w:firstLine="708"/>
        <w:jc w:val="both"/>
        <w:rPr>
          <w:sz w:val="28"/>
          <w:szCs w:val="28"/>
          <w:lang w:val="ru-RU"/>
        </w:rPr>
      </w:pPr>
    </w:p>
    <w:p w14:paraId="6F5696F8" w14:textId="3C0BDC82" w:rsidR="00E92DAE" w:rsidRPr="00E92DAE" w:rsidRDefault="00E92DAE" w:rsidP="00E92DAE">
      <w:pPr>
        <w:pBdr>
          <w:top w:val="nil"/>
          <w:left w:val="nil"/>
          <w:bottom w:val="nil"/>
          <w:right w:val="nil"/>
          <w:between w:val="nil"/>
        </w:pBdr>
        <w:spacing w:before="2" w:line="360" w:lineRule="auto"/>
        <w:ind w:left="140" w:right="145" w:firstLine="708"/>
        <w:jc w:val="both"/>
        <w:rPr>
          <w:sz w:val="28"/>
          <w:szCs w:val="28"/>
          <w:lang w:val="ru-RU"/>
        </w:rPr>
      </w:pPr>
      <w:r w:rsidRPr="00E92DAE">
        <w:rPr>
          <w:sz w:val="28"/>
          <w:szCs w:val="28"/>
          <w:lang w:val="ru-RU"/>
        </w:rPr>
        <w:t>Разграничение стадии жизненного цикла и типа институционального капитала, установленное в предыдущем параграфе, задаёт объект, но оставляет открытым вопрос о природе самих институциональных инвесторов</w:t>
      </w:r>
      <w:r w:rsidR="00A60B34">
        <w:rPr>
          <w:sz w:val="28"/>
          <w:szCs w:val="28"/>
          <w:lang w:val="ru-RU"/>
        </w:rPr>
        <w:t xml:space="preserve"> и рынков</w:t>
      </w:r>
      <w:r w:rsidRPr="00E92DAE">
        <w:rPr>
          <w:sz w:val="28"/>
          <w:szCs w:val="28"/>
          <w:lang w:val="ru-RU"/>
        </w:rPr>
        <w:t xml:space="preserve">, действующих на каждом этапе этого пути, и о том, откуда вообще берётся сама категория готовности, вокруг которой строится настоящее исследование. Настоящий параграф последовательно разбирает теоретические традиции, </w:t>
      </w:r>
      <w:r w:rsidRPr="00E92DAE">
        <w:rPr>
          <w:sz w:val="28"/>
          <w:szCs w:val="28"/>
          <w:lang w:val="ru-RU"/>
        </w:rPr>
        <w:lastRenderedPageBreak/>
        <w:t>объясняющие поведение институциональных инвесторов на трёх типах капитала — венчуре, PE и IPO, — и показывает, что все три традиции сходятся к одному и тому же основанию: снижению информационной асимметрии и агентских издержек между компанией и внешним инвестором, что и составляет теоретический фундамент пяти факторов, формализуемых в главе 3.</w:t>
      </w:r>
    </w:p>
    <w:p w14:paraId="5CE0FDEB" w14:textId="77777777" w:rsidR="00BD7403" w:rsidRDefault="00E92DAE" w:rsidP="00BD7403">
      <w:pPr>
        <w:pBdr>
          <w:top w:val="nil"/>
          <w:left w:val="nil"/>
          <w:bottom w:val="nil"/>
          <w:right w:val="nil"/>
          <w:between w:val="nil"/>
        </w:pBdr>
        <w:spacing w:before="2" w:line="360" w:lineRule="auto"/>
        <w:ind w:left="140" w:right="145" w:firstLine="708"/>
        <w:jc w:val="both"/>
        <w:rPr>
          <w:sz w:val="28"/>
          <w:szCs w:val="28"/>
          <w:lang w:val="ru-RU"/>
        </w:rPr>
      </w:pPr>
      <w:r w:rsidRPr="00E92DAE">
        <w:rPr>
          <w:sz w:val="28"/>
          <w:szCs w:val="28"/>
          <w:lang w:val="ru-RU"/>
        </w:rPr>
        <w:t xml:space="preserve">Институциональные инвесторы, участвующие в пути компании к капиталу, изучаются в экономической литературе прежде всего через призму контроля агентских издержек. У. Сахлман показал, что поэтапное (staged) венчурное финансирование — </w:t>
      </w:r>
      <w:r w:rsidR="00A60B34">
        <w:rPr>
          <w:sz w:val="28"/>
          <w:szCs w:val="28"/>
          <w:lang w:val="ru-RU"/>
        </w:rPr>
        <w:t>это</w:t>
      </w:r>
      <w:r w:rsidRPr="00E92DAE">
        <w:rPr>
          <w:sz w:val="28"/>
          <w:szCs w:val="28"/>
          <w:lang w:val="ru-RU"/>
        </w:rPr>
        <w:t xml:space="preserve"> сознательный механизм</w:t>
      </w:r>
      <w:r w:rsidR="00A60B34">
        <w:rPr>
          <w:sz w:val="28"/>
          <w:szCs w:val="28"/>
          <w:lang w:val="ru-RU"/>
        </w:rPr>
        <w:t>, в котором</w:t>
      </w:r>
      <w:r w:rsidRPr="00E92DAE">
        <w:rPr>
          <w:sz w:val="28"/>
          <w:szCs w:val="28"/>
          <w:lang w:val="ru-RU"/>
        </w:rPr>
        <w:t xml:space="preserve"> инвестор сохраняет опцион на выход из проекта на каждом раунде, вынуждая компанию регулярно подтверждать прогресс, что резко снижает агентские издержки по сравнению с единовременным вложением всей суммы</w:t>
      </w:r>
      <w:r w:rsidR="00A60B34">
        <w:rPr>
          <w:rStyle w:val="a7"/>
          <w:sz w:val="28"/>
          <w:szCs w:val="28"/>
          <w:lang w:val="ru-RU"/>
        </w:rPr>
        <w:footnoteReference w:id="145"/>
      </w:r>
      <w:r w:rsidRPr="00E92DAE">
        <w:rPr>
          <w:sz w:val="28"/>
          <w:szCs w:val="28"/>
          <w:lang w:val="ru-RU"/>
        </w:rPr>
        <w:t>. П. Гомперс эмпирически подтвердил эту логику, показав, что интенсивность мониторинга и длительность интервалов между раундами напрямую зависят от степени информационной асимметрии и агентских рисков конкретной сделки — чем выше неопределённость, тем короче раунды и плотнее контроль</w:t>
      </w:r>
      <w:r w:rsidR="00A60B34">
        <w:rPr>
          <w:rStyle w:val="a7"/>
          <w:sz w:val="28"/>
          <w:szCs w:val="28"/>
          <w:lang w:val="ru-RU"/>
        </w:rPr>
        <w:footnoteReference w:id="146"/>
      </w:r>
      <w:r w:rsidRPr="00E92DAE">
        <w:rPr>
          <w:sz w:val="28"/>
          <w:szCs w:val="28"/>
          <w:lang w:val="ru-RU"/>
        </w:rPr>
        <w:t>. Обобщающая монография П. Гомперса и Дж. Лернера The Venture Capital Cycle систематизировала эти наблюдения в целостную модель венчурного рынка от привлечения капитала фондом до его инвестирования и выхода</w:t>
      </w:r>
      <w:r w:rsidR="00A60B34">
        <w:rPr>
          <w:rStyle w:val="a7"/>
          <w:sz w:val="28"/>
          <w:szCs w:val="28"/>
          <w:lang w:val="ru-RU"/>
        </w:rPr>
        <w:footnoteReference w:id="147"/>
      </w:r>
      <w:r w:rsidRPr="00E92DAE">
        <w:rPr>
          <w:sz w:val="28"/>
          <w:szCs w:val="28"/>
          <w:lang w:val="ru-RU"/>
        </w:rPr>
        <w:t>.</w:t>
      </w:r>
    </w:p>
    <w:p w14:paraId="0DEDEB6B" w14:textId="6DC98FE4" w:rsidR="00BD7403" w:rsidRPr="00141D91" w:rsidRDefault="00BD7403" w:rsidP="00BD7403">
      <w:pPr>
        <w:pBdr>
          <w:top w:val="nil"/>
          <w:left w:val="nil"/>
          <w:bottom w:val="nil"/>
          <w:right w:val="nil"/>
          <w:between w:val="nil"/>
        </w:pBdr>
        <w:spacing w:before="2" w:line="360" w:lineRule="auto"/>
        <w:ind w:left="140" w:right="145" w:firstLine="708"/>
        <w:jc w:val="both"/>
        <w:rPr>
          <w:sz w:val="28"/>
          <w:szCs w:val="28"/>
          <w:lang w:val="ru-RU"/>
        </w:rPr>
      </w:pPr>
      <w:r w:rsidRPr="00BD7403">
        <w:rPr>
          <w:sz w:val="28"/>
          <w:szCs w:val="28"/>
          <w:lang w:val="ru-RU"/>
        </w:rPr>
        <w:t>Переход от венчурного финансирования к фондам прямых инвестиций сопровождается сменой самой проблемы, которую решает инвестор. Если на венчурной стадии компания тратит слишком мало и нуждается в деньгах для роста, то на PE-стадии проблема часто обратная: у зрелой, прибыльной компании накапливается свободный денежный поток, а у распылённого менеджмента (без крупного собственника, который лично следит за расходами) появляется соблазн тратить эти деньги неэффективно</w:t>
      </w:r>
      <w:r>
        <w:rPr>
          <w:sz w:val="28"/>
          <w:szCs w:val="28"/>
          <w:lang w:val="ru-RU"/>
        </w:rPr>
        <w:t>, например</w:t>
      </w:r>
      <w:r w:rsidRPr="00BD7403">
        <w:rPr>
          <w:sz w:val="28"/>
          <w:szCs w:val="28"/>
          <w:lang w:val="ru-RU"/>
        </w:rPr>
        <w:t xml:space="preserve"> на амбициозные, но невыгодные проекты. М. Дженсен показал, что классическая сделка выкупа компании с </w:t>
      </w:r>
      <w:r w:rsidRPr="00BD7403">
        <w:rPr>
          <w:sz w:val="28"/>
          <w:szCs w:val="28"/>
          <w:lang w:val="ru-RU"/>
        </w:rPr>
        <w:lastRenderedPageBreak/>
        <w:t>использованием заёмных средств (LBO) решает эту проблему сразу двумя способами: во-первых, PE-фонд концентрирует владение в своих руках, получая прямой личный интерес контролировать траты</w:t>
      </w:r>
      <w:r>
        <w:rPr>
          <w:sz w:val="28"/>
          <w:szCs w:val="28"/>
          <w:lang w:val="ru-RU"/>
        </w:rPr>
        <w:t>, а</w:t>
      </w:r>
      <w:r w:rsidRPr="00BD7403">
        <w:rPr>
          <w:sz w:val="28"/>
          <w:szCs w:val="28"/>
          <w:lang w:val="ru-RU"/>
        </w:rPr>
        <w:t xml:space="preserve"> во-вторых, сделка структурируется так, что значительная часть цены выкупа финансируется в долг, который вешается на саму компанию</w:t>
      </w:r>
      <w:r>
        <w:rPr>
          <w:sz w:val="28"/>
          <w:szCs w:val="28"/>
          <w:lang w:val="ru-RU"/>
        </w:rPr>
        <w:t>.</w:t>
      </w:r>
      <w:r w:rsidRPr="00BD7403">
        <w:rPr>
          <w:sz w:val="28"/>
          <w:szCs w:val="28"/>
          <w:lang w:val="ru-RU"/>
        </w:rPr>
        <w:t xml:space="preserve"> </w:t>
      </w:r>
      <w:r>
        <w:rPr>
          <w:sz w:val="28"/>
          <w:szCs w:val="28"/>
          <w:lang w:val="ru-RU"/>
        </w:rPr>
        <w:t>По этой причине</w:t>
      </w:r>
      <w:r w:rsidRPr="00BD7403">
        <w:rPr>
          <w:sz w:val="28"/>
          <w:szCs w:val="28"/>
          <w:lang w:val="ru-RU"/>
        </w:rPr>
        <w:t xml:space="preserve"> у менеджмента просто не остаётся свободных денег на неэффективные решения, весь денежный поток обязан идти на обслуживание долга</w:t>
      </w:r>
      <w:r>
        <w:rPr>
          <w:rStyle w:val="a7"/>
          <w:sz w:val="28"/>
          <w:szCs w:val="28"/>
          <w:lang w:val="ru-RU"/>
        </w:rPr>
        <w:footnoteReference w:id="148"/>
      </w:r>
      <w:r w:rsidRPr="00BD7403">
        <w:rPr>
          <w:sz w:val="28"/>
          <w:szCs w:val="28"/>
          <w:lang w:val="ru-RU"/>
        </w:rPr>
        <w:t xml:space="preserve">. С. Каплан и П. Стрёмберг эмпирически детализировали, </w:t>
      </w:r>
      <w:r>
        <w:rPr>
          <w:sz w:val="28"/>
          <w:szCs w:val="28"/>
          <w:lang w:val="ru-RU"/>
        </w:rPr>
        <w:t xml:space="preserve">что </w:t>
      </w:r>
      <w:r w:rsidRPr="00BD7403">
        <w:rPr>
          <w:sz w:val="28"/>
          <w:szCs w:val="28"/>
          <w:lang w:val="ru-RU"/>
        </w:rPr>
        <w:t xml:space="preserve">прибыль фонда в такой сделке </w:t>
      </w:r>
      <w:r>
        <w:rPr>
          <w:sz w:val="28"/>
          <w:szCs w:val="28"/>
          <w:lang w:val="ru-RU"/>
        </w:rPr>
        <w:t>складывается</w:t>
      </w:r>
      <w:r w:rsidRPr="00BD7403">
        <w:rPr>
          <w:sz w:val="28"/>
          <w:szCs w:val="28"/>
          <w:lang w:val="ru-RU"/>
        </w:rPr>
        <w:t xml:space="preserve"> из трёх источников: более строгого контроля со стороны фонда (представительство в совете директоров), реального операционного улучшения бизнеса (снижение издержек, рост выручки) и грамотной настройки долговой/налоговой структуры сделки</w:t>
      </w:r>
      <w:r>
        <w:rPr>
          <w:rStyle w:val="a7"/>
          <w:sz w:val="28"/>
          <w:szCs w:val="28"/>
          <w:lang w:val="ru-RU"/>
        </w:rPr>
        <w:footnoteReference w:id="149"/>
      </w:r>
      <w:r w:rsidRPr="00BD7403">
        <w:rPr>
          <w:sz w:val="28"/>
          <w:szCs w:val="28"/>
          <w:lang w:val="ru-RU"/>
        </w:rPr>
        <w:t>. С. Каплан и А. Шоар, изучив большую выборку фондов, показали, что успех управляющей команды не случаен: если предыдущий фонд конкретной команды показал хорошую доходность, следующий фонд той же команды с высокой вероятностью тоже её покажет, — то есть умение управлять такими сделками является устойчивым, измеримым навыком, а не везением</w:t>
      </w:r>
      <w:r>
        <w:rPr>
          <w:rStyle w:val="a7"/>
          <w:sz w:val="28"/>
          <w:szCs w:val="28"/>
          <w:lang w:val="ru-RU"/>
        </w:rPr>
        <w:footnoteReference w:id="150"/>
      </w:r>
      <w:r w:rsidRPr="00BD7403">
        <w:rPr>
          <w:sz w:val="28"/>
          <w:szCs w:val="28"/>
          <w:lang w:val="ru-RU"/>
        </w:rPr>
        <w:t>.</w:t>
      </w:r>
    </w:p>
    <w:p w14:paraId="686A9BBA" w14:textId="25DA21B3" w:rsidR="009265A7" w:rsidRDefault="00141D91" w:rsidP="009265A7">
      <w:pPr>
        <w:pBdr>
          <w:top w:val="nil"/>
          <w:left w:val="nil"/>
          <w:bottom w:val="nil"/>
          <w:right w:val="nil"/>
          <w:between w:val="nil"/>
        </w:pBdr>
        <w:spacing w:before="2" w:line="360" w:lineRule="auto"/>
        <w:ind w:left="140" w:right="145" w:firstLine="708"/>
        <w:jc w:val="both"/>
        <w:rPr>
          <w:sz w:val="28"/>
          <w:szCs w:val="28"/>
          <w:lang w:val="ru-RU"/>
        </w:rPr>
      </w:pPr>
      <w:r w:rsidRPr="00141D91">
        <w:rPr>
          <w:sz w:val="28"/>
          <w:szCs w:val="28"/>
          <w:lang w:val="ru-RU"/>
        </w:rPr>
        <w:t xml:space="preserve">Институциональная логика венчура и </w:t>
      </w:r>
      <w:r w:rsidRPr="00141D91">
        <w:rPr>
          <w:sz w:val="28"/>
          <w:szCs w:val="28"/>
          <w:lang w:val="en-US"/>
        </w:rPr>
        <w:t>PE</w:t>
      </w:r>
      <w:r w:rsidRPr="00141D91">
        <w:rPr>
          <w:sz w:val="28"/>
          <w:szCs w:val="28"/>
          <w:lang w:val="ru-RU"/>
        </w:rPr>
        <w:t xml:space="preserve"> находит продолжение и на этапе первичного публичного размещения, но здесь меняется сама природа контрагента компании: вместо одного информированного, ведущего переговоры инвестора появляется анонимный, распылённый рынок, состоящий из множества частных и институциональных участников, ни один из которых не проводил собственных переговоров об условиях сделки. К. Рок показал, что систематическое занижение цены размещения (</w:t>
      </w:r>
      <w:r w:rsidRPr="00141D91">
        <w:rPr>
          <w:sz w:val="28"/>
          <w:szCs w:val="28"/>
          <w:lang w:val="en-US"/>
        </w:rPr>
        <w:t>underpricing</w:t>
      </w:r>
      <w:r w:rsidRPr="00141D91">
        <w:rPr>
          <w:sz w:val="28"/>
          <w:szCs w:val="28"/>
          <w:lang w:val="ru-RU"/>
        </w:rPr>
        <w:t xml:space="preserve">) — не рыночная аномалия, а рациональная реакция на асимметрию информации между информированными и неинформированными инвесторами: если бы </w:t>
      </w:r>
      <w:r w:rsidRPr="00141D91">
        <w:rPr>
          <w:sz w:val="28"/>
          <w:szCs w:val="28"/>
          <w:lang w:val="en-US"/>
        </w:rPr>
        <w:t>IPO</w:t>
      </w:r>
      <w:r w:rsidRPr="00141D91">
        <w:rPr>
          <w:sz w:val="28"/>
          <w:szCs w:val="28"/>
          <w:lang w:val="ru-RU"/>
        </w:rPr>
        <w:t xml:space="preserve"> всегда оценивались справедливо, неинформированные инвесторы систематически получали бы больше акций именно в переоценённых размещениях (от которых информированные инвесторы отказываются) и меньше — в недооценённых, поэтому организаторы вынуждены закладывать общую </w:t>
      </w:r>
      <w:r w:rsidRPr="00141D91">
        <w:rPr>
          <w:sz w:val="28"/>
          <w:szCs w:val="28"/>
          <w:lang w:val="ru-RU"/>
        </w:rPr>
        <w:lastRenderedPageBreak/>
        <w:t>скидку, чтобы удержать неинформированных участников на рынке (проблема, известная как проклятие победителя)</w:t>
      </w:r>
      <w:r w:rsidR="00D90209">
        <w:rPr>
          <w:rStyle w:val="a7"/>
          <w:sz w:val="28"/>
          <w:szCs w:val="28"/>
          <w:lang w:val="ru-RU"/>
        </w:rPr>
        <w:footnoteReference w:id="151"/>
      </w:r>
      <w:r w:rsidRPr="00141D91">
        <w:rPr>
          <w:sz w:val="28"/>
          <w:szCs w:val="28"/>
          <w:lang w:val="ru-RU"/>
        </w:rPr>
        <w:t>. Х. Лиланд и Д. Пайл предложили альтернативное, но не противоречащее объяснение через сигнальную функцию удерживаемой доли: чем больше акций прежний собственник сохраняет за собой после размещения, тем более качественной он тем самым сигнализирует рынку свою компанию, поскольку не стал бы держать крупную долю в бизнесе, в успех которого сам не верит</w:t>
      </w:r>
      <w:r w:rsidR="00FD382B">
        <w:rPr>
          <w:rStyle w:val="a7"/>
          <w:sz w:val="28"/>
          <w:szCs w:val="28"/>
          <w:lang w:val="ru-RU"/>
        </w:rPr>
        <w:footnoteReference w:id="152"/>
      </w:r>
      <w:r w:rsidRPr="00141D91">
        <w:rPr>
          <w:sz w:val="28"/>
          <w:szCs w:val="28"/>
          <w:lang w:val="ru-RU"/>
        </w:rPr>
        <w:t xml:space="preserve">. Дж. Риттер зафиксировал, что степень </w:t>
      </w:r>
      <w:r w:rsidRPr="00141D91">
        <w:rPr>
          <w:sz w:val="28"/>
          <w:szCs w:val="28"/>
          <w:lang w:val="en-US"/>
        </w:rPr>
        <w:t>underpricing</w:t>
      </w:r>
      <w:r w:rsidRPr="00141D91">
        <w:rPr>
          <w:sz w:val="28"/>
          <w:szCs w:val="28"/>
          <w:lang w:val="ru-RU"/>
        </w:rPr>
        <w:t xml:space="preserve"> не постоянна во времени, а циклична — периоды горячих рынков, когда занижение цены систематически усиливается, сменяются более спокойными периодами</w:t>
      </w:r>
      <w:r w:rsidR="009265A7">
        <w:rPr>
          <w:rStyle w:val="a7"/>
          <w:sz w:val="28"/>
          <w:szCs w:val="28"/>
          <w:lang w:val="ru-RU"/>
        </w:rPr>
        <w:footnoteReference w:id="153"/>
      </w:r>
      <w:r w:rsidRPr="00141D91">
        <w:rPr>
          <w:sz w:val="28"/>
          <w:szCs w:val="28"/>
          <w:lang w:val="ru-RU"/>
        </w:rPr>
        <w:t>. А. Люнгквист с соавторами связали эту цикличность с настроением инвесторов (</w:t>
      </w:r>
      <w:r w:rsidRPr="00141D91">
        <w:rPr>
          <w:sz w:val="28"/>
          <w:szCs w:val="28"/>
          <w:lang w:val="en-US"/>
        </w:rPr>
        <w:t>investor</w:t>
      </w:r>
      <w:r w:rsidRPr="00141D91">
        <w:rPr>
          <w:sz w:val="28"/>
          <w:szCs w:val="28"/>
          <w:lang w:val="ru-RU"/>
        </w:rPr>
        <w:t xml:space="preserve"> </w:t>
      </w:r>
      <w:r w:rsidRPr="00141D91">
        <w:rPr>
          <w:sz w:val="28"/>
          <w:szCs w:val="28"/>
          <w:lang w:val="en-US"/>
        </w:rPr>
        <w:t>sentiment</w:t>
      </w:r>
      <w:r w:rsidRPr="00141D91">
        <w:rPr>
          <w:sz w:val="28"/>
          <w:szCs w:val="28"/>
          <w:lang w:val="ru-RU"/>
        </w:rPr>
        <w:t>), показав, что горячие рынки совпадают с периодами повышенного оптимизма розничных инвесторов</w:t>
      </w:r>
      <w:r w:rsidR="009265A7">
        <w:rPr>
          <w:rStyle w:val="a7"/>
          <w:sz w:val="28"/>
          <w:szCs w:val="28"/>
          <w:lang w:val="ru-RU"/>
        </w:rPr>
        <w:footnoteReference w:id="154"/>
      </w:r>
      <w:r w:rsidRPr="00141D91">
        <w:rPr>
          <w:sz w:val="28"/>
          <w:szCs w:val="28"/>
          <w:lang w:val="ru-RU"/>
        </w:rPr>
        <w:t xml:space="preserve">. </w:t>
      </w:r>
    </w:p>
    <w:p w14:paraId="73457344" w14:textId="6780B2C3" w:rsidR="00141D91" w:rsidRPr="00141D91" w:rsidRDefault="009265A7" w:rsidP="009265A7">
      <w:pPr>
        <w:pBdr>
          <w:top w:val="nil"/>
          <w:left w:val="nil"/>
          <w:bottom w:val="nil"/>
          <w:right w:val="nil"/>
          <w:between w:val="nil"/>
        </w:pBdr>
        <w:spacing w:before="2" w:line="360" w:lineRule="auto"/>
        <w:ind w:left="140" w:right="145" w:firstLine="708"/>
        <w:jc w:val="both"/>
        <w:rPr>
          <w:sz w:val="28"/>
          <w:szCs w:val="28"/>
          <w:lang w:val="ru-RU"/>
        </w:rPr>
      </w:pPr>
      <w:r w:rsidRPr="009265A7">
        <w:rPr>
          <w:sz w:val="28"/>
          <w:szCs w:val="28"/>
        </w:rPr>
        <w:t>Из изложенных концепций очевидно, что формирование цены акции при размещении — процесс, на который влияет множество факторов рынка и сделки, системно не зависящих от фундаментальной готовности самой компании к привлечению капитала: ни модель Рока, ни сигнальная функция Лиланда-Пайла, ни цикличность Риттера и Люнгквиста не измеряют то, что происходит внутри компании до момента размещения, — они объясняют цену как результат взаимодействия информационной асимметрии, рыночного цикла и интересов сторон сделки. Ещё один источник искажения цены лежит в плоскости конфликта интересов между стороной, формирующей ценовые допущения</w:t>
      </w:r>
      <w:r w:rsidR="00D90209" w:rsidRPr="00D90209">
        <w:rPr>
          <w:sz w:val="28"/>
          <w:szCs w:val="28"/>
        </w:rPr>
        <w:t>, и стороной, для которой эти допущения формируются</w:t>
      </w:r>
      <w:r>
        <w:rPr>
          <w:sz w:val="28"/>
          <w:szCs w:val="28"/>
          <w:lang w:val="ru-RU"/>
        </w:rPr>
        <w:t>. То есть</w:t>
      </w:r>
      <w:r w:rsidR="00D90209" w:rsidRPr="00D90209">
        <w:rPr>
          <w:sz w:val="28"/>
          <w:szCs w:val="28"/>
        </w:rPr>
        <w:t xml:space="preserve"> принцип, уже обозначенный в §1.1 применительно к инвестору-архитектору выхода, проявляется и здесь, на этапе самого размещения: организатор, структурирующий книгу заявок, также имеет встроенный стимул к определённому направлению искажения цены, хотя эта проблема, в отличие от exit-architect conflict, уже подробно исследована в литературе об андеррайтинге.</w:t>
      </w:r>
      <w:r w:rsidR="00D90209" w:rsidRPr="00D90209">
        <w:rPr>
          <w:sz w:val="28"/>
          <w:szCs w:val="28"/>
          <w:lang w:val="ru-RU"/>
        </w:rPr>
        <w:t xml:space="preserve"> </w:t>
      </w:r>
      <w:r w:rsidR="00141D91" w:rsidRPr="00141D91">
        <w:rPr>
          <w:sz w:val="28"/>
          <w:szCs w:val="28"/>
          <w:lang w:val="ru-RU"/>
        </w:rPr>
        <w:t xml:space="preserve">Показательно, что вся эта теоретическая традиция </w:t>
      </w:r>
      <w:r w:rsidR="00141D91" w:rsidRPr="00141D91">
        <w:rPr>
          <w:sz w:val="28"/>
          <w:szCs w:val="28"/>
          <w:lang w:val="ru-RU"/>
        </w:rPr>
        <w:lastRenderedPageBreak/>
        <w:t>описывает ценообразование уже в момент самой сделки размещения</w:t>
      </w:r>
      <w:r>
        <w:rPr>
          <w:sz w:val="28"/>
          <w:szCs w:val="28"/>
          <w:lang w:val="ru-RU"/>
        </w:rPr>
        <w:t>,</w:t>
      </w:r>
      <w:r w:rsidR="00141D91" w:rsidRPr="00141D91">
        <w:rPr>
          <w:sz w:val="28"/>
          <w:szCs w:val="28"/>
          <w:lang w:val="ru-RU"/>
        </w:rPr>
        <w:t xml:space="preserve"> то есть то, что происходит в день или неделю </w:t>
      </w:r>
      <w:r w:rsidR="00141D91" w:rsidRPr="00141D91">
        <w:rPr>
          <w:sz w:val="28"/>
          <w:szCs w:val="28"/>
          <w:lang w:val="en-US"/>
        </w:rPr>
        <w:t>IPO</w:t>
      </w:r>
      <w:r w:rsidR="00141D91" w:rsidRPr="00141D91">
        <w:rPr>
          <w:sz w:val="28"/>
          <w:szCs w:val="28"/>
          <w:lang w:val="ru-RU"/>
        </w:rPr>
        <w:t>, а не то, что определяет готовность компании к этому моменту заранее, до начала самого процесса размещения.</w:t>
      </w:r>
    </w:p>
    <w:p w14:paraId="6036A82C" w14:textId="65EE6A57" w:rsidR="00632820" w:rsidRPr="00632820"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 xml:space="preserve">Венчурное финансирование, фонды прямых инвестиций и первичное публичное размещение </w:t>
      </w:r>
      <w:r>
        <w:rPr>
          <w:sz w:val="28"/>
          <w:szCs w:val="28"/>
          <w:lang w:val="ru-RU"/>
        </w:rPr>
        <w:t>как ключевые этапы привлечения капитала</w:t>
      </w:r>
      <w:r w:rsidRPr="00632820">
        <w:rPr>
          <w:sz w:val="28"/>
          <w:szCs w:val="28"/>
          <w:lang w:val="ru-RU"/>
        </w:rPr>
        <w:t xml:space="preserve"> объединены одной и той же фундаментальной проблемой: инвестор или рынок</w:t>
      </w:r>
      <w:r>
        <w:rPr>
          <w:sz w:val="28"/>
          <w:szCs w:val="28"/>
          <w:lang w:val="ru-RU"/>
        </w:rPr>
        <w:t>, являясь</w:t>
      </w:r>
      <w:r w:rsidRPr="00632820">
        <w:rPr>
          <w:sz w:val="28"/>
          <w:szCs w:val="28"/>
          <w:lang w:val="ru-RU"/>
        </w:rPr>
        <w:t xml:space="preserve"> внешн</w:t>
      </w:r>
      <w:r>
        <w:rPr>
          <w:sz w:val="28"/>
          <w:szCs w:val="28"/>
          <w:lang w:val="ru-RU"/>
        </w:rPr>
        <w:t xml:space="preserve">ей </w:t>
      </w:r>
      <w:r w:rsidRPr="00632820">
        <w:rPr>
          <w:sz w:val="28"/>
          <w:szCs w:val="28"/>
          <w:lang w:val="ru-RU"/>
        </w:rPr>
        <w:t>сторон</w:t>
      </w:r>
      <w:r>
        <w:rPr>
          <w:sz w:val="28"/>
          <w:szCs w:val="28"/>
          <w:lang w:val="ru-RU"/>
        </w:rPr>
        <w:t>ой,</w:t>
      </w:r>
      <w:r w:rsidRPr="00632820">
        <w:rPr>
          <w:sz w:val="28"/>
          <w:szCs w:val="28"/>
          <w:lang w:val="ru-RU"/>
        </w:rPr>
        <w:t xml:space="preserve"> не может напрямую проверить</w:t>
      </w:r>
      <w:r>
        <w:rPr>
          <w:sz w:val="28"/>
          <w:szCs w:val="28"/>
          <w:lang w:val="ru-RU"/>
        </w:rPr>
        <w:t xml:space="preserve"> в ходе оценки</w:t>
      </w:r>
      <w:r w:rsidRPr="00632820">
        <w:rPr>
          <w:sz w:val="28"/>
          <w:szCs w:val="28"/>
          <w:lang w:val="ru-RU"/>
        </w:rPr>
        <w:t xml:space="preserve">, насколько компания говорит о себе правду. На венчурном и </w:t>
      </w:r>
      <w:r w:rsidRPr="00632820">
        <w:rPr>
          <w:sz w:val="28"/>
          <w:szCs w:val="28"/>
          <w:lang w:val="en-US"/>
        </w:rPr>
        <w:t>PE</w:t>
      </w:r>
      <w:r w:rsidRPr="00632820">
        <w:rPr>
          <w:sz w:val="28"/>
          <w:szCs w:val="28"/>
          <w:lang w:val="ru-RU"/>
        </w:rPr>
        <w:t>-этапах эту проблему решает мониторинг живого, вовлечённого инвестора</w:t>
      </w:r>
      <w:r>
        <w:rPr>
          <w:sz w:val="28"/>
          <w:szCs w:val="28"/>
          <w:lang w:val="ru-RU"/>
        </w:rPr>
        <w:t>, а</w:t>
      </w:r>
      <w:r w:rsidRPr="00632820">
        <w:rPr>
          <w:sz w:val="28"/>
          <w:szCs w:val="28"/>
          <w:lang w:val="ru-RU"/>
        </w:rPr>
        <w:t xml:space="preserve"> на этапе </w:t>
      </w:r>
      <w:r w:rsidRPr="00632820">
        <w:rPr>
          <w:sz w:val="28"/>
          <w:szCs w:val="28"/>
          <w:lang w:val="en-US"/>
        </w:rPr>
        <w:t>IPO</w:t>
      </w:r>
      <w:r w:rsidRPr="00632820">
        <w:rPr>
          <w:sz w:val="28"/>
          <w:szCs w:val="28"/>
          <w:lang w:val="ru-RU"/>
        </w:rPr>
        <w:t xml:space="preserve"> — цена, которую в итоге формирует рынок. Настоящее исследование предлагает </w:t>
      </w:r>
      <w:r w:rsidRPr="00632820">
        <w:rPr>
          <w:b/>
          <w:bCs/>
          <w:sz w:val="28"/>
          <w:szCs w:val="28"/>
          <w:lang w:val="ru-RU"/>
        </w:rPr>
        <w:t>альренативный</w:t>
      </w:r>
      <w:r w:rsidRPr="00632820">
        <w:rPr>
          <w:sz w:val="28"/>
          <w:szCs w:val="28"/>
          <w:lang w:val="ru-RU"/>
        </w:rPr>
        <w:t xml:space="preserve"> путь: не мониторинг конкретного инвестора и не рыночную цену, а прямое, формализованное </w:t>
      </w:r>
      <w:r>
        <w:rPr>
          <w:sz w:val="28"/>
          <w:szCs w:val="28"/>
          <w:lang w:val="ru-RU"/>
        </w:rPr>
        <w:t xml:space="preserve">и универсальное </w:t>
      </w:r>
      <w:r w:rsidRPr="00632820">
        <w:rPr>
          <w:sz w:val="28"/>
          <w:szCs w:val="28"/>
          <w:lang w:val="ru-RU"/>
        </w:rPr>
        <w:t xml:space="preserve">измерение самой готовности компании быть </w:t>
      </w:r>
      <w:r w:rsidRPr="00632820">
        <w:rPr>
          <w:b/>
          <w:bCs/>
          <w:sz w:val="28"/>
          <w:szCs w:val="28"/>
          <w:lang w:val="ru-RU"/>
        </w:rPr>
        <w:t>достоверно</w:t>
      </w:r>
      <w:r w:rsidRPr="00632820">
        <w:rPr>
          <w:sz w:val="28"/>
          <w:szCs w:val="28"/>
          <w:lang w:val="ru-RU"/>
        </w:rPr>
        <w:t xml:space="preserve"> оценённой — </w:t>
      </w:r>
      <w:r>
        <w:rPr>
          <w:sz w:val="28"/>
          <w:szCs w:val="28"/>
          <w:lang w:val="ru-RU"/>
        </w:rPr>
        <w:t>вне зависимости от</w:t>
      </w:r>
      <w:r w:rsidRPr="00632820">
        <w:rPr>
          <w:sz w:val="28"/>
          <w:szCs w:val="28"/>
          <w:lang w:val="ru-RU"/>
        </w:rPr>
        <w:t xml:space="preserve"> того, подключ</w:t>
      </w:r>
      <w:r w:rsidR="003F6E08">
        <w:rPr>
          <w:sz w:val="28"/>
          <w:szCs w:val="28"/>
          <w:lang w:val="ru-RU"/>
        </w:rPr>
        <w:t>ае</w:t>
      </w:r>
      <w:r w:rsidRPr="00632820">
        <w:rPr>
          <w:sz w:val="28"/>
          <w:szCs w:val="28"/>
          <w:lang w:val="ru-RU"/>
        </w:rPr>
        <w:t>тся инвестор или рынок</w:t>
      </w:r>
      <w:r w:rsidR="003F6E08">
        <w:rPr>
          <w:sz w:val="28"/>
          <w:szCs w:val="28"/>
          <w:lang w:val="ru-RU"/>
        </w:rPr>
        <w:t>, и если подключается, на каком этапе развития компания находится и какой тип финансирования привлекает</w:t>
      </w:r>
      <w:r w:rsidRPr="00632820">
        <w:rPr>
          <w:sz w:val="28"/>
          <w:szCs w:val="28"/>
          <w:lang w:val="ru-RU"/>
        </w:rPr>
        <w:t>. Инструментом этого измерения служат пять факторов.</w:t>
      </w:r>
    </w:p>
    <w:p w14:paraId="7270411F" w14:textId="77777777" w:rsidR="003F6E08"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 xml:space="preserve">Прежде чем переходить к их теоретическому обоснованию, зафиксируем, что именно каждый из них измеряет содержательно. </w:t>
      </w:r>
    </w:p>
    <w:p w14:paraId="44516D27" w14:textId="6E66299B" w:rsidR="003F6E08"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К1 (прозрачность структуры владения и контроля) отвечает на вопрос, кто на самом деле принимает решения в компании и понятна ли эта структура внешнему наблюдателю</w:t>
      </w:r>
      <w:r w:rsidR="003F6E08">
        <w:rPr>
          <w:sz w:val="28"/>
          <w:szCs w:val="28"/>
          <w:lang w:val="ru-RU"/>
        </w:rPr>
        <w:t xml:space="preserve"> и легитимен ли конечный бенефициар</w:t>
      </w:r>
      <w:r w:rsidRPr="00632820">
        <w:rPr>
          <w:sz w:val="28"/>
          <w:szCs w:val="28"/>
          <w:lang w:val="ru-RU"/>
        </w:rPr>
        <w:t xml:space="preserve">. </w:t>
      </w:r>
    </w:p>
    <w:p w14:paraId="097A951A" w14:textId="384D1F07" w:rsidR="003F6E08"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К2 (отсутствие непрозрачных сделок со связанными сторонами) отвечает на вопрос, не выводится ли стоимость из компании в обход интересов внешнего инвестора через операции с аффилированными лицами</w:t>
      </w:r>
      <w:r w:rsidR="003F6E08">
        <w:rPr>
          <w:sz w:val="28"/>
          <w:szCs w:val="28"/>
          <w:lang w:val="ru-RU"/>
        </w:rPr>
        <w:t xml:space="preserve"> или, наоборот, не завышается ли искуственно выручка и прибыль за счет внутрегрупповых оборотов, не создающих реальной добавленной стоимости</w:t>
      </w:r>
      <w:r w:rsidRPr="00632820">
        <w:rPr>
          <w:sz w:val="28"/>
          <w:szCs w:val="28"/>
          <w:lang w:val="ru-RU"/>
        </w:rPr>
        <w:t xml:space="preserve">. </w:t>
      </w:r>
    </w:p>
    <w:p w14:paraId="4383145F" w14:textId="77777777" w:rsidR="003F6E08"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 xml:space="preserve">К3 (зрелость аудированной финансовой отчётности) отвечает на вопрос, подтверждены ли данные о компании независимой третьей стороной, а не только словами самой компании. </w:t>
      </w:r>
    </w:p>
    <w:p w14:paraId="2B268B6B" w14:textId="1F82A587" w:rsidR="003F6E08" w:rsidRPr="00E012C1"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 xml:space="preserve">К4 (точность и история финансового планирования) отвечает на вопрос, </w:t>
      </w:r>
      <w:r w:rsidR="00A3409F" w:rsidRPr="00A3409F">
        <w:rPr>
          <w:sz w:val="28"/>
          <w:szCs w:val="28"/>
        </w:rPr>
        <w:t xml:space="preserve">насколько стратегия компании оказывается реализуемой на практике, то есть </w:t>
      </w:r>
      <w:r w:rsidR="00A3409F" w:rsidRPr="00A3409F">
        <w:rPr>
          <w:sz w:val="28"/>
          <w:szCs w:val="28"/>
        </w:rPr>
        <w:lastRenderedPageBreak/>
        <w:t xml:space="preserve">соответствуют ли фактические результаты ранее заложенным в стратегию финансовым прогнозам, </w:t>
      </w:r>
      <w:r w:rsidR="00A3409F">
        <w:rPr>
          <w:sz w:val="28"/>
          <w:szCs w:val="28"/>
          <w:lang w:val="ru-RU"/>
        </w:rPr>
        <w:t>и, соответственно</w:t>
      </w:r>
      <w:r w:rsidR="00A3409F" w:rsidRPr="00A3409F">
        <w:rPr>
          <w:sz w:val="28"/>
          <w:szCs w:val="28"/>
        </w:rPr>
        <w:t>, можно ли доверять будущим прогнозным ориентирам компании.</w:t>
      </w:r>
      <w:r w:rsidR="00E012C1">
        <w:rPr>
          <w:sz w:val="28"/>
          <w:szCs w:val="28"/>
          <w:lang w:val="ru-RU"/>
        </w:rPr>
        <w:t xml:space="preserve"> </w:t>
      </w:r>
      <w:r w:rsidR="00E012C1" w:rsidRPr="00E012C1">
        <w:rPr>
          <w:sz w:val="28"/>
          <w:szCs w:val="28"/>
        </w:rPr>
        <w:t>Отсутствие тако</w:t>
      </w:r>
      <w:r w:rsidR="00E012C1">
        <w:rPr>
          <w:sz w:val="28"/>
          <w:szCs w:val="28"/>
          <w:lang w:val="ru-RU"/>
        </w:rPr>
        <w:t>го финансового прогноза</w:t>
      </w:r>
      <w:r w:rsidR="00E012C1" w:rsidRPr="00E012C1">
        <w:rPr>
          <w:sz w:val="28"/>
          <w:szCs w:val="28"/>
        </w:rPr>
        <w:t xml:space="preserve"> редко связано только с объективной волатильностью бизнеса — чаще оно отражает управленческую незрелость: отсутствие в компании самой инфраструктуры финансового планирования (финансовой модели, системы план-факт анализа, функции финансового менеджмента, отделённой от бухгалтерского учёта) — либо потому, что собственник или менеджмент не осознают её необходимость, либо потому, что считают инвестиции в соответствующие компетенции неоправданными.</w:t>
      </w:r>
    </w:p>
    <w:p w14:paraId="2BDE788D" w14:textId="695F8A06" w:rsidR="00632820"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К5 (предсказуемость и формализованность подхода компании к распределению прибыли) отвечает на вопрос, действует ли компания по понятным, заранее объявленным правилам в отношении заработанных денег, или решения принимаются произвольно, от случая к случаю.</w:t>
      </w:r>
      <w:r w:rsidR="006C4947" w:rsidRPr="006C4947">
        <w:rPr>
          <w:sz w:val="28"/>
          <w:szCs w:val="28"/>
          <w:lang w:val="ru-RU"/>
        </w:rPr>
        <w:t xml:space="preserve"> </w:t>
      </w:r>
      <w:r w:rsidR="006C4947">
        <w:rPr>
          <w:sz w:val="28"/>
          <w:szCs w:val="28"/>
          <w:lang w:val="ru-RU"/>
        </w:rPr>
        <w:t>Графическое изображение пяти факторов приведено на рисунке 1.7.</w:t>
      </w:r>
    </w:p>
    <w:p w14:paraId="45F0DA67" w14:textId="0DEA245E" w:rsidR="006C4947" w:rsidRPr="006C4947" w:rsidRDefault="006C4947" w:rsidP="006C4947">
      <w:pPr>
        <w:pBdr>
          <w:top w:val="nil"/>
          <w:left w:val="nil"/>
          <w:bottom w:val="nil"/>
          <w:right w:val="nil"/>
          <w:between w:val="nil"/>
        </w:pBdr>
        <w:spacing w:before="2" w:line="360" w:lineRule="auto"/>
        <w:ind w:left="140" w:right="145" w:firstLine="708"/>
        <w:jc w:val="both"/>
        <w:rPr>
          <w:sz w:val="28"/>
          <w:szCs w:val="28"/>
          <w:lang w:val="ru-RU"/>
        </w:rPr>
      </w:pPr>
      <w:r w:rsidRPr="006C4947">
        <w:rPr>
          <w:sz w:val="28"/>
          <w:szCs w:val="28"/>
          <w:lang w:val="ru-RU"/>
        </w:rPr>
        <w:t>Рисунок 1.</w:t>
      </w:r>
      <w:r>
        <w:rPr>
          <w:sz w:val="28"/>
          <w:szCs w:val="28"/>
          <w:lang w:val="ru-RU"/>
        </w:rPr>
        <w:t>7</w:t>
      </w:r>
      <w:r w:rsidRPr="006C4947">
        <w:rPr>
          <w:sz w:val="28"/>
          <w:szCs w:val="28"/>
          <w:lang w:val="ru-RU"/>
        </w:rPr>
        <w:t xml:space="preserve"> – Пять факторов инвестиционной готовности компании</w:t>
      </w:r>
    </w:p>
    <w:p w14:paraId="7A0A918E" w14:textId="77777777" w:rsidR="006C4947" w:rsidRDefault="006C4947" w:rsidP="00632820">
      <w:pPr>
        <w:pBdr>
          <w:top w:val="nil"/>
          <w:left w:val="nil"/>
          <w:bottom w:val="nil"/>
          <w:right w:val="nil"/>
          <w:between w:val="nil"/>
        </w:pBdr>
        <w:spacing w:before="2" w:line="360" w:lineRule="auto"/>
        <w:ind w:left="140" w:right="145" w:firstLine="708"/>
        <w:jc w:val="both"/>
        <w:rPr>
          <w:sz w:val="28"/>
          <w:szCs w:val="28"/>
          <w:lang w:val="ru-RU"/>
        </w:rPr>
      </w:pPr>
    </w:p>
    <w:p w14:paraId="38571E9D" w14:textId="580B898A" w:rsidR="006C4947" w:rsidRDefault="006C4947" w:rsidP="006C4947">
      <w:pPr>
        <w:pBdr>
          <w:top w:val="nil"/>
          <w:left w:val="nil"/>
          <w:bottom w:val="nil"/>
          <w:right w:val="nil"/>
          <w:between w:val="nil"/>
        </w:pBdr>
        <w:spacing w:before="2" w:line="360" w:lineRule="auto"/>
        <w:ind w:right="145"/>
        <w:jc w:val="center"/>
        <w:rPr>
          <w:sz w:val="28"/>
          <w:szCs w:val="28"/>
          <w:lang w:val="ru-RU"/>
        </w:rPr>
      </w:pPr>
      <w:r w:rsidRPr="006C4947">
        <w:rPr>
          <w:noProof/>
          <w:sz w:val="28"/>
          <w:szCs w:val="28"/>
          <w:lang w:val="ru-RU" w:eastAsia="ru-RU"/>
        </w:rPr>
        <w:lastRenderedPageBreak/>
        <w:drawing>
          <wp:inline distT="0" distB="0" distL="0" distR="0" wp14:anchorId="4DA85FB5" wp14:editId="40E70C49">
            <wp:extent cx="6483350" cy="4793615"/>
            <wp:effectExtent l="6667" t="0" r="318" b="317"/>
            <wp:docPr id="4733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1149" name=""/>
                    <pic:cNvPicPr/>
                  </pic:nvPicPr>
                  <pic:blipFill>
                    <a:blip r:embed="rId19"/>
                    <a:stretch>
                      <a:fillRect/>
                    </a:stretch>
                  </pic:blipFill>
                  <pic:spPr>
                    <a:xfrm rot="16200000">
                      <a:off x="0" y="0"/>
                      <a:ext cx="6483350" cy="4793615"/>
                    </a:xfrm>
                    <a:prstGeom prst="rect">
                      <a:avLst/>
                    </a:prstGeom>
                  </pic:spPr>
                </pic:pic>
              </a:graphicData>
            </a:graphic>
          </wp:inline>
        </w:drawing>
      </w:r>
    </w:p>
    <w:p w14:paraId="5E4CD612" w14:textId="5625DDDE" w:rsidR="006C4947" w:rsidRPr="006C6A2D" w:rsidRDefault="006C4947" w:rsidP="006C4947">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Источник</w:t>
      </w:r>
      <w:r w:rsidRPr="006C6A2D">
        <w:rPr>
          <w:sz w:val="28"/>
          <w:szCs w:val="28"/>
          <w:lang w:val="ru-RU"/>
        </w:rPr>
        <w:t xml:space="preserve">: </w:t>
      </w:r>
      <w:r>
        <w:rPr>
          <w:sz w:val="28"/>
          <w:szCs w:val="28"/>
          <w:lang w:val="en-US"/>
        </w:rPr>
        <w:t>c</w:t>
      </w:r>
      <w:r w:rsidRPr="006C6A2D">
        <w:rPr>
          <w:sz w:val="28"/>
          <w:szCs w:val="28"/>
          <w:lang w:val="ru-RU"/>
        </w:rPr>
        <w:t>оставлено автором.</w:t>
      </w:r>
    </w:p>
    <w:p w14:paraId="10C38787" w14:textId="77777777" w:rsidR="00632820" w:rsidRPr="00632820"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Ни один из этих пяти вопросов не выбран произвольно — каждый прямо следует из одной из двух теоретических традиций, объясняющих, почему рынок систематически недооценивает компании с непрозрачной структурой владения и неполным раскрытием информации.</w:t>
      </w:r>
    </w:p>
    <w:p w14:paraId="089FE015" w14:textId="283C01EE" w:rsidR="0016401A" w:rsidRPr="0016401A" w:rsidRDefault="007C5437" w:rsidP="0016401A">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Одной из таких теоретических традиций является т</w:t>
      </w:r>
      <w:r w:rsidR="00632820" w:rsidRPr="00632820">
        <w:rPr>
          <w:sz w:val="28"/>
          <w:szCs w:val="28"/>
          <w:lang w:val="ru-RU"/>
        </w:rPr>
        <w:t>еория агентских издержек М. Дженсена и У. Меклинга</w:t>
      </w:r>
      <w:r w:rsidR="00A3409F">
        <w:rPr>
          <w:rStyle w:val="a7"/>
          <w:sz w:val="28"/>
          <w:szCs w:val="28"/>
          <w:lang w:val="ru-RU"/>
        </w:rPr>
        <w:footnoteReference w:id="155"/>
      </w:r>
      <w:r>
        <w:rPr>
          <w:sz w:val="28"/>
          <w:szCs w:val="28"/>
          <w:lang w:val="ru-RU"/>
        </w:rPr>
        <w:t>. Она</w:t>
      </w:r>
      <w:r w:rsidR="00632820" w:rsidRPr="00632820">
        <w:rPr>
          <w:sz w:val="28"/>
          <w:szCs w:val="28"/>
          <w:lang w:val="ru-RU"/>
        </w:rPr>
        <w:t xml:space="preserve"> </w:t>
      </w:r>
      <w:r w:rsidRPr="007C5437">
        <w:rPr>
          <w:sz w:val="28"/>
          <w:szCs w:val="28"/>
          <w:lang w:val="ru-RU"/>
        </w:rPr>
        <w:t xml:space="preserve">определяет агентские отношения как ситуацию, </w:t>
      </w:r>
      <w:r w:rsidRPr="007C5437">
        <w:rPr>
          <w:sz w:val="28"/>
          <w:szCs w:val="28"/>
          <w:lang w:val="ru-RU"/>
        </w:rPr>
        <w:lastRenderedPageBreak/>
        <w:t xml:space="preserve">в которой один участник (принципал) поручает другому </w:t>
      </w:r>
      <w:r>
        <w:rPr>
          <w:sz w:val="28"/>
          <w:szCs w:val="28"/>
          <w:lang w:val="ru-RU"/>
        </w:rPr>
        <w:t xml:space="preserve">участнику </w:t>
      </w:r>
      <w:r w:rsidRPr="007C5437">
        <w:rPr>
          <w:sz w:val="28"/>
          <w:szCs w:val="28"/>
          <w:lang w:val="ru-RU"/>
        </w:rPr>
        <w:t>(агенту) действовать в своих интересах, делегируя ему часть полномочий по принятию решений</w:t>
      </w:r>
      <w:r>
        <w:rPr>
          <w:sz w:val="28"/>
          <w:szCs w:val="28"/>
          <w:lang w:val="ru-RU"/>
        </w:rPr>
        <w:t xml:space="preserve">. Далее в ней обосновывается неизбежное расхождение </w:t>
      </w:r>
      <w:r w:rsidRPr="007C5437">
        <w:rPr>
          <w:sz w:val="28"/>
          <w:szCs w:val="28"/>
          <w:lang w:val="ru-RU"/>
        </w:rPr>
        <w:t>интерес</w:t>
      </w:r>
      <w:r>
        <w:rPr>
          <w:sz w:val="28"/>
          <w:szCs w:val="28"/>
          <w:lang w:val="ru-RU"/>
        </w:rPr>
        <w:t>ов</w:t>
      </w:r>
      <w:r w:rsidRPr="007C5437">
        <w:rPr>
          <w:sz w:val="28"/>
          <w:szCs w:val="28"/>
          <w:lang w:val="ru-RU"/>
        </w:rPr>
        <w:t xml:space="preserve"> агента и принципала, потому что агент, распоряжаясь чужими ресурсами, не несёт полных издержек своих решений. Дженсен и Меклинг выделяют три составляющих агентских издержек: издержки мониторинга (расходы принципала на контроль за действиями агента), издержки самоограничения (расходы, которые агент сам готов понести, чтобы убедить принципала в добросовестности своих намерений) и остаточные потери (та часть расхождения интересов, которую ни мониторинг, ни самоограничение полностью не устраняют). </w:t>
      </w:r>
      <w:r w:rsidR="0016401A" w:rsidRPr="0016401A">
        <w:rPr>
          <w:sz w:val="28"/>
          <w:szCs w:val="28"/>
          <w:lang w:val="ru-RU"/>
        </w:rPr>
        <w:t>Обзор наследия Дженсена, подготовленный Мэдденом и Стивенсом</w:t>
      </w:r>
      <w:r w:rsidR="0016401A">
        <w:rPr>
          <w:rStyle w:val="a7"/>
          <w:sz w:val="28"/>
          <w:szCs w:val="28"/>
          <w:lang w:val="ru-RU"/>
        </w:rPr>
        <w:footnoteReference w:id="156"/>
      </w:r>
      <w:r w:rsidR="0016401A" w:rsidRPr="0016401A">
        <w:rPr>
          <w:sz w:val="28"/>
          <w:szCs w:val="28"/>
          <w:lang w:val="ru-RU"/>
        </w:rPr>
        <w:t>, показывает, что агентские отношения возникают на всех уровнях управления и во всех типах организаций, а не только в классической паре акционер — нанятый менеджер, что оправдывает применение той же логики к более широкому кругу ситуаций расхождения интересов, включая отношения между контролирующим собственником компании и внешней стороной, ещё не вошедшей в её капитал</w:t>
      </w:r>
      <w:r w:rsidR="0016401A">
        <w:rPr>
          <w:sz w:val="28"/>
          <w:szCs w:val="28"/>
          <w:lang w:val="ru-RU"/>
        </w:rPr>
        <w:t xml:space="preserve">, </w:t>
      </w:r>
      <w:r w:rsidR="0016401A" w:rsidRPr="0016401A">
        <w:rPr>
          <w:sz w:val="28"/>
          <w:szCs w:val="28"/>
        </w:rPr>
        <w:t>будь то венчурный или PE-инвестор на более ранних этапах, либо институциональный и розничный покупатель на рынке IPO</w:t>
      </w:r>
      <w:r w:rsidR="0016401A" w:rsidRPr="0016401A">
        <w:rPr>
          <w:sz w:val="28"/>
          <w:szCs w:val="28"/>
          <w:lang w:val="ru-RU"/>
        </w:rPr>
        <w:t>.</w:t>
      </w:r>
    </w:p>
    <w:p w14:paraId="3645A5FC" w14:textId="77777777" w:rsidR="007C5437" w:rsidRPr="007C5437" w:rsidRDefault="007C5437" w:rsidP="007C5437">
      <w:pPr>
        <w:pBdr>
          <w:top w:val="nil"/>
          <w:left w:val="nil"/>
          <w:bottom w:val="nil"/>
          <w:right w:val="nil"/>
          <w:between w:val="nil"/>
        </w:pBdr>
        <w:spacing w:before="2" w:line="360" w:lineRule="auto"/>
        <w:ind w:left="140" w:right="145" w:firstLine="708"/>
        <w:jc w:val="both"/>
        <w:rPr>
          <w:sz w:val="28"/>
          <w:szCs w:val="28"/>
          <w:lang w:val="ru-RU"/>
        </w:rPr>
      </w:pPr>
      <w:r w:rsidRPr="007C5437">
        <w:rPr>
          <w:sz w:val="28"/>
          <w:szCs w:val="28"/>
          <w:lang w:val="ru-RU"/>
        </w:rPr>
        <w:t>Из этой теории напрямую вытекают первые два фактора. Дженсен и Меклинг показывают: чем менее наблюдаема для внешней стороны структура контроля, тем выше остаточные потери — та часть расхождения интересов, которую не устраняют ни мониторинг, ни самоограничение. К1 (прозрачность структуры владения и контроля) измеряет именно эту наблюдаемость: кто на самом деле принимает решения в компании, понятна ли эта структура внешнему наблюдателю и легитимен ли сам конечный бенефициар.</w:t>
      </w:r>
    </w:p>
    <w:p w14:paraId="408FFBF1" w14:textId="3A7566BC" w:rsidR="007C5437" w:rsidRPr="0016401A" w:rsidRDefault="007C5437" w:rsidP="0016401A">
      <w:pPr>
        <w:pBdr>
          <w:top w:val="nil"/>
          <w:left w:val="nil"/>
          <w:bottom w:val="nil"/>
          <w:right w:val="nil"/>
          <w:between w:val="nil"/>
        </w:pBdr>
        <w:spacing w:before="2" w:line="360" w:lineRule="auto"/>
        <w:ind w:left="140" w:right="145" w:firstLine="708"/>
        <w:jc w:val="both"/>
        <w:rPr>
          <w:sz w:val="28"/>
          <w:szCs w:val="28"/>
          <w:lang w:val="ru-RU"/>
        </w:rPr>
      </w:pPr>
      <w:r w:rsidRPr="007C5437">
        <w:rPr>
          <w:sz w:val="28"/>
          <w:szCs w:val="28"/>
          <w:lang w:val="ru-RU"/>
        </w:rPr>
        <w:t xml:space="preserve">Дженсен и Меклинг показывают и другое: агент, распоряжаясь чужими ресурсами, не несёт полных издержек своих решений — а значит, у контролирующего собственника есть прямой стимул использовать своё положение для перераспределения стоимости в свою пользу. К2 (отсутствие непрозрачных </w:t>
      </w:r>
      <w:r w:rsidRPr="007C5437">
        <w:rPr>
          <w:sz w:val="28"/>
          <w:szCs w:val="28"/>
          <w:lang w:val="ru-RU"/>
        </w:rPr>
        <w:lastRenderedPageBreak/>
        <w:t>сделок со связанными сторонами) измеряет именно этот канал перераспределения: искажается ли реальная финансовая картина компании через операции с аффилированными лицами — будь то вывод стоимости из компании в обход интересов внешнего инвестора, либо, напротив, искусственное завышение выручки и прибыли за счёт внутригрупповых оборотов, не создающих реальной добавленной стоимости.</w:t>
      </w:r>
      <w:r w:rsidRPr="0016401A">
        <w:rPr>
          <w:sz w:val="28"/>
          <w:szCs w:val="28"/>
          <w:lang w:val="ru-RU"/>
        </w:rPr>
        <w:t xml:space="preserve"> </w:t>
      </w:r>
    </w:p>
    <w:p w14:paraId="391911C7" w14:textId="07A7821D" w:rsidR="00C82BB8" w:rsidRPr="007E66B2" w:rsidRDefault="0016401A" w:rsidP="00C82BB8">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Второй теоретической традицией является т</w:t>
      </w:r>
      <w:r w:rsidR="00632820" w:rsidRPr="00632820">
        <w:rPr>
          <w:sz w:val="28"/>
          <w:szCs w:val="28"/>
          <w:lang w:val="ru-RU"/>
        </w:rPr>
        <w:t>еория информационной асимметрии</w:t>
      </w:r>
      <w:r>
        <w:rPr>
          <w:sz w:val="28"/>
          <w:szCs w:val="28"/>
          <w:lang w:val="ru-RU"/>
        </w:rPr>
        <w:t xml:space="preserve">. Она </w:t>
      </w:r>
      <w:r w:rsidR="00885832">
        <w:rPr>
          <w:sz w:val="28"/>
          <w:szCs w:val="28"/>
          <w:lang w:val="ru-RU"/>
        </w:rPr>
        <w:t>объясняет через разные свои ветви</w:t>
      </w:r>
      <w:r w:rsidR="00632820" w:rsidRPr="00632820">
        <w:rPr>
          <w:sz w:val="28"/>
          <w:szCs w:val="28"/>
          <w:lang w:val="ru-RU"/>
        </w:rPr>
        <w:t xml:space="preserve">, почему сторона, владеющая частной информацией, вынуждена нести издержки, чтобы правдоподобно её подтвердить. </w:t>
      </w:r>
      <w:r w:rsidR="00885832">
        <w:rPr>
          <w:sz w:val="28"/>
          <w:szCs w:val="28"/>
          <w:lang w:val="ru-RU"/>
        </w:rPr>
        <w:t xml:space="preserve">Так, </w:t>
      </w:r>
      <w:r w:rsidR="00632820" w:rsidRPr="00632820">
        <w:rPr>
          <w:sz w:val="28"/>
          <w:szCs w:val="28"/>
          <w:lang w:val="ru-RU"/>
        </w:rPr>
        <w:t>К3 вытекает из модели рынка лимонов Дж. Акерлофа</w:t>
      </w:r>
      <w:r w:rsidR="00885832">
        <w:rPr>
          <w:rStyle w:val="a7"/>
          <w:sz w:val="28"/>
          <w:szCs w:val="28"/>
          <w:lang w:val="ru-RU"/>
        </w:rPr>
        <w:footnoteReference w:id="157"/>
      </w:r>
      <w:r w:rsidR="00632820" w:rsidRPr="00632820">
        <w:rPr>
          <w:sz w:val="28"/>
          <w:szCs w:val="28"/>
          <w:lang w:val="ru-RU"/>
        </w:rPr>
        <w:t>: независимый аудит — тот самый механизм проверки качества, отсутствие которого приводит к тому, что рынок отбирает только худших продавцов. К4 обосновывается сигнальной моделью М. Спенса</w:t>
      </w:r>
      <w:r w:rsidR="00885832">
        <w:rPr>
          <w:rStyle w:val="a7"/>
          <w:sz w:val="28"/>
          <w:szCs w:val="28"/>
          <w:lang w:val="ru-RU"/>
        </w:rPr>
        <w:footnoteReference w:id="158"/>
      </w:r>
      <w:r w:rsidR="00632820" w:rsidRPr="00632820">
        <w:rPr>
          <w:sz w:val="28"/>
          <w:szCs w:val="28"/>
          <w:lang w:val="ru-RU"/>
        </w:rPr>
        <w:t xml:space="preserve">: </w:t>
      </w:r>
      <w:r w:rsidR="00D16A07" w:rsidRPr="00D16A07">
        <w:rPr>
          <w:sz w:val="28"/>
          <w:szCs w:val="28"/>
        </w:rPr>
        <w:t>совпадение фактических результатов с ранее заявленными прогнозами — дорогой сигнал, потому что компании со слабым бизнесом такое совпадение обходится дороже, чем компании с устойчивым бизнесом</w:t>
      </w:r>
      <w:r w:rsidR="00632820" w:rsidRPr="00632820">
        <w:rPr>
          <w:sz w:val="28"/>
          <w:szCs w:val="28"/>
          <w:lang w:val="ru-RU"/>
        </w:rPr>
        <w:t>. К5</w:t>
      </w:r>
      <w:r w:rsidR="00C82BB8" w:rsidRPr="00C82BB8">
        <w:rPr>
          <w:sz w:val="28"/>
          <w:szCs w:val="28"/>
        </w:rPr>
        <w:t xml:space="preserve"> </w:t>
      </w:r>
      <w:r w:rsidR="00C82BB8" w:rsidRPr="00C82BB8">
        <w:rPr>
          <w:sz w:val="28"/>
          <w:szCs w:val="28"/>
          <w:lang w:val="ru-RU"/>
        </w:rPr>
        <w:t>обосновывается эмпирическими исследованиями дивидендной политики непубличных компаний. Р. Михаэли и М. Робертс</w:t>
      </w:r>
      <w:r w:rsidR="00C82BB8">
        <w:rPr>
          <w:rStyle w:val="a7"/>
          <w:sz w:val="28"/>
          <w:szCs w:val="28"/>
          <w:lang w:val="ru-RU"/>
        </w:rPr>
        <w:footnoteReference w:id="159"/>
      </w:r>
      <w:r w:rsidR="00C82BB8" w:rsidRPr="00C82BB8">
        <w:rPr>
          <w:sz w:val="28"/>
          <w:szCs w:val="28"/>
          <w:lang w:val="ru-RU"/>
        </w:rPr>
        <w:t xml:space="preserve">, сравнив дивидендную политику публичных и непубличных компаний, показали, что непубличные компании значительно реже сглаживают дивидендные выплаты (то есть поддерживают стабильный, плавно меняющийся размер дивиденда, не привязывая его напрямую к резким колебаниям текущей прибыли). </w:t>
      </w:r>
      <w:r w:rsidR="00C82BB8">
        <w:rPr>
          <w:sz w:val="28"/>
          <w:szCs w:val="28"/>
          <w:lang w:val="ru-RU"/>
        </w:rPr>
        <w:t>Э</w:t>
      </w:r>
      <w:r w:rsidR="00C82BB8" w:rsidRPr="00C82BB8">
        <w:rPr>
          <w:sz w:val="28"/>
          <w:szCs w:val="28"/>
          <w:lang w:val="ru-RU"/>
        </w:rPr>
        <w:t xml:space="preserve">то происходит именно из-за отсутствия внешнего контроля со стороны публичных рынков капитала, вознаграждающих стабильность и наказывающих резкие скачки падением цены акций. Иными словами, предсказуемость дивидендной политики не возникает у непубличной компании сама собой, а требует целенаправленного управленческого решения. </w:t>
      </w:r>
      <w:r w:rsidR="00727087">
        <w:rPr>
          <w:sz w:val="28"/>
          <w:szCs w:val="28"/>
          <w:lang w:val="ru-RU"/>
        </w:rPr>
        <w:t>Р. Ла Порта</w:t>
      </w:r>
      <w:r w:rsidR="00C82BB8" w:rsidRPr="00C82BB8">
        <w:rPr>
          <w:sz w:val="28"/>
          <w:szCs w:val="28"/>
          <w:lang w:val="ru-RU"/>
        </w:rPr>
        <w:t xml:space="preserve"> с соавторами</w:t>
      </w:r>
      <w:r w:rsidR="00F75582">
        <w:rPr>
          <w:rStyle w:val="a7"/>
          <w:sz w:val="28"/>
          <w:szCs w:val="28"/>
          <w:lang w:val="ru-RU"/>
        </w:rPr>
        <w:footnoteReference w:id="160"/>
      </w:r>
      <w:r w:rsidR="00C82BB8" w:rsidRPr="00C82BB8">
        <w:rPr>
          <w:sz w:val="28"/>
          <w:szCs w:val="28"/>
          <w:lang w:val="ru-RU"/>
        </w:rPr>
        <w:t xml:space="preserve"> независимо показывают на </w:t>
      </w:r>
      <w:r w:rsidR="00C82BB8" w:rsidRPr="00C82BB8">
        <w:rPr>
          <w:sz w:val="28"/>
          <w:szCs w:val="28"/>
          <w:lang w:val="ru-RU"/>
        </w:rPr>
        <w:lastRenderedPageBreak/>
        <w:t>международной выборке, что формализованная дивидендная политика служит механизмом, ограничивающим произвольное распоряжение контролирующего собственника свободным денежным потоком в ущерб внешнему инвестору, то есть измеряет ту же агентскую проблему, что и К1-К2, но применительно к распределению уже заработанной прибыли, а не к структуре владения или сделкам со связанными сторонами.</w:t>
      </w:r>
      <w:r w:rsidR="00F75582" w:rsidRPr="00F75582">
        <w:rPr>
          <w:sz w:val="20"/>
          <w:szCs w:val="20"/>
          <w:lang w:val="ru-RU"/>
        </w:rPr>
        <w:t xml:space="preserve"> </w:t>
      </w:r>
    </w:p>
    <w:p w14:paraId="6F2B5BAF" w14:textId="3C87BD0C" w:rsidR="00632820" w:rsidRPr="00632820" w:rsidRDefault="00632820" w:rsidP="00632820">
      <w:pPr>
        <w:pBdr>
          <w:top w:val="nil"/>
          <w:left w:val="nil"/>
          <w:bottom w:val="nil"/>
          <w:right w:val="nil"/>
          <w:between w:val="nil"/>
        </w:pBdr>
        <w:spacing w:before="2" w:line="360" w:lineRule="auto"/>
        <w:ind w:left="140" w:right="145" w:firstLine="708"/>
        <w:jc w:val="both"/>
        <w:rPr>
          <w:sz w:val="28"/>
          <w:szCs w:val="28"/>
          <w:lang w:val="ru-RU"/>
        </w:rPr>
      </w:pPr>
      <w:r w:rsidRPr="00632820">
        <w:rPr>
          <w:sz w:val="28"/>
          <w:szCs w:val="28"/>
          <w:lang w:val="ru-RU"/>
        </w:rPr>
        <w:t>Таким образом, набор из пяти факторов не является произвольным перечнем: К1 и К2 отвечают на вопрос, кто контролирует компанию и в чьих интересах, а К3</w:t>
      </w:r>
      <w:r w:rsidR="00D16A07">
        <w:rPr>
          <w:sz w:val="28"/>
          <w:szCs w:val="28"/>
          <w:lang w:val="ru-RU"/>
        </w:rPr>
        <w:t xml:space="preserve">, </w:t>
      </w:r>
      <w:r w:rsidR="00D16A07" w:rsidRPr="00632820">
        <w:rPr>
          <w:sz w:val="28"/>
          <w:szCs w:val="28"/>
          <w:lang w:val="ru-RU"/>
        </w:rPr>
        <w:t>К</w:t>
      </w:r>
      <w:r w:rsidR="00D16A07">
        <w:rPr>
          <w:sz w:val="28"/>
          <w:szCs w:val="28"/>
          <w:lang w:val="ru-RU"/>
        </w:rPr>
        <w:t xml:space="preserve">4 и </w:t>
      </w:r>
      <w:r w:rsidRPr="00632820">
        <w:rPr>
          <w:sz w:val="28"/>
          <w:szCs w:val="28"/>
          <w:lang w:val="ru-RU"/>
        </w:rPr>
        <w:t>К5 — на вопрос, можно ли верить тому, что компания сообщает о себе, — и оба вопроса вместе покрывают ту же проблему доверия к данным, которую на предыдущих этапах решали инвестор через мониторинг и рынок через цену.</w:t>
      </w:r>
      <w:r w:rsidRPr="00632820">
        <w:rPr>
          <w:sz w:val="28"/>
          <w:szCs w:val="28"/>
          <w:lang w:val="en-US"/>
        </w:rPr>
        <w:t> </w:t>
      </w:r>
      <w:r w:rsidRPr="00632820">
        <w:rPr>
          <w:sz w:val="28"/>
          <w:szCs w:val="28"/>
          <w:lang w:val="ru-RU"/>
        </w:rPr>
        <w:t>Пять факторов, теоретически обоснованные в настоящем параграфе, требуют формализованного расчётного инструмента, в который они встраиваются, — метода дисконтированных денежных потоков, теоретические основы которого рассматриваются в следующем параграфе.</w:t>
      </w:r>
    </w:p>
    <w:p w14:paraId="153F82C4" w14:textId="77777777" w:rsidR="00BD7403" w:rsidRPr="007E66B2" w:rsidRDefault="00BD7403" w:rsidP="006D792A">
      <w:pPr>
        <w:pBdr>
          <w:top w:val="nil"/>
          <w:left w:val="nil"/>
          <w:bottom w:val="nil"/>
          <w:right w:val="nil"/>
          <w:between w:val="nil"/>
        </w:pBdr>
        <w:tabs>
          <w:tab w:val="left" w:pos="1491"/>
        </w:tabs>
        <w:spacing w:line="360" w:lineRule="auto"/>
        <w:ind w:left="848" w:right="141"/>
        <w:jc w:val="both"/>
        <w:rPr>
          <w:i/>
          <w:iCs/>
          <w:color w:val="808080" w:themeColor="background1" w:themeShade="80"/>
          <w:sz w:val="24"/>
          <w:szCs w:val="24"/>
          <w:lang w:val="ru-RU"/>
        </w:rPr>
      </w:pPr>
    </w:p>
    <w:p w14:paraId="1C1F26BB" w14:textId="5AF6F5D7" w:rsidR="00A63D1B" w:rsidRPr="008D42EC" w:rsidRDefault="002E7C78">
      <w:pPr>
        <w:numPr>
          <w:ilvl w:val="1"/>
          <w:numId w:val="3"/>
        </w:numPr>
        <w:pBdr>
          <w:top w:val="nil"/>
          <w:left w:val="nil"/>
          <w:bottom w:val="nil"/>
          <w:right w:val="nil"/>
          <w:between w:val="nil"/>
        </w:pBdr>
        <w:tabs>
          <w:tab w:val="left" w:pos="1345"/>
        </w:tabs>
        <w:spacing w:line="360" w:lineRule="auto"/>
        <w:ind w:right="146" w:firstLine="708"/>
        <w:jc w:val="both"/>
        <w:rPr>
          <w:i/>
          <w:iCs/>
          <w:color w:val="808080" w:themeColor="background1" w:themeShade="80"/>
          <w:sz w:val="24"/>
          <w:szCs w:val="24"/>
        </w:rPr>
      </w:pPr>
      <w:r w:rsidRPr="002E7C78">
        <w:rPr>
          <w:sz w:val="28"/>
          <w:szCs w:val="28"/>
        </w:rPr>
        <w:t>Теоретические основы DCF-оценки непубличной компании: инструментарий, структурные ограничения и границы применимости</w:t>
      </w:r>
    </w:p>
    <w:p w14:paraId="773BEF7D" w14:textId="77777777" w:rsidR="008D42EC" w:rsidRPr="008D42EC" w:rsidRDefault="008D42EC" w:rsidP="008D42EC">
      <w:pPr>
        <w:pBdr>
          <w:top w:val="nil"/>
          <w:left w:val="nil"/>
          <w:bottom w:val="nil"/>
          <w:right w:val="nil"/>
          <w:between w:val="nil"/>
        </w:pBdr>
        <w:tabs>
          <w:tab w:val="left" w:pos="1345"/>
        </w:tabs>
        <w:spacing w:line="360" w:lineRule="auto"/>
        <w:ind w:left="140" w:right="146"/>
        <w:jc w:val="both"/>
        <w:rPr>
          <w:i/>
          <w:iCs/>
          <w:color w:val="808080" w:themeColor="background1" w:themeShade="80"/>
          <w:sz w:val="24"/>
          <w:szCs w:val="24"/>
        </w:rPr>
      </w:pPr>
    </w:p>
    <w:p w14:paraId="6147C0E7" w14:textId="2EFE72F8" w:rsidR="003B46A8" w:rsidRPr="003B46A8" w:rsidRDefault="003B46A8" w:rsidP="00601E8D">
      <w:pPr>
        <w:pBdr>
          <w:top w:val="nil"/>
          <w:left w:val="nil"/>
          <w:bottom w:val="nil"/>
          <w:right w:val="nil"/>
          <w:between w:val="nil"/>
        </w:pBdr>
        <w:spacing w:before="2" w:line="360" w:lineRule="auto"/>
        <w:ind w:left="140" w:right="145" w:firstLine="708"/>
        <w:jc w:val="both"/>
        <w:rPr>
          <w:sz w:val="28"/>
          <w:szCs w:val="28"/>
          <w:lang w:val="ru-RU"/>
        </w:rPr>
      </w:pPr>
      <w:r w:rsidRPr="003B46A8">
        <w:rPr>
          <w:sz w:val="28"/>
          <w:szCs w:val="28"/>
          <w:lang w:val="ru-RU"/>
        </w:rPr>
        <w:t xml:space="preserve">Инвестиционная готовность, теоретически обоснованная в §1.3, до сих пор оставалась категорией качественной. </w:t>
      </w:r>
      <w:r w:rsidR="00601E8D" w:rsidRPr="00601E8D">
        <w:rPr>
          <w:sz w:val="28"/>
          <w:szCs w:val="28"/>
        </w:rPr>
        <w:t>Существующие подходы к её оценке, рассмотренные в §1.2, представляют собой качественные процедуры, результат которых устанавливается экспертным суждением, а потому несоизмерим: заключения по разным компаниям или по одной компании в разные годы невозможно свести к общему знаменателю.</w:t>
      </w:r>
      <w:r w:rsidR="00601E8D" w:rsidRPr="00601E8D">
        <w:rPr>
          <w:sz w:val="28"/>
          <w:szCs w:val="28"/>
          <w:lang w:val="ru-RU"/>
        </w:rPr>
        <w:t xml:space="preserve"> </w:t>
      </w:r>
      <w:r w:rsidRPr="003B46A8">
        <w:rPr>
          <w:sz w:val="28"/>
          <w:szCs w:val="28"/>
          <w:lang w:val="ru-RU"/>
        </w:rPr>
        <w:t xml:space="preserve">Между тем именно сопоставимость </w:t>
      </w:r>
      <w:r>
        <w:rPr>
          <w:sz w:val="28"/>
          <w:szCs w:val="28"/>
          <w:lang w:val="ru-RU"/>
        </w:rPr>
        <w:t>является ценностью любого метода оценки инвестиционной готовности, поскольку</w:t>
      </w:r>
      <w:r w:rsidRPr="003B46A8">
        <w:rPr>
          <w:sz w:val="28"/>
          <w:szCs w:val="28"/>
          <w:lang w:val="ru-RU"/>
        </w:rPr>
        <w:t xml:space="preserve"> </w:t>
      </w:r>
      <w:r>
        <w:rPr>
          <w:sz w:val="28"/>
          <w:szCs w:val="28"/>
          <w:lang w:val="ru-RU"/>
        </w:rPr>
        <w:t>к</w:t>
      </w:r>
      <w:r w:rsidRPr="003B46A8">
        <w:rPr>
          <w:sz w:val="28"/>
          <w:szCs w:val="28"/>
          <w:lang w:val="ru-RU"/>
        </w:rPr>
        <w:t xml:space="preserve">омпании </w:t>
      </w:r>
      <w:r>
        <w:rPr>
          <w:sz w:val="28"/>
          <w:szCs w:val="28"/>
          <w:lang w:val="ru-RU"/>
        </w:rPr>
        <w:t>важно</w:t>
      </w:r>
      <w:r w:rsidRPr="003B46A8">
        <w:rPr>
          <w:sz w:val="28"/>
          <w:szCs w:val="28"/>
          <w:lang w:val="ru-RU"/>
        </w:rPr>
        <w:t xml:space="preserve"> понимать, продвинулась ли она за прошедший период, </w:t>
      </w:r>
      <w:r>
        <w:rPr>
          <w:sz w:val="28"/>
          <w:szCs w:val="28"/>
          <w:lang w:val="ru-RU"/>
        </w:rPr>
        <w:t xml:space="preserve">а </w:t>
      </w:r>
      <w:r w:rsidRPr="003B46A8">
        <w:rPr>
          <w:sz w:val="28"/>
          <w:szCs w:val="28"/>
          <w:lang w:val="ru-RU"/>
        </w:rPr>
        <w:t>инвестору</w:t>
      </w:r>
      <w:r>
        <w:rPr>
          <w:sz w:val="28"/>
          <w:szCs w:val="28"/>
          <w:lang w:val="ru-RU"/>
        </w:rPr>
        <w:t xml:space="preserve"> нужно</w:t>
      </w:r>
      <w:r w:rsidRPr="003B46A8">
        <w:rPr>
          <w:sz w:val="28"/>
          <w:szCs w:val="28"/>
          <w:lang w:val="ru-RU"/>
        </w:rPr>
        <w:t xml:space="preserve"> сравнить между собой несколько объектов.</w:t>
      </w:r>
    </w:p>
    <w:p w14:paraId="046D8A63" w14:textId="0E816E61" w:rsidR="003B46A8" w:rsidRDefault="003B46A8" w:rsidP="003B46A8">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Ориентация на стоимость компании</w:t>
      </w:r>
      <w:r w:rsidRPr="003B46A8">
        <w:rPr>
          <w:sz w:val="28"/>
          <w:szCs w:val="28"/>
          <w:lang w:val="ru-RU"/>
        </w:rPr>
        <w:t xml:space="preserve"> снимает это ограничение, поскольку </w:t>
      </w:r>
      <w:r>
        <w:rPr>
          <w:sz w:val="28"/>
          <w:szCs w:val="28"/>
          <w:lang w:val="ru-RU"/>
        </w:rPr>
        <w:t>она</w:t>
      </w:r>
      <w:r w:rsidRPr="003B46A8">
        <w:rPr>
          <w:sz w:val="28"/>
          <w:szCs w:val="28"/>
          <w:lang w:val="ru-RU"/>
        </w:rPr>
        <w:t xml:space="preserve"> является</w:t>
      </w:r>
      <w:r>
        <w:rPr>
          <w:sz w:val="28"/>
          <w:szCs w:val="28"/>
          <w:lang w:val="ru-RU"/>
        </w:rPr>
        <w:t xml:space="preserve"> </w:t>
      </w:r>
      <w:r w:rsidRPr="003B46A8">
        <w:rPr>
          <w:sz w:val="28"/>
          <w:szCs w:val="28"/>
          <w:lang w:val="ru-RU"/>
        </w:rPr>
        <w:t>единственной величиной, вокруг которой ведут переговоры все стороны сделки</w:t>
      </w:r>
      <w:r>
        <w:rPr>
          <w:sz w:val="28"/>
          <w:szCs w:val="28"/>
          <w:lang w:val="ru-RU"/>
        </w:rPr>
        <w:t xml:space="preserve"> на каждом этапе привлечения капитала</w:t>
      </w:r>
      <w:r w:rsidRPr="003B46A8">
        <w:rPr>
          <w:sz w:val="28"/>
          <w:szCs w:val="28"/>
          <w:lang w:val="ru-RU"/>
        </w:rPr>
        <w:t xml:space="preserve">. </w:t>
      </w:r>
    </w:p>
    <w:p w14:paraId="13A9269A" w14:textId="3019EEEB" w:rsidR="005E066E" w:rsidRDefault="005E066E" w:rsidP="007E66B2">
      <w:pPr>
        <w:pBdr>
          <w:top w:val="nil"/>
          <w:left w:val="nil"/>
          <w:bottom w:val="nil"/>
          <w:right w:val="nil"/>
          <w:between w:val="nil"/>
        </w:pBdr>
        <w:spacing w:before="2" w:line="360" w:lineRule="auto"/>
        <w:ind w:left="140" w:right="145" w:firstLine="708"/>
        <w:jc w:val="both"/>
        <w:rPr>
          <w:sz w:val="28"/>
          <w:szCs w:val="28"/>
          <w:lang w:val="ru-RU"/>
        </w:rPr>
      </w:pPr>
      <w:r w:rsidRPr="005E066E">
        <w:rPr>
          <w:sz w:val="28"/>
          <w:szCs w:val="28"/>
        </w:rPr>
        <w:lastRenderedPageBreak/>
        <w:t>Пять факторов, теоретически обоснованные в §1.3 через агентские издержки и информационную асимметрию, отвечают на вопрос, можно ли доверять данным о компании и насколько она готова к привлечению капитала. Однако сами по себе они не являются расчётным инструментом. Чтобы встроить их в оценку стоимости, необходим формализованный аппарат, способный перевести диагностированную готовность в конкретную денежную величину. Таким аппаратом выступает метод дисконтированных денежных потоков, определяющий стоимость компании как сумму приведённых к текущему моменту свободных денежных потоков за прогнозный период и терминальной стоимости за его пределами:</w:t>
      </w:r>
    </w:p>
    <w:p w14:paraId="2ECF7EEA" w14:textId="2DC95D64" w:rsidR="00857692" w:rsidRPr="00A648EF" w:rsidRDefault="00857692" w:rsidP="00857692">
      <w:pPr>
        <w:pBdr>
          <w:top w:val="nil"/>
          <w:left w:val="nil"/>
          <w:bottom w:val="nil"/>
          <w:right w:val="nil"/>
          <w:between w:val="nil"/>
        </w:pBdr>
        <w:spacing w:before="2" w:line="360" w:lineRule="auto"/>
        <w:ind w:left="140" w:right="145" w:firstLine="708"/>
        <w:jc w:val="center"/>
        <w:rPr>
          <w:i/>
          <w:sz w:val="28"/>
          <w:szCs w:val="28"/>
          <w:lang w:val="en-US"/>
        </w:rPr>
      </w:pPr>
      <w:r w:rsidRPr="00C0440A">
        <w:rPr>
          <w:sz w:val="28"/>
          <w:szCs w:val="28"/>
          <w:lang w:val="en-US"/>
        </w:rPr>
        <w:t>EV</w:t>
      </w:r>
      <w:r w:rsidRPr="00F10467">
        <w:rPr>
          <w:sz w:val="28"/>
          <w:szCs w:val="28"/>
          <w:lang w:val="en-US"/>
        </w:rPr>
        <w:t xml:space="preserve"> = </w:t>
      </w:r>
      <m:oMath>
        <m:nary>
          <m:naryPr>
            <m:chr m:val="∑"/>
            <m:limLoc m:val="undOvr"/>
            <m:ctrlPr>
              <w:rPr>
                <w:rFonts w:ascii="Cambria Math" w:hAnsi="Cambria Math"/>
                <w:sz w:val="28"/>
                <w:szCs w:val="28"/>
                <w:lang w:val="en-US"/>
              </w:rPr>
            </m:ctrlPr>
          </m:naryPr>
          <m:sub>
            <m:r>
              <w:rPr>
                <w:rFonts w:ascii="Cambria Math" w:hAnsi="Cambria Math"/>
                <w:sz w:val="28"/>
                <w:szCs w:val="28"/>
                <w:lang w:val="en-US"/>
              </w:rPr>
              <m:t>t=0</m:t>
            </m:r>
          </m:sub>
          <m:sup>
            <m:r>
              <w:rPr>
                <w:rFonts w:ascii="Cambria Math" w:hAnsi="Cambria Math"/>
                <w:sz w:val="28"/>
                <w:szCs w:val="28"/>
                <w:lang w:val="en-US"/>
              </w:rPr>
              <m:t>n</m:t>
            </m:r>
          </m:sup>
          <m:e>
            <m:f>
              <m:fPr>
                <m:ctrlPr>
                  <w:rPr>
                    <w:rFonts w:ascii="Cambria Math" w:hAnsi="Cambria Math"/>
                    <w:i/>
                    <w:sz w:val="28"/>
                    <w:szCs w:val="28"/>
                    <w:lang w:val="ru-RU"/>
                  </w:rPr>
                </m:ctrlPr>
              </m:fPr>
              <m:num>
                <m:r>
                  <m:rPr>
                    <m:sty m:val="p"/>
                  </m:rPr>
                  <w:rPr>
                    <w:rFonts w:ascii="Cambria Math" w:hAnsi="Cambria Math"/>
                    <w:sz w:val="28"/>
                    <w:szCs w:val="28"/>
                    <w:lang w:val="en-US"/>
                  </w:rPr>
                  <m:t xml:space="preserve"> FCFt </m:t>
                </m:r>
              </m:num>
              <m:den>
                <m:sSup>
                  <m:sSupPr>
                    <m:ctrlPr>
                      <w:rPr>
                        <w:rFonts w:ascii="Cambria Math" w:hAnsi="Cambria Math"/>
                        <w:i/>
                        <w:sz w:val="28"/>
                        <w:szCs w:val="28"/>
                        <w:lang w:val="ru-RU"/>
                      </w:rPr>
                    </m:ctrlPr>
                  </m:sSupPr>
                  <m:e>
                    <m:d>
                      <m:dPr>
                        <m:ctrlPr>
                          <w:rPr>
                            <w:rFonts w:ascii="Cambria Math" w:hAnsi="Cambria Math"/>
                            <w:i/>
                            <w:sz w:val="28"/>
                            <w:szCs w:val="28"/>
                            <w:lang w:val="en-US"/>
                          </w:rPr>
                        </m:ctrlPr>
                      </m:dPr>
                      <m:e>
                        <m:r>
                          <w:rPr>
                            <w:rFonts w:ascii="Cambria Math" w:hAnsi="Cambria Math"/>
                            <w:sz w:val="28"/>
                            <w:szCs w:val="28"/>
                            <w:lang w:val="en-US"/>
                          </w:rPr>
                          <m:t>1+r</m:t>
                        </m:r>
                      </m:e>
                    </m:d>
                  </m:e>
                  <m:sup>
                    <m:r>
                      <w:rPr>
                        <w:rFonts w:ascii="Cambria Math" w:hAnsi="Cambria Math"/>
                        <w:sz w:val="28"/>
                        <w:szCs w:val="28"/>
                        <w:lang w:val="ru-RU"/>
                      </w:rPr>
                      <m:t>t</m:t>
                    </m:r>
                  </m:sup>
                </m:sSup>
              </m:den>
            </m:f>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TV</m:t>
            </m:r>
          </m:num>
          <m:den>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1+r</m:t>
                    </m:r>
                  </m:e>
                </m:d>
              </m:e>
              <m:sup>
                <m:r>
                  <w:rPr>
                    <w:rFonts w:ascii="Cambria Math" w:hAnsi="Cambria Math"/>
                    <w:sz w:val="28"/>
                    <w:szCs w:val="28"/>
                    <w:lang w:val="en-US"/>
                  </w:rPr>
                  <m:t>n</m:t>
                </m:r>
              </m:sup>
            </m:sSup>
          </m:den>
        </m:f>
      </m:oMath>
    </w:p>
    <w:p w14:paraId="720B90FF" w14:textId="77777777" w:rsidR="00B72439" w:rsidRPr="006A0EA5"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где FCFt — свободный денежный поток компании в период t, </w:t>
      </w:r>
    </w:p>
    <w:p w14:paraId="5878EA68" w14:textId="0594A090" w:rsidR="00857692" w:rsidRPr="00857692" w:rsidRDefault="00857692" w:rsidP="007E66B2">
      <w:pPr>
        <w:pBdr>
          <w:top w:val="nil"/>
          <w:left w:val="nil"/>
          <w:bottom w:val="nil"/>
          <w:right w:val="nil"/>
          <w:between w:val="nil"/>
        </w:pBdr>
        <w:spacing w:before="2" w:line="360" w:lineRule="auto"/>
        <w:ind w:left="140" w:right="145" w:firstLine="708"/>
        <w:jc w:val="both"/>
        <w:rPr>
          <w:sz w:val="28"/>
          <w:szCs w:val="28"/>
          <w:lang w:val="ru-RU"/>
        </w:rPr>
      </w:pPr>
      <w:r w:rsidRPr="00857692">
        <w:rPr>
          <w:sz w:val="28"/>
          <w:szCs w:val="28"/>
        </w:rPr>
        <w:t>FCF₀ — денежный поток нулевого периода, соответствующий моменту оценки</w:t>
      </w:r>
      <w:r w:rsidRPr="00857692">
        <w:rPr>
          <w:sz w:val="28"/>
          <w:szCs w:val="28"/>
          <w:lang w:val="ru-RU"/>
        </w:rPr>
        <w:t>,</w:t>
      </w:r>
    </w:p>
    <w:p w14:paraId="19442DE5" w14:textId="44EE7345" w:rsidR="00B72439"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r — ставка дисконтирования, </w:t>
      </w:r>
    </w:p>
    <w:p w14:paraId="36A14321" w14:textId="77777777" w:rsidR="00B72439"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n — длительность явного прогнозного периода, </w:t>
      </w:r>
    </w:p>
    <w:p w14:paraId="7C7223BB" w14:textId="67A16B60" w:rsidR="007E66B2" w:rsidRPr="007E66B2"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TV — терминальная стоимость.</w:t>
      </w:r>
    </w:p>
    <w:p w14:paraId="2B9282FC" w14:textId="7D9A2C50" w:rsidR="005E066E" w:rsidRPr="008D42EC" w:rsidRDefault="005E066E" w:rsidP="007E66B2">
      <w:pPr>
        <w:pBdr>
          <w:top w:val="nil"/>
          <w:left w:val="nil"/>
          <w:bottom w:val="nil"/>
          <w:right w:val="nil"/>
          <w:between w:val="nil"/>
        </w:pBdr>
        <w:spacing w:before="2" w:line="360" w:lineRule="auto"/>
        <w:ind w:left="140" w:right="145" w:firstLine="708"/>
        <w:jc w:val="both"/>
        <w:rPr>
          <w:sz w:val="28"/>
          <w:szCs w:val="28"/>
          <w:lang w:val="ru-RU"/>
        </w:rPr>
      </w:pPr>
      <w:r w:rsidRPr="005E066E">
        <w:rPr>
          <w:sz w:val="28"/>
          <w:szCs w:val="28"/>
        </w:rPr>
        <w:t xml:space="preserve">Отправной точкой прогноза стоимости компании служит качественная историческая база </w:t>
      </w:r>
      <w:r>
        <w:rPr>
          <w:sz w:val="28"/>
          <w:szCs w:val="28"/>
          <w:lang w:val="ru-RU"/>
        </w:rPr>
        <w:t>в форме</w:t>
      </w:r>
      <w:r w:rsidRPr="005E066E">
        <w:rPr>
          <w:sz w:val="28"/>
          <w:szCs w:val="28"/>
        </w:rPr>
        <w:t xml:space="preserve"> финансов</w:t>
      </w:r>
      <w:r>
        <w:rPr>
          <w:sz w:val="28"/>
          <w:szCs w:val="28"/>
          <w:lang w:val="ru-RU"/>
        </w:rPr>
        <w:t>ой</w:t>
      </w:r>
      <w:r w:rsidRPr="005E066E">
        <w:rPr>
          <w:sz w:val="28"/>
          <w:szCs w:val="28"/>
        </w:rPr>
        <w:t xml:space="preserve"> отчётност</w:t>
      </w:r>
      <w:r>
        <w:rPr>
          <w:sz w:val="28"/>
          <w:szCs w:val="28"/>
          <w:lang w:val="ru-RU"/>
        </w:rPr>
        <w:t>и</w:t>
      </w:r>
      <w:r w:rsidRPr="005E066E">
        <w:rPr>
          <w:sz w:val="28"/>
          <w:szCs w:val="28"/>
        </w:rPr>
        <w:t xml:space="preserve"> за репрезентативный период. Сама возможность иметь такую базу — не техническая случайность, а прямое следствие наличия в компании зрелой функции финансового менеджмента. Там, где финансовая отчётность формируется не только для целей бухгалтерского и налогового учёта, а осмысленно используется руководством как инструмент управления (для контроля издержек, планирования инвестиций, оценки эффективности решений), она естественным образом оказывается более детализированной, последовательной и пригодной для последующего анализа. Но там, где финансовый учёт исторически сводился к обязательной отчётности перед контролирующими органами, а не к стратегическому инструменту (как это часто бывает у непубличных компаний, где основатель или совет директоров с концепцией финансового менеджмента знакомы поверхностно), сама эта база оказывается непригодной для качественного прогноза ещё до всякой </w:t>
      </w:r>
      <w:r w:rsidRPr="005E066E">
        <w:rPr>
          <w:sz w:val="28"/>
          <w:szCs w:val="28"/>
        </w:rPr>
        <w:lastRenderedPageBreak/>
        <w:t>нормализации, что напрямую перекликается с наблюдением, сделанным в §1.3 применительно к фактору К4.</w:t>
      </w:r>
    </w:p>
    <w:p w14:paraId="75984BE6" w14:textId="77777777" w:rsidR="00B460BC" w:rsidRDefault="00B460BC" w:rsidP="007E66B2">
      <w:pPr>
        <w:pBdr>
          <w:top w:val="nil"/>
          <w:left w:val="nil"/>
          <w:bottom w:val="nil"/>
          <w:right w:val="nil"/>
          <w:between w:val="nil"/>
        </w:pBdr>
        <w:spacing w:before="2" w:line="360" w:lineRule="auto"/>
        <w:ind w:left="140" w:right="145" w:firstLine="708"/>
        <w:jc w:val="both"/>
        <w:rPr>
          <w:sz w:val="28"/>
          <w:szCs w:val="28"/>
          <w:lang w:val="ru-RU"/>
        </w:rPr>
      </w:pPr>
      <w:r w:rsidRPr="00B460BC">
        <w:rPr>
          <w:sz w:val="28"/>
          <w:szCs w:val="28"/>
        </w:rPr>
        <w:t>При этом возможность использования даже качественной базы не является универсальной данностью для любой ситуации прогнозирования. Для компании с давней и качественной историей она перестаёт быть репрезентативной при выходе на новый рынок, запуске нового продукта или иной стратегической инициативе, выходящей за рамки уже освоенной деятельности. Это наблюдение получает развитие в заключительной части настоящего параграфа.</w:t>
      </w:r>
    </w:p>
    <w:p w14:paraId="1DCAAC72" w14:textId="01355205" w:rsidR="001A54C1" w:rsidRDefault="003A5726" w:rsidP="007E66B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В случае, если </w:t>
      </w:r>
      <w:r w:rsidR="007E66B2" w:rsidRPr="007E66B2">
        <w:rPr>
          <w:sz w:val="28"/>
          <w:szCs w:val="28"/>
          <w:lang w:val="ru-RU"/>
        </w:rPr>
        <w:t xml:space="preserve">историческая база </w:t>
      </w:r>
      <w:r>
        <w:rPr>
          <w:sz w:val="28"/>
          <w:szCs w:val="28"/>
          <w:lang w:val="ru-RU"/>
        </w:rPr>
        <w:t xml:space="preserve">применима для прогноза, она </w:t>
      </w:r>
      <w:r w:rsidR="007E66B2" w:rsidRPr="007E66B2">
        <w:rPr>
          <w:sz w:val="28"/>
          <w:szCs w:val="28"/>
          <w:lang w:val="ru-RU"/>
        </w:rPr>
        <w:t>подвергается нормализации по трём направлениям</w:t>
      </w:r>
      <w:r w:rsidR="001A54C1">
        <w:rPr>
          <w:rStyle w:val="a7"/>
          <w:sz w:val="28"/>
          <w:szCs w:val="28"/>
          <w:lang w:val="ru-RU"/>
        </w:rPr>
        <w:footnoteReference w:id="161"/>
      </w:r>
      <w:r w:rsidR="007E66B2" w:rsidRPr="007E66B2">
        <w:rPr>
          <w:sz w:val="28"/>
          <w:szCs w:val="28"/>
          <w:lang w:val="ru-RU"/>
        </w:rPr>
        <w:t xml:space="preserve">: </w:t>
      </w:r>
    </w:p>
    <w:p w14:paraId="01FE15AE" w14:textId="0814A024" w:rsidR="001A54C1" w:rsidRDefault="001A54C1" w:rsidP="007E66B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 </w:t>
      </w:r>
      <w:r w:rsidR="007E66B2" w:rsidRPr="007E66B2">
        <w:rPr>
          <w:sz w:val="28"/>
          <w:szCs w:val="28"/>
          <w:lang w:val="ru-RU"/>
        </w:rPr>
        <w:t>очистке от разовых, нетипичных и неоперационных доходов и расходов (единовременные списания, нетипичные доходы, эффекты реструктуризации, а также искажения, вносимые операциями со связанными сторонами — нерыночные цены во внутригрупповых сделках</w:t>
      </w:r>
      <w:r w:rsidR="003A5726">
        <w:rPr>
          <w:sz w:val="28"/>
          <w:szCs w:val="28"/>
          <w:lang w:val="ru-RU"/>
        </w:rPr>
        <w:t>)</w:t>
      </w:r>
      <w:r w:rsidR="00F865E8">
        <w:rPr>
          <w:sz w:val="28"/>
          <w:szCs w:val="28"/>
          <w:lang w:val="ru-RU"/>
        </w:rPr>
        <w:t>. Важно отметить, что о</w:t>
      </w:r>
      <w:r w:rsidR="00F865E8" w:rsidRPr="00F865E8">
        <w:rPr>
          <w:sz w:val="28"/>
          <w:szCs w:val="28"/>
        </w:rPr>
        <w:t xml:space="preserve">чистка исторического денежного потока от таких искажений не создаёт задвоения с последующей оценкой К2: первая корректирует уже случившиеся искажения в конкретных прошлых периодах, тогда как второй оценивает системную возможность их повторения в будущем </w:t>
      </w:r>
      <w:r w:rsidR="00C05685" w:rsidRPr="00C05685">
        <w:rPr>
          <w:sz w:val="28"/>
          <w:szCs w:val="28"/>
          <w:lang w:val="ru-RU"/>
        </w:rPr>
        <w:t>(</w:t>
      </w:r>
      <w:r w:rsidR="00F865E8" w:rsidRPr="00F865E8">
        <w:rPr>
          <w:sz w:val="28"/>
          <w:szCs w:val="28"/>
        </w:rPr>
        <w:t>разграничение раскрывается подробнее в главе 3</w:t>
      </w:r>
      <w:r w:rsidR="00C05685" w:rsidRPr="00C05685">
        <w:rPr>
          <w:sz w:val="28"/>
          <w:szCs w:val="28"/>
          <w:lang w:val="ru-RU"/>
        </w:rPr>
        <w:t>)</w:t>
      </w:r>
      <w:r w:rsidR="007E66B2" w:rsidRPr="007E66B2">
        <w:rPr>
          <w:sz w:val="28"/>
          <w:szCs w:val="28"/>
          <w:lang w:val="ru-RU"/>
        </w:rPr>
        <w:t xml:space="preserve">; </w:t>
      </w:r>
    </w:p>
    <w:p w14:paraId="5F7538F9" w14:textId="77777777" w:rsidR="001A54C1" w:rsidRDefault="001A54C1" w:rsidP="007E66B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 </w:t>
      </w:r>
      <w:r w:rsidR="007E66B2" w:rsidRPr="007E66B2">
        <w:rPr>
          <w:sz w:val="28"/>
          <w:szCs w:val="28"/>
          <w:lang w:val="ru-RU"/>
        </w:rPr>
        <w:t xml:space="preserve">приведению к единому методу учёта операций (при изменении учётной политики или метода начисления амортизации данные за разные периоды становятся несопоставимы без корректировки); </w:t>
      </w:r>
    </w:p>
    <w:p w14:paraId="0B426DA2" w14:textId="77777777" w:rsidR="001A54C1" w:rsidRDefault="001A54C1" w:rsidP="007E66B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 </w:t>
      </w:r>
      <w:r w:rsidR="007E66B2" w:rsidRPr="007E66B2">
        <w:rPr>
          <w:sz w:val="28"/>
          <w:szCs w:val="28"/>
          <w:lang w:val="ru-RU"/>
        </w:rPr>
        <w:t xml:space="preserve">доведению статей отчётности до рыночной стоимости — выявлению неучтённых, избыточных или недействующих активов и неучтённых либо просроченных обязательств. </w:t>
      </w:r>
    </w:p>
    <w:p w14:paraId="23A87830" w14:textId="2D99D1F4" w:rsidR="007E66B2" w:rsidRPr="007E66B2"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Сама возможность содержательной нормализации по всем трём направлениям напрямую зависит от качества исходных данных — глубины и достоверности исторической отчётности</w:t>
      </w:r>
      <w:r w:rsidR="001A54C1">
        <w:rPr>
          <w:sz w:val="28"/>
          <w:szCs w:val="28"/>
          <w:lang w:val="ru-RU"/>
        </w:rPr>
        <w:t>. Т</w:t>
      </w:r>
      <w:r w:rsidRPr="007E66B2">
        <w:rPr>
          <w:sz w:val="28"/>
          <w:szCs w:val="28"/>
          <w:lang w:val="ru-RU"/>
        </w:rPr>
        <w:t xml:space="preserve">о есть </w:t>
      </w:r>
      <w:r w:rsidR="001A54C1">
        <w:rPr>
          <w:sz w:val="28"/>
          <w:szCs w:val="28"/>
          <w:lang w:val="ru-RU"/>
        </w:rPr>
        <w:t>работает тот же</w:t>
      </w:r>
      <w:r w:rsidRPr="007E66B2">
        <w:rPr>
          <w:sz w:val="28"/>
          <w:szCs w:val="28"/>
          <w:lang w:val="ru-RU"/>
        </w:rPr>
        <w:t xml:space="preserve"> фактор учётно-информационной зрелости, который лежит в основе всей методики</w:t>
      </w:r>
      <w:r w:rsidR="00AC22FB">
        <w:rPr>
          <w:sz w:val="28"/>
          <w:szCs w:val="28"/>
          <w:lang w:val="ru-RU"/>
        </w:rPr>
        <w:t>, предлагаемой в рамках данного исследования</w:t>
      </w:r>
      <w:r w:rsidRPr="007E66B2">
        <w:rPr>
          <w:sz w:val="28"/>
          <w:szCs w:val="28"/>
          <w:lang w:val="ru-RU"/>
        </w:rPr>
        <w:t xml:space="preserve">: нормализовать можно только то, что </w:t>
      </w:r>
      <w:r w:rsidRPr="007E66B2">
        <w:rPr>
          <w:sz w:val="28"/>
          <w:szCs w:val="28"/>
          <w:lang w:val="ru-RU"/>
        </w:rPr>
        <w:lastRenderedPageBreak/>
        <w:t>подтверждено и прослеживаемо, а не оценочные суждения менеджмента о характере отдельных статей без независимой проверки.</w:t>
      </w:r>
    </w:p>
    <w:p w14:paraId="79F4B5C5" w14:textId="77777777" w:rsidR="00234367" w:rsidRDefault="00AC22FB" w:rsidP="007E66B2">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В целом п</w:t>
      </w:r>
      <w:r w:rsidR="007E66B2" w:rsidRPr="007E66B2">
        <w:rPr>
          <w:sz w:val="28"/>
          <w:szCs w:val="28"/>
          <w:lang w:val="ru-RU"/>
        </w:rPr>
        <w:t xml:space="preserve">рогнозирование </w:t>
      </w:r>
      <w:r>
        <w:rPr>
          <w:sz w:val="28"/>
          <w:szCs w:val="28"/>
          <w:lang w:val="ru-RU"/>
        </w:rPr>
        <w:t xml:space="preserve">стоимости компании </w:t>
      </w:r>
      <w:r w:rsidR="007E66B2" w:rsidRPr="007E66B2">
        <w:rPr>
          <w:sz w:val="28"/>
          <w:szCs w:val="28"/>
          <w:lang w:val="ru-RU"/>
        </w:rPr>
        <w:t>строится на драйверном подходе</w:t>
      </w:r>
      <w:r>
        <w:rPr>
          <w:sz w:val="28"/>
          <w:szCs w:val="28"/>
          <w:lang w:val="ru-RU"/>
        </w:rPr>
        <w:t xml:space="preserve">. </w:t>
      </w:r>
      <w:r w:rsidR="007E66B2" w:rsidRPr="007E66B2">
        <w:rPr>
          <w:sz w:val="28"/>
          <w:szCs w:val="28"/>
          <w:lang w:val="ru-RU"/>
        </w:rPr>
        <w:t xml:space="preserve"> </w:t>
      </w:r>
      <w:r>
        <w:rPr>
          <w:sz w:val="28"/>
          <w:szCs w:val="28"/>
          <w:lang w:val="ru-RU"/>
        </w:rPr>
        <w:t xml:space="preserve">Это означает, что </w:t>
      </w:r>
      <w:r w:rsidRPr="007E66B2">
        <w:rPr>
          <w:sz w:val="28"/>
          <w:szCs w:val="28"/>
          <w:lang w:val="ru-RU"/>
        </w:rPr>
        <w:t>итоговы</w:t>
      </w:r>
      <w:r>
        <w:rPr>
          <w:sz w:val="28"/>
          <w:szCs w:val="28"/>
          <w:lang w:val="ru-RU"/>
        </w:rPr>
        <w:t>е</w:t>
      </w:r>
      <w:r w:rsidRPr="007E66B2">
        <w:rPr>
          <w:sz w:val="28"/>
          <w:szCs w:val="28"/>
          <w:lang w:val="ru-RU"/>
        </w:rPr>
        <w:t xml:space="preserve"> финансовы</w:t>
      </w:r>
      <w:r>
        <w:rPr>
          <w:sz w:val="28"/>
          <w:szCs w:val="28"/>
          <w:lang w:val="ru-RU"/>
        </w:rPr>
        <w:t>е</w:t>
      </w:r>
      <w:r w:rsidRPr="007E66B2">
        <w:rPr>
          <w:sz w:val="28"/>
          <w:szCs w:val="28"/>
          <w:lang w:val="ru-RU"/>
        </w:rPr>
        <w:t xml:space="preserve"> показател</w:t>
      </w:r>
      <w:r>
        <w:rPr>
          <w:sz w:val="28"/>
          <w:szCs w:val="28"/>
          <w:lang w:val="ru-RU"/>
        </w:rPr>
        <w:t>и</w:t>
      </w:r>
      <w:r w:rsidRPr="007E66B2">
        <w:rPr>
          <w:sz w:val="28"/>
          <w:szCs w:val="28"/>
          <w:lang w:val="ru-RU"/>
        </w:rPr>
        <w:t xml:space="preserve"> </w:t>
      </w:r>
      <w:r w:rsidR="007E66B2" w:rsidRPr="007E66B2">
        <w:rPr>
          <w:sz w:val="28"/>
          <w:szCs w:val="28"/>
          <w:lang w:val="ru-RU"/>
        </w:rPr>
        <w:t>не экстрапол</w:t>
      </w:r>
      <w:r>
        <w:rPr>
          <w:sz w:val="28"/>
          <w:szCs w:val="28"/>
          <w:lang w:val="ru-RU"/>
        </w:rPr>
        <w:t>ируются</w:t>
      </w:r>
      <w:r w:rsidR="007E66B2" w:rsidRPr="007E66B2">
        <w:rPr>
          <w:sz w:val="28"/>
          <w:szCs w:val="28"/>
          <w:lang w:val="ru-RU"/>
        </w:rPr>
        <w:t xml:space="preserve"> напрямую, </w:t>
      </w:r>
      <w:r>
        <w:rPr>
          <w:sz w:val="28"/>
          <w:szCs w:val="28"/>
          <w:lang w:val="ru-RU"/>
        </w:rPr>
        <w:t xml:space="preserve">а </w:t>
      </w:r>
      <w:r w:rsidRPr="007E66B2">
        <w:rPr>
          <w:sz w:val="28"/>
          <w:szCs w:val="28"/>
          <w:lang w:val="ru-RU"/>
        </w:rPr>
        <w:t>формируют</w:t>
      </w:r>
      <w:r>
        <w:rPr>
          <w:sz w:val="28"/>
          <w:szCs w:val="28"/>
          <w:lang w:val="ru-RU"/>
        </w:rPr>
        <w:t>ся</w:t>
      </w:r>
      <w:r w:rsidRPr="007E66B2">
        <w:rPr>
          <w:sz w:val="28"/>
          <w:szCs w:val="28"/>
          <w:lang w:val="ru-RU"/>
        </w:rPr>
        <w:t xml:space="preserve"> </w:t>
      </w:r>
      <w:r>
        <w:rPr>
          <w:sz w:val="28"/>
          <w:szCs w:val="28"/>
          <w:lang w:val="ru-RU"/>
        </w:rPr>
        <w:t>из</w:t>
      </w:r>
      <w:r w:rsidR="007E66B2" w:rsidRPr="007E66B2">
        <w:rPr>
          <w:sz w:val="28"/>
          <w:szCs w:val="28"/>
          <w:lang w:val="ru-RU"/>
        </w:rPr>
        <w:t xml:space="preserve"> раздельно</w:t>
      </w:r>
      <w:r>
        <w:rPr>
          <w:sz w:val="28"/>
          <w:szCs w:val="28"/>
          <w:lang w:val="ru-RU"/>
        </w:rPr>
        <w:t>го</w:t>
      </w:r>
      <w:r w:rsidR="007E66B2" w:rsidRPr="007E66B2">
        <w:rPr>
          <w:sz w:val="28"/>
          <w:szCs w:val="28"/>
          <w:lang w:val="ru-RU"/>
        </w:rPr>
        <w:t xml:space="preserve"> моделировани</w:t>
      </w:r>
      <w:r>
        <w:rPr>
          <w:sz w:val="28"/>
          <w:szCs w:val="28"/>
          <w:lang w:val="ru-RU"/>
        </w:rPr>
        <w:t>я</w:t>
      </w:r>
      <w:r w:rsidR="007E66B2" w:rsidRPr="007E66B2">
        <w:rPr>
          <w:sz w:val="28"/>
          <w:szCs w:val="28"/>
          <w:lang w:val="ru-RU"/>
        </w:rPr>
        <w:t xml:space="preserve"> </w:t>
      </w:r>
      <w:r>
        <w:rPr>
          <w:sz w:val="28"/>
          <w:szCs w:val="28"/>
          <w:lang w:val="ru-RU"/>
        </w:rPr>
        <w:t>составных компонентов</w:t>
      </w:r>
      <w:r w:rsidR="007E66B2" w:rsidRPr="007E66B2">
        <w:rPr>
          <w:sz w:val="28"/>
          <w:szCs w:val="28"/>
          <w:lang w:val="ru-RU"/>
        </w:rPr>
        <w:t xml:space="preserve">. </w:t>
      </w:r>
    </w:p>
    <w:p w14:paraId="3E155136" w14:textId="45743673" w:rsidR="00234367" w:rsidRPr="00234367" w:rsidRDefault="00234367" w:rsidP="007E66B2">
      <w:pPr>
        <w:pBdr>
          <w:top w:val="nil"/>
          <w:left w:val="nil"/>
          <w:bottom w:val="nil"/>
          <w:right w:val="nil"/>
          <w:between w:val="nil"/>
        </w:pBdr>
        <w:spacing w:before="2" w:line="360" w:lineRule="auto"/>
        <w:ind w:left="140" w:right="145" w:firstLine="708"/>
        <w:jc w:val="both"/>
        <w:rPr>
          <w:b/>
          <w:bCs/>
          <w:sz w:val="28"/>
          <w:szCs w:val="28"/>
          <w:lang w:val="ru-RU"/>
        </w:rPr>
      </w:pPr>
      <w:r w:rsidRPr="00234367">
        <w:rPr>
          <w:b/>
          <w:bCs/>
          <w:sz w:val="28"/>
          <w:szCs w:val="28"/>
          <w:lang w:val="ru-RU"/>
        </w:rPr>
        <w:t>Свободный денежный поток</w:t>
      </w:r>
    </w:p>
    <w:p w14:paraId="11179C03" w14:textId="3BEE3FE0" w:rsidR="007E66B2" w:rsidRPr="007E66B2"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Свободный денежный поток раскладывается на компоненты:</w:t>
      </w:r>
    </w:p>
    <w:p w14:paraId="51C8D902" w14:textId="77777777" w:rsidR="007E66B2" w:rsidRPr="007E66B2" w:rsidRDefault="007E66B2" w:rsidP="001A54C1">
      <w:pPr>
        <w:pBdr>
          <w:top w:val="nil"/>
          <w:left w:val="nil"/>
          <w:bottom w:val="nil"/>
          <w:right w:val="nil"/>
          <w:between w:val="nil"/>
        </w:pBdr>
        <w:spacing w:before="2" w:line="360" w:lineRule="auto"/>
        <w:ind w:left="140" w:right="145" w:firstLine="708"/>
        <w:jc w:val="center"/>
        <w:rPr>
          <w:sz w:val="28"/>
          <w:szCs w:val="28"/>
          <w:lang w:val="ru-RU"/>
        </w:rPr>
      </w:pPr>
      <w:r w:rsidRPr="007E66B2">
        <w:rPr>
          <w:sz w:val="28"/>
          <w:szCs w:val="28"/>
          <w:lang w:val="ru-RU"/>
        </w:rPr>
        <w:t>FCF = EBIT × (1 − t) + Амортизация − CapEx − ΔОборотный капитал</w:t>
      </w:r>
    </w:p>
    <w:p w14:paraId="21462F18" w14:textId="77777777" w:rsidR="001A54C1"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где EBIT — операционная прибыль до вычета процентов и налогов, </w:t>
      </w:r>
    </w:p>
    <w:p w14:paraId="5ED91E88" w14:textId="77777777" w:rsidR="001A54C1"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t — эффективная ставка налога, </w:t>
      </w:r>
    </w:p>
    <w:p w14:paraId="0B3E576A" w14:textId="77777777" w:rsidR="001A54C1"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CapEx — капитальные затраты, </w:t>
      </w:r>
    </w:p>
    <w:p w14:paraId="633AA538" w14:textId="77777777" w:rsidR="001A54C1"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ΔОборотный капитал — изменение потребности в оборотном капитале. </w:t>
      </w:r>
    </w:p>
    <w:p w14:paraId="213A0B3A" w14:textId="3287D799" w:rsidR="007E66B2"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Такое разложение позволяет </w:t>
      </w:r>
      <w:r w:rsidR="007F302F" w:rsidRPr="007E66B2">
        <w:rPr>
          <w:sz w:val="28"/>
          <w:szCs w:val="28"/>
          <w:lang w:val="ru-RU"/>
        </w:rPr>
        <w:t>не оперировать одной агрегированной цифрой прогнозного денежного потока</w:t>
      </w:r>
      <w:r w:rsidR="007F302F" w:rsidRPr="007F302F">
        <w:rPr>
          <w:sz w:val="28"/>
          <w:szCs w:val="28"/>
          <w:lang w:val="ru-RU"/>
        </w:rPr>
        <w:t xml:space="preserve">, </w:t>
      </w:r>
      <w:r w:rsidR="007F302F">
        <w:rPr>
          <w:sz w:val="28"/>
          <w:szCs w:val="28"/>
          <w:lang w:val="ru-RU"/>
        </w:rPr>
        <w:t xml:space="preserve"> а </w:t>
      </w:r>
      <w:r w:rsidRPr="007E66B2">
        <w:rPr>
          <w:sz w:val="28"/>
          <w:szCs w:val="28"/>
          <w:lang w:val="ru-RU"/>
        </w:rPr>
        <w:t>содержательно тестировать каждое допущение по отдельности</w:t>
      </w:r>
      <w:r w:rsidR="001A54C1">
        <w:rPr>
          <w:rStyle w:val="a7"/>
          <w:sz w:val="28"/>
          <w:szCs w:val="28"/>
          <w:lang w:val="ru-RU"/>
        </w:rPr>
        <w:footnoteReference w:id="162"/>
      </w:r>
      <w:r w:rsidR="001A54C1">
        <w:rPr>
          <w:sz w:val="28"/>
          <w:szCs w:val="28"/>
          <w:lang w:val="ru-RU"/>
        </w:rPr>
        <w:t>, будь то</w:t>
      </w:r>
      <w:r w:rsidRPr="007E66B2">
        <w:rPr>
          <w:sz w:val="28"/>
          <w:szCs w:val="28"/>
          <w:lang w:val="ru-RU"/>
        </w:rPr>
        <w:t xml:space="preserve"> темп роста выручки, </w:t>
      </w:r>
      <w:r w:rsidR="001A54C1">
        <w:rPr>
          <w:sz w:val="28"/>
          <w:szCs w:val="28"/>
          <w:lang w:val="ru-RU"/>
        </w:rPr>
        <w:t>требование к уровню запасов, длительность отсрочки платежей</w:t>
      </w:r>
      <w:r w:rsidRPr="007E66B2">
        <w:rPr>
          <w:sz w:val="28"/>
          <w:szCs w:val="28"/>
          <w:lang w:val="ru-RU"/>
        </w:rPr>
        <w:t>, интенсивность капитальных вложений</w:t>
      </w:r>
      <w:r w:rsidR="001A54C1">
        <w:rPr>
          <w:sz w:val="28"/>
          <w:szCs w:val="28"/>
          <w:lang w:val="ru-RU"/>
        </w:rPr>
        <w:t xml:space="preserve"> и проч</w:t>
      </w:r>
      <w:r w:rsidRPr="007E66B2">
        <w:rPr>
          <w:sz w:val="28"/>
          <w:szCs w:val="28"/>
          <w:lang w:val="ru-RU"/>
        </w:rPr>
        <w:t>.</w:t>
      </w:r>
    </w:p>
    <w:p w14:paraId="5F26D0F3" w14:textId="7749AC23" w:rsidR="00B277F3" w:rsidRDefault="00B277F3" w:rsidP="007E66B2">
      <w:pPr>
        <w:pBdr>
          <w:top w:val="nil"/>
          <w:left w:val="nil"/>
          <w:bottom w:val="nil"/>
          <w:right w:val="nil"/>
          <w:between w:val="nil"/>
        </w:pBdr>
        <w:spacing w:before="2" w:line="360" w:lineRule="auto"/>
        <w:ind w:left="140" w:right="145" w:firstLine="708"/>
        <w:jc w:val="both"/>
        <w:rPr>
          <w:sz w:val="28"/>
          <w:szCs w:val="28"/>
          <w:lang w:val="ru-RU"/>
        </w:rPr>
      </w:pPr>
      <w:r w:rsidRPr="00B277F3">
        <w:rPr>
          <w:sz w:val="28"/>
          <w:szCs w:val="28"/>
        </w:rPr>
        <w:t>Вместе с тем каждый компонент этой формулы несёт собственную зону экспертного усмотрения. Прогноз EBIT сильно зависит от допущений по будущей выручке, себестоимости и операционным расходам: как правило, применяется экстраполяция темпов роста выручки и соотношений выручка/себестоимость и выручка/операционные расходы, однако при короткой истории или смене стратегии эти параметры не опираются на устойчивый тренд. То же касается CapEx и его связи с темпом роста выручки — здесь требуются допущения о будущей капиталоёмкости бизнеса, которые могут не следовать из существующей истории при масштабировании</w:t>
      </w:r>
      <w:r w:rsidR="004F23EF" w:rsidRPr="004F23EF">
        <w:rPr>
          <w:sz w:val="28"/>
          <w:szCs w:val="28"/>
          <w:lang w:val="ru-RU"/>
        </w:rPr>
        <w:t xml:space="preserve">. </w:t>
      </w:r>
      <w:r w:rsidR="004F23EF">
        <w:rPr>
          <w:sz w:val="28"/>
          <w:szCs w:val="28"/>
          <w:lang w:val="ru-RU"/>
        </w:rPr>
        <w:t>П</w:t>
      </w:r>
      <w:r w:rsidRPr="00B277F3">
        <w:rPr>
          <w:sz w:val="28"/>
          <w:szCs w:val="28"/>
        </w:rPr>
        <w:t xml:space="preserve">о этой же логике важно учитывать и поддерживающий CapEx, необходимый для сохранения текущих мощностей независимо от роста. ΔОборотный капитал зависит от допущений об оборачиваемости запасов, дебиторской и кредиторской задолженностей, которые вообще недопустимо прямо экстраполировать из ретроспективной отчётности без глубокого анализа, </w:t>
      </w:r>
      <w:r w:rsidRPr="00B277F3">
        <w:rPr>
          <w:sz w:val="28"/>
          <w:szCs w:val="28"/>
        </w:rPr>
        <w:lastRenderedPageBreak/>
        <w:t>поскольку все эти компоненты чаще всего меняются при увеличении объёма производства и продаж. Таким образом, ни один из трёх компонентов, формирующих числитель формулы DCF, не поддаётся механическому переносу исторических пропорций на прогнозный период без содержательной проверки: устойчивость темпов роста и структуры затрат для EBIT, реалистичность капиталоёмкости для CapEx и характер изменения компонентов оборотного капитала требуют самостоятельного обоснования, а не автоматической экстраполяции.</w:t>
      </w:r>
    </w:p>
    <w:p w14:paraId="091BD3C8" w14:textId="34825AD4" w:rsidR="00234367" w:rsidRPr="00271816" w:rsidRDefault="00271816" w:rsidP="007E66B2">
      <w:pPr>
        <w:pBdr>
          <w:top w:val="nil"/>
          <w:left w:val="nil"/>
          <w:bottom w:val="nil"/>
          <w:right w:val="nil"/>
          <w:between w:val="nil"/>
        </w:pBdr>
        <w:spacing w:before="2" w:line="360" w:lineRule="auto"/>
        <w:ind w:left="140" w:right="145" w:firstLine="708"/>
        <w:jc w:val="both"/>
        <w:rPr>
          <w:b/>
          <w:bCs/>
          <w:sz w:val="28"/>
          <w:szCs w:val="28"/>
          <w:lang w:val="ru-RU"/>
        </w:rPr>
      </w:pPr>
      <w:r w:rsidRPr="00271816">
        <w:rPr>
          <w:b/>
          <w:bCs/>
          <w:sz w:val="28"/>
          <w:szCs w:val="28"/>
          <w:lang w:val="ru-RU"/>
        </w:rPr>
        <w:t>Терминальная стоимость</w:t>
      </w:r>
    </w:p>
    <w:p w14:paraId="4ACD8051" w14:textId="6A01103C" w:rsidR="007E66B2" w:rsidRPr="007E66B2"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Терминальная стоимость — </w:t>
      </w:r>
      <w:r w:rsidR="007F302F">
        <w:rPr>
          <w:sz w:val="28"/>
          <w:szCs w:val="28"/>
          <w:lang w:val="ru-RU"/>
        </w:rPr>
        <w:t xml:space="preserve">это </w:t>
      </w:r>
      <w:r w:rsidRPr="007E66B2">
        <w:rPr>
          <w:sz w:val="28"/>
          <w:szCs w:val="28"/>
          <w:lang w:val="ru-RU"/>
        </w:rPr>
        <w:t>приведённая стоимость денежных потоков за пределами явного прогнозного периода</w:t>
      </w:r>
      <w:r w:rsidR="007F302F">
        <w:rPr>
          <w:sz w:val="28"/>
          <w:szCs w:val="28"/>
          <w:lang w:val="ru-RU"/>
        </w:rPr>
        <w:t>. Она</w:t>
      </w:r>
      <w:r w:rsidRPr="007E66B2">
        <w:rPr>
          <w:sz w:val="28"/>
          <w:szCs w:val="28"/>
          <w:lang w:val="ru-RU"/>
        </w:rPr>
        <w:t xml:space="preserve"> традиционно рассчитывается через однопериодную модель Гордона</w:t>
      </w:r>
      <w:r w:rsidR="007F302F">
        <w:rPr>
          <w:rStyle w:val="a7"/>
          <w:sz w:val="28"/>
          <w:szCs w:val="28"/>
          <w:lang w:val="ru-RU"/>
        </w:rPr>
        <w:footnoteReference w:id="163"/>
      </w:r>
      <w:r w:rsidRPr="007E66B2">
        <w:rPr>
          <w:sz w:val="28"/>
          <w:szCs w:val="28"/>
          <w:lang w:val="ru-RU"/>
        </w:rPr>
        <w:t>:</w:t>
      </w:r>
    </w:p>
    <w:p w14:paraId="48C091DF" w14:textId="77777777" w:rsidR="007E66B2" w:rsidRPr="007E66B2" w:rsidRDefault="007E66B2" w:rsidP="00F865E8">
      <w:pPr>
        <w:pBdr>
          <w:top w:val="nil"/>
          <w:left w:val="nil"/>
          <w:bottom w:val="nil"/>
          <w:right w:val="nil"/>
          <w:between w:val="nil"/>
        </w:pBdr>
        <w:spacing w:before="2" w:line="360" w:lineRule="auto"/>
        <w:ind w:left="140" w:right="145" w:firstLine="708"/>
        <w:jc w:val="center"/>
        <w:rPr>
          <w:sz w:val="28"/>
          <w:szCs w:val="28"/>
          <w:lang w:val="ru-RU"/>
        </w:rPr>
      </w:pPr>
      <w:r w:rsidRPr="007E66B2">
        <w:rPr>
          <w:sz w:val="28"/>
          <w:szCs w:val="28"/>
          <w:lang w:val="ru-RU"/>
        </w:rPr>
        <w:t>TV = FCFn × (1+g) / (r − g)</w:t>
      </w:r>
    </w:p>
    <w:p w14:paraId="789E9023" w14:textId="77777777" w:rsidR="007F302F"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где FCFn — денежный поток последнего года явного прогнозного периода, </w:t>
      </w:r>
    </w:p>
    <w:p w14:paraId="5A7D62FF" w14:textId="77777777" w:rsidR="007F302F"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 xml:space="preserve">g — предполагаемый постоянный темп роста денежного потока после него, </w:t>
      </w:r>
    </w:p>
    <w:p w14:paraId="4F1C81DE" w14:textId="067D3222" w:rsidR="007F302F" w:rsidRDefault="007E66B2" w:rsidP="007E66B2">
      <w:pPr>
        <w:pBdr>
          <w:top w:val="nil"/>
          <w:left w:val="nil"/>
          <w:bottom w:val="nil"/>
          <w:right w:val="nil"/>
          <w:between w:val="nil"/>
        </w:pBdr>
        <w:spacing w:before="2" w:line="360" w:lineRule="auto"/>
        <w:ind w:left="140" w:right="145" w:firstLine="708"/>
        <w:jc w:val="both"/>
        <w:rPr>
          <w:sz w:val="28"/>
          <w:szCs w:val="28"/>
          <w:lang w:val="ru-RU"/>
        </w:rPr>
      </w:pPr>
      <w:r w:rsidRPr="007E66B2">
        <w:rPr>
          <w:sz w:val="28"/>
          <w:szCs w:val="28"/>
          <w:lang w:val="ru-RU"/>
        </w:rPr>
        <w:t>r — ставка дисконтирования</w:t>
      </w:r>
      <w:r w:rsidR="00271816">
        <w:rPr>
          <w:sz w:val="28"/>
          <w:szCs w:val="28"/>
          <w:lang w:val="ru-RU"/>
        </w:rPr>
        <w:t xml:space="preserve"> (</w:t>
      </w:r>
      <w:r w:rsidR="00271816" w:rsidRPr="00271816">
        <w:rPr>
          <w:sz w:val="28"/>
          <w:szCs w:val="28"/>
        </w:rPr>
        <w:t>структурные ограничения которой рассматриваются в следующей части параграфа</w:t>
      </w:r>
      <w:r w:rsidR="00271816">
        <w:rPr>
          <w:sz w:val="28"/>
          <w:szCs w:val="28"/>
          <w:lang w:val="ru-RU"/>
        </w:rPr>
        <w:t>)</w:t>
      </w:r>
      <w:r w:rsidRPr="007E66B2">
        <w:rPr>
          <w:sz w:val="28"/>
          <w:szCs w:val="28"/>
          <w:lang w:val="ru-RU"/>
        </w:rPr>
        <w:t xml:space="preserve">. </w:t>
      </w:r>
    </w:p>
    <w:p w14:paraId="3129C418" w14:textId="38EA29F5" w:rsidR="00ED4931" w:rsidRPr="00ED4931" w:rsidRDefault="00ED4931" w:rsidP="00ED4931">
      <w:pPr>
        <w:pBdr>
          <w:top w:val="nil"/>
          <w:left w:val="nil"/>
          <w:bottom w:val="nil"/>
          <w:right w:val="nil"/>
          <w:between w:val="nil"/>
        </w:pBdr>
        <w:spacing w:before="2" w:line="360" w:lineRule="auto"/>
        <w:ind w:left="140" w:right="145" w:firstLine="708"/>
        <w:jc w:val="both"/>
        <w:rPr>
          <w:sz w:val="28"/>
          <w:szCs w:val="28"/>
          <w:lang w:val="ru-RU"/>
        </w:rPr>
      </w:pPr>
      <w:r w:rsidRPr="00ED4931">
        <w:rPr>
          <w:sz w:val="28"/>
          <w:szCs w:val="28"/>
          <w:lang w:val="ru-RU"/>
        </w:rPr>
        <w:t xml:space="preserve">Модель Гордона, при всей её вычислительной простоте и широкой распространённости, обладает фундаментальным недостатком: критической чувствительностью к выбору параметра </w:t>
      </w:r>
      <w:r w:rsidRPr="00ED4931">
        <w:rPr>
          <w:sz w:val="28"/>
          <w:szCs w:val="28"/>
          <w:lang w:val="en-US"/>
        </w:rPr>
        <w:t>g</w:t>
      </w:r>
      <w:r w:rsidRPr="00ED4931">
        <w:rPr>
          <w:sz w:val="28"/>
          <w:szCs w:val="28"/>
          <w:lang w:val="ru-RU"/>
        </w:rPr>
        <w:t xml:space="preserve"> — долгосрочного темпа роста. Незначительное изменение этого допущения (например, с 2% до 2,5%) способно изменить итоговую оценку терминальной стоимости на 15–25%, что ставит под сомнение надёжность результата. </w:t>
      </w:r>
      <w:r w:rsidRPr="00ED4931">
        <w:rPr>
          <w:sz w:val="28"/>
          <w:szCs w:val="28"/>
        </w:rPr>
        <w:t>Эта проблема становится особенно острой в случаях, когда горизонт прогнозирования ограничен (например, 5–7 лет), и терминальная стоимость составляет значительную долю итоговой оценки. При длительных прогнозных периодах (10–15 лет и более) чувствительность к g снижается, поскольку основная ценность проекта формируется в явном прогнозном периоде, однако проблема субъективного выбора параметра g сохраняется как методологический вызов</w:t>
      </w:r>
      <w:r>
        <w:rPr>
          <w:sz w:val="28"/>
          <w:szCs w:val="28"/>
          <w:lang w:val="ru-RU"/>
        </w:rPr>
        <w:t xml:space="preserve">. </w:t>
      </w:r>
      <w:r w:rsidR="002C5460">
        <w:rPr>
          <w:sz w:val="28"/>
          <w:szCs w:val="28"/>
          <w:lang w:val="ru-RU"/>
        </w:rPr>
        <w:t>Стоит отметить</w:t>
      </w:r>
      <w:r w:rsidR="002C5460" w:rsidRPr="002C5460">
        <w:rPr>
          <w:sz w:val="28"/>
          <w:szCs w:val="28"/>
        </w:rPr>
        <w:t xml:space="preserve">, что уязвимость такого типа была </w:t>
      </w:r>
      <w:r w:rsidR="002C5460" w:rsidRPr="002C5460">
        <w:rPr>
          <w:sz w:val="28"/>
          <w:szCs w:val="28"/>
        </w:rPr>
        <w:lastRenderedPageBreak/>
        <w:t>зафиксирована в §1.1 применительно к периоду конкурентного преимущества в модели А. Раппапорта</w:t>
      </w:r>
      <w:r w:rsidR="002C5460">
        <w:rPr>
          <w:sz w:val="28"/>
          <w:szCs w:val="28"/>
          <w:lang w:val="ru-RU"/>
        </w:rPr>
        <w:t>,</w:t>
      </w:r>
      <w:r w:rsidR="002C5460" w:rsidRPr="002C5460">
        <w:rPr>
          <w:sz w:val="28"/>
          <w:szCs w:val="28"/>
        </w:rPr>
        <w:t xml:space="preserve"> то есть речь идёт не о дефекте отдельной формулы, а о свойстве всей группы моделей, опирающихся на допущение о поведении компании за пределами обозримого горизонта.</w:t>
      </w:r>
    </w:p>
    <w:p w14:paraId="0ADD20C4" w14:textId="37009808" w:rsidR="00ED4931" w:rsidRPr="00ED4931" w:rsidRDefault="00ED4931" w:rsidP="00ED4931">
      <w:pPr>
        <w:pBdr>
          <w:top w:val="nil"/>
          <w:left w:val="nil"/>
          <w:bottom w:val="nil"/>
          <w:right w:val="nil"/>
          <w:between w:val="nil"/>
        </w:pBdr>
        <w:spacing w:before="2" w:line="360" w:lineRule="auto"/>
        <w:ind w:left="140" w:right="145" w:firstLine="708"/>
        <w:jc w:val="both"/>
        <w:rPr>
          <w:sz w:val="28"/>
          <w:szCs w:val="28"/>
          <w:lang w:val="ru-RU"/>
        </w:rPr>
      </w:pPr>
      <w:r w:rsidRPr="00ED4931">
        <w:rPr>
          <w:sz w:val="28"/>
          <w:szCs w:val="28"/>
          <w:lang w:val="ru-RU"/>
        </w:rPr>
        <w:t xml:space="preserve">В качестве альтернативы классической модели Гордона в оценочной практике применяется </w:t>
      </w:r>
      <w:r w:rsidRPr="00ED4931">
        <w:rPr>
          <w:sz w:val="28"/>
          <w:szCs w:val="28"/>
          <w:lang w:val="en-US"/>
        </w:rPr>
        <w:t>H</w:t>
      </w:r>
      <w:r w:rsidRPr="00ED4931">
        <w:rPr>
          <w:sz w:val="28"/>
          <w:szCs w:val="28"/>
          <w:lang w:val="ru-RU"/>
        </w:rPr>
        <w:t>-модель, которая позволяет учесть постепенное линейное затухание темпов роста в постпрогнозном периоде, избегая искусственного скачка между фазами роста</w:t>
      </w:r>
      <w:r w:rsidR="003E63A8">
        <w:rPr>
          <w:sz w:val="28"/>
          <w:szCs w:val="28"/>
          <w:lang w:val="ru-RU"/>
        </w:rPr>
        <w:t xml:space="preserve">. </w:t>
      </w:r>
      <w:r w:rsidRPr="00ED4931">
        <w:rPr>
          <w:sz w:val="28"/>
          <w:szCs w:val="28"/>
          <w:lang w:val="en-US"/>
        </w:rPr>
        <w:t>H</w:t>
      </w:r>
      <w:r w:rsidRPr="00ED4931">
        <w:rPr>
          <w:sz w:val="28"/>
          <w:szCs w:val="28"/>
          <w:lang w:val="ru-RU"/>
        </w:rPr>
        <w:t xml:space="preserve">-модель была предложена как развитие двухстадийной модели дисконтирования дивидендов, сглаживающее резкий переход между фазами высокого и стабильного роста. В отличие от классической модели Гордона, предполагающей мгновенный переход к постоянному темпу роста, </w:t>
      </w:r>
      <w:r w:rsidRPr="00ED4931">
        <w:rPr>
          <w:sz w:val="28"/>
          <w:szCs w:val="28"/>
          <w:lang w:val="en-US"/>
        </w:rPr>
        <w:t>H</w:t>
      </w:r>
      <w:r w:rsidRPr="00ED4931">
        <w:rPr>
          <w:sz w:val="28"/>
          <w:szCs w:val="28"/>
          <w:lang w:val="ru-RU"/>
        </w:rPr>
        <w:t xml:space="preserve">-модель предполагает, что темп роста линейно снижается от начального повышенного уровня </w:t>
      </w:r>
      <w:r w:rsidRPr="00ED4931">
        <w:rPr>
          <w:sz w:val="28"/>
          <w:szCs w:val="28"/>
          <w:lang w:val="en-US"/>
        </w:rPr>
        <w:t>g</w:t>
      </w:r>
      <w:r w:rsidRPr="00ED4931">
        <w:rPr>
          <w:sz w:val="28"/>
          <w:szCs w:val="28"/>
          <w:lang w:val="ru-RU"/>
        </w:rPr>
        <w:t>_{</w:t>
      </w:r>
      <w:r w:rsidRPr="00ED4931">
        <w:rPr>
          <w:sz w:val="28"/>
          <w:szCs w:val="28"/>
          <w:lang w:val="en-US"/>
        </w:rPr>
        <w:t>high</w:t>
      </w:r>
      <w:r w:rsidRPr="00ED4931">
        <w:rPr>
          <w:sz w:val="28"/>
          <w:szCs w:val="28"/>
          <w:lang w:val="ru-RU"/>
        </w:rPr>
        <w:t xml:space="preserve">} до долгосрочного стабильного </w:t>
      </w:r>
      <w:r w:rsidRPr="00ED4931">
        <w:rPr>
          <w:sz w:val="28"/>
          <w:szCs w:val="28"/>
          <w:lang w:val="en-US"/>
        </w:rPr>
        <w:t>g</w:t>
      </w:r>
      <w:r w:rsidRPr="00ED4931">
        <w:rPr>
          <w:sz w:val="28"/>
          <w:szCs w:val="28"/>
          <w:lang w:val="ru-RU"/>
        </w:rPr>
        <w:t>_{</w:t>
      </w:r>
      <w:r w:rsidRPr="00ED4931">
        <w:rPr>
          <w:sz w:val="28"/>
          <w:szCs w:val="28"/>
          <w:lang w:val="en-US"/>
        </w:rPr>
        <w:t>stable</w:t>
      </w:r>
      <w:r w:rsidRPr="00ED4931">
        <w:rPr>
          <w:sz w:val="28"/>
          <w:szCs w:val="28"/>
          <w:lang w:val="ru-RU"/>
        </w:rPr>
        <w:t>} в течение заданного переходного периода</w:t>
      </w:r>
      <w:r w:rsidR="003E63A8">
        <w:rPr>
          <w:rStyle w:val="a7"/>
          <w:sz w:val="28"/>
          <w:szCs w:val="28"/>
          <w:lang w:val="ru-RU"/>
        </w:rPr>
        <w:footnoteReference w:id="164"/>
      </w:r>
      <w:r w:rsidRPr="00ED4931">
        <w:rPr>
          <w:sz w:val="28"/>
          <w:szCs w:val="28"/>
          <w:lang w:val="ru-RU"/>
        </w:rPr>
        <w:t>.</w:t>
      </w:r>
    </w:p>
    <w:p w14:paraId="5FB2D662" w14:textId="3BE20795" w:rsidR="00ED4931" w:rsidRPr="00ED4931" w:rsidRDefault="00ED4931" w:rsidP="00ED4931">
      <w:pPr>
        <w:pBdr>
          <w:top w:val="nil"/>
          <w:left w:val="nil"/>
          <w:bottom w:val="nil"/>
          <w:right w:val="nil"/>
          <w:between w:val="nil"/>
        </w:pBdr>
        <w:spacing w:before="2" w:line="360" w:lineRule="auto"/>
        <w:ind w:left="140" w:right="145" w:firstLine="708"/>
        <w:jc w:val="both"/>
        <w:rPr>
          <w:sz w:val="28"/>
          <w:szCs w:val="28"/>
          <w:lang w:val="ru-RU"/>
        </w:rPr>
      </w:pPr>
      <w:r w:rsidRPr="00ED4931">
        <w:rPr>
          <w:sz w:val="28"/>
          <w:szCs w:val="28"/>
          <w:lang w:val="ru-RU"/>
        </w:rPr>
        <w:t xml:space="preserve">Формула </w:t>
      </w:r>
      <w:r w:rsidRPr="00ED4931">
        <w:rPr>
          <w:sz w:val="28"/>
          <w:szCs w:val="28"/>
          <w:lang w:val="en-US"/>
        </w:rPr>
        <w:t>H</w:t>
      </w:r>
      <w:r w:rsidRPr="00ED4931">
        <w:rPr>
          <w:sz w:val="28"/>
          <w:szCs w:val="28"/>
          <w:lang w:val="ru-RU"/>
        </w:rPr>
        <w:t>-модели для расчёта терминальной стоимости на конец прогнозного периода принимает следующий вид</w:t>
      </w:r>
      <w:r w:rsidR="00F45D18">
        <w:rPr>
          <w:rStyle w:val="a7"/>
          <w:sz w:val="28"/>
          <w:szCs w:val="28"/>
          <w:lang w:val="ru-RU"/>
        </w:rPr>
        <w:footnoteReference w:id="165"/>
      </w:r>
      <w:r w:rsidRPr="00ED4931">
        <w:rPr>
          <w:sz w:val="28"/>
          <w:szCs w:val="28"/>
          <w:lang w:val="ru-RU"/>
        </w:rPr>
        <w:t>:</w:t>
      </w:r>
    </w:p>
    <w:p w14:paraId="31E2DEE4" w14:textId="144B2346" w:rsidR="00ED4931" w:rsidRDefault="00F45D18" w:rsidP="007E66B2">
      <w:pPr>
        <w:pBdr>
          <w:top w:val="nil"/>
          <w:left w:val="nil"/>
          <w:bottom w:val="nil"/>
          <w:right w:val="nil"/>
          <w:between w:val="nil"/>
        </w:pBdr>
        <w:spacing w:before="2" w:line="360" w:lineRule="auto"/>
        <w:ind w:left="140" w:right="145" w:firstLine="708"/>
        <w:jc w:val="both"/>
        <w:rPr>
          <w:sz w:val="28"/>
          <w:szCs w:val="28"/>
          <w:lang w:val="ru-RU"/>
        </w:rPr>
      </w:pPr>
      <m:oMathPara>
        <m:oMath>
          <m:r>
            <w:rPr>
              <w:rFonts w:ascii="Cambria Math" w:hAnsi="Cambria Math"/>
              <w:sz w:val="28"/>
              <w:szCs w:val="28"/>
              <w:lang w:val="en-US"/>
            </w:rPr>
            <m:t>TV=</m:t>
          </m:r>
          <m:f>
            <m:fPr>
              <m:ctrlPr>
                <w:rPr>
                  <w:rFonts w:ascii="Cambria Math" w:hAnsi="Cambria Math"/>
                  <w:i/>
                  <w:sz w:val="28"/>
                  <w:szCs w:val="28"/>
                  <w:lang w:val="ru-RU"/>
                </w:rPr>
              </m:ctrlPr>
            </m:fPr>
            <m:num>
              <m:sSub>
                <m:sSubPr>
                  <m:ctrlPr>
                    <w:rPr>
                      <w:rFonts w:ascii="Cambria Math" w:hAnsi="Cambria Math"/>
                      <w:i/>
                      <w:sz w:val="28"/>
                      <w:szCs w:val="28"/>
                      <w:lang w:val="en-US"/>
                    </w:rPr>
                  </m:ctrlPr>
                </m:sSubPr>
                <m:e>
                  <m:r>
                    <w:rPr>
                      <w:rFonts w:ascii="Cambria Math" w:hAnsi="Cambria Math"/>
                      <w:sz w:val="28"/>
                      <w:szCs w:val="28"/>
                      <w:lang w:val="en-US"/>
                    </w:rPr>
                    <m:t>FCF</m:t>
                  </m:r>
                </m:e>
                <m:sub>
                  <m:r>
                    <w:rPr>
                      <w:rFonts w:ascii="Cambria Math" w:hAnsi="Cambria Math"/>
                      <w:sz w:val="28"/>
                      <w:szCs w:val="28"/>
                      <w:lang w:val="en-US"/>
                    </w:rPr>
                    <m:t>n</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FCF</m:t>
                  </m:r>
                </m:e>
                <m:sub>
                  <m:r>
                    <w:rPr>
                      <w:rFonts w:ascii="Cambria Math" w:hAnsi="Cambria Math"/>
                      <w:sz w:val="28"/>
                      <w:szCs w:val="28"/>
                      <w:lang w:val="en-US"/>
                    </w:rPr>
                    <m:t>n</m:t>
                  </m:r>
                </m:sub>
              </m:sSub>
              <m:r>
                <w:rPr>
                  <w:rFonts w:ascii="Cambria Math" w:hAnsi="Cambria Math"/>
                  <w:sz w:val="28"/>
                  <w:szCs w:val="28"/>
                  <w:lang w:val="en-US"/>
                </w:rPr>
                <m:t>×H×(</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high</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r>
                <w:rPr>
                  <w:rFonts w:ascii="Cambria Math" w:hAnsi="Cambria Math"/>
                  <w:sz w:val="28"/>
                  <w:szCs w:val="28"/>
                  <w:lang w:val="en-US"/>
                </w:rPr>
                <m:t>)</m:t>
              </m:r>
            </m:num>
            <m:den>
              <m:r>
                <w:rPr>
                  <w:rFonts w:ascii="Cambria Math" w:hAnsi="Cambria Math"/>
                  <w:sz w:val="28"/>
                  <w:szCs w:val="28"/>
                  <w:lang w:val="ru-RU"/>
                </w:rPr>
                <m:t>r</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den>
          </m:f>
        </m:oMath>
      </m:oMathPara>
    </w:p>
    <w:p w14:paraId="31CD885D" w14:textId="333F8DB9" w:rsidR="00D74B0C" w:rsidRPr="00D74B0C" w:rsidRDefault="00D74B0C" w:rsidP="00D74B0C">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lang w:val="ru-RU"/>
        </w:rPr>
        <w:t xml:space="preserve">где </w:t>
      </w:r>
      <w:r w:rsidRPr="00D74B0C">
        <w:rPr>
          <w:sz w:val="28"/>
          <w:szCs w:val="28"/>
          <w:lang w:val="en-US"/>
        </w:rPr>
        <w:t>FCFn</w:t>
      </w:r>
      <w:r w:rsidRPr="00D74B0C">
        <w:rPr>
          <w:sz w:val="28"/>
          <w:szCs w:val="28"/>
          <w:lang w:val="ru-RU"/>
        </w:rPr>
        <w:t xml:space="preserve"> — денежный поток последнего года прогнозного периода;</w:t>
      </w:r>
    </w:p>
    <w:p w14:paraId="34F51D52" w14:textId="62B0C9EE" w:rsidR="00D74B0C" w:rsidRPr="00D74B0C" w:rsidRDefault="00D74B0C" w:rsidP="00D74B0C">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lang w:val="en-US"/>
        </w:rPr>
        <w:t>g</w:t>
      </w:r>
      <w:r w:rsidRPr="00D74B0C">
        <w:rPr>
          <w:sz w:val="28"/>
          <w:szCs w:val="28"/>
          <w:lang w:val="ru-RU"/>
        </w:rPr>
        <w:t>_</w:t>
      </w:r>
      <w:r w:rsidRPr="00D74B0C">
        <w:rPr>
          <w:sz w:val="28"/>
          <w:szCs w:val="28"/>
          <w:lang w:val="en-US"/>
        </w:rPr>
        <w:t>high</w:t>
      </w:r>
      <w:r w:rsidRPr="00D74B0C">
        <w:rPr>
          <w:sz w:val="28"/>
          <w:szCs w:val="28"/>
          <w:lang w:val="ru-RU"/>
        </w:rPr>
        <w:t xml:space="preserve"> — начальный темп роста в постпрогнозном периоде;</w:t>
      </w:r>
    </w:p>
    <w:p w14:paraId="7514867B" w14:textId="77777777" w:rsidR="00D74B0C" w:rsidRPr="00D74B0C" w:rsidRDefault="00D74B0C" w:rsidP="00D74B0C">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lang w:val="en-US"/>
        </w:rPr>
        <w:t>g</w:t>
      </w:r>
      <w:r w:rsidRPr="00D74B0C">
        <w:rPr>
          <w:sz w:val="28"/>
          <w:szCs w:val="28"/>
          <w:lang w:val="ru-RU"/>
        </w:rPr>
        <w:t>_</w:t>
      </w:r>
      <w:r w:rsidRPr="00D74B0C">
        <w:rPr>
          <w:sz w:val="28"/>
          <w:szCs w:val="28"/>
          <w:lang w:val="en-US"/>
        </w:rPr>
        <w:t>stable</w:t>
      </w:r>
      <w:r w:rsidRPr="00D74B0C">
        <w:rPr>
          <w:sz w:val="28"/>
          <w:szCs w:val="28"/>
          <w:lang w:val="ru-RU"/>
        </w:rPr>
        <w:t xml:space="preserve"> — долгосрочный стабильный темп роста;</w:t>
      </w:r>
    </w:p>
    <w:p w14:paraId="59D18B21" w14:textId="278BB6D2" w:rsidR="00D74B0C" w:rsidRPr="00D74B0C" w:rsidRDefault="00D74B0C" w:rsidP="00D74B0C">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lang w:val="en-US"/>
        </w:rPr>
        <w:t>r</w:t>
      </w:r>
      <w:r w:rsidRPr="00D74B0C">
        <w:rPr>
          <w:sz w:val="28"/>
          <w:szCs w:val="28"/>
          <w:lang w:val="ru-RU"/>
        </w:rPr>
        <w:t xml:space="preserve"> — ставка дисконтирования (</w:t>
      </w:r>
      <w:r w:rsidRPr="00D74B0C">
        <w:rPr>
          <w:sz w:val="28"/>
          <w:szCs w:val="28"/>
          <w:lang w:val="en-US"/>
        </w:rPr>
        <w:t>WACC</w:t>
      </w:r>
      <w:r w:rsidRPr="00D74B0C">
        <w:rPr>
          <w:sz w:val="28"/>
          <w:szCs w:val="28"/>
          <w:lang w:val="ru-RU"/>
        </w:rPr>
        <w:t>);</w:t>
      </w:r>
    </w:p>
    <w:p w14:paraId="56D34CC6" w14:textId="1D11F7E8" w:rsidR="00D74B0C" w:rsidRPr="00D74B0C" w:rsidRDefault="00D74B0C" w:rsidP="00D74B0C">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lang w:val="en-US"/>
        </w:rPr>
        <w:t>H</w:t>
      </w:r>
      <w:r w:rsidRPr="00D74B0C">
        <w:rPr>
          <w:sz w:val="28"/>
          <w:szCs w:val="28"/>
          <w:lang w:val="ru-RU"/>
        </w:rPr>
        <w:t xml:space="preserve"> — половина продолжительности переходного периода, за который рост снижается с </w:t>
      </w:r>
      <w:r w:rsidRPr="00D74B0C">
        <w:rPr>
          <w:sz w:val="28"/>
          <w:szCs w:val="28"/>
          <w:lang w:val="en-US"/>
        </w:rPr>
        <w:t>g</w:t>
      </w:r>
      <w:r w:rsidRPr="00D74B0C">
        <w:rPr>
          <w:sz w:val="28"/>
          <w:szCs w:val="28"/>
          <w:lang w:val="ru-RU"/>
        </w:rPr>
        <w:t>_</w:t>
      </w:r>
      <w:r w:rsidRPr="00D74B0C">
        <w:rPr>
          <w:sz w:val="28"/>
          <w:szCs w:val="28"/>
          <w:lang w:val="en-US"/>
        </w:rPr>
        <w:t>high</w:t>
      </w:r>
      <w:r w:rsidRPr="00D74B0C">
        <w:rPr>
          <w:sz w:val="28"/>
          <w:szCs w:val="28"/>
          <w:lang w:val="ru-RU"/>
        </w:rPr>
        <w:t xml:space="preserve"> до </w:t>
      </w:r>
      <w:r w:rsidRPr="00D74B0C">
        <w:rPr>
          <w:sz w:val="28"/>
          <w:szCs w:val="28"/>
          <w:lang w:val="en-US"/>
        </w:rPr>
        <w:t>g</w:t>
      </w:r>
      <w:r w:rsidRPr="00D74B0C">
        <w:rPr>
          <w:sz w:val="28"/>
          <w:szCs w:val="28"/>
          <w:lang w:val="ru-RU"/>
        </w:rPr>
        <w:t>_</w:t>
      </w:r>
      <w:r w:rsidRPr="00D74B0C">
        <w:rPr>
          <w:sz w:val="28"/>
          <w:szCs w:val="28"/>
          <w:lang w:val="en-US"/>
        </w:rPr>
        <w:t>stabl</w:t>
      </w:r>
      <w:r>
        <w:rPr>
          <w:sz w:val="28"/>
          <w:szCs w:val="28"/>
          <w:lang w:val="en-US"/>
        </w:rPr>
        <w:t>e</w:t>
      </w:r>
      <w:r w:rsidRPr="00D74B0C">
        <w:rPr>
          <w:sz w:val="28"/>
          <w:szCs w:val="28"/>
          <w:lang w:val="ru-RU"/>
        </w:rPr>
        <w:t>.</w:t>
      </w:r>
    </w:p>
    <w:p w14:paraId="41F00740" w14:textId="7DC50055" w:rsidR="00ED4931" w:rsidRPr="0007664B" w:rsidRDefault="00D74B0C" w:rsidP="007E66B2">
      <w:pPr>
        <w:pBdr>
          <w:top w:val="nil"/>
          <w:left w:val="nil"/>
          <w:bottom w:val="nil"/>
          <w:right w:val="nil"/>
          <w:between w:val="nil"/>
        </w:pBdr>
        <w:spacing w:before="2" w:line="360" w:lineRule="auto"/>
        <w:ind w:left="140" w:right="145" w:firstLine="708"/>
        <w:jc w:val="both"/>
        <w:rPr>
          <w:sz w:val="28"/>
          <w:szCs w:val="28"/>
          <w:lang w:val="ru-RU"/>
        </w:rPr>
      </w:pPr>
      <w:r w:rsidRPr="00D74B0C">
        <w:rPr>
          <w:sz w:val="28"/>
          <w:szCs w:val="28"/>
        </w:rPr>
        <w:t xml:space="preserve">Логика формулы заключается в том, что первое слагаемое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r>
                  <w:rPr>
                    <w:rFonts w:ascii="Cambria Math" w:hAnsi="Cambria Math"/>
                    <w:sz w:val="28"/>
                    <w:szCs w:val="28"/>
                    <w:lang w:val="en-US"/>
                  </w:rPr>
                  <m:t>CF</m:t>
                </m:r>
              </m:e>
              <m:sub>
                <m:r>
                  <w:rPr>
                    <w:rFonts w:ascii="Cambria Math" w:hAnsi="Cambria Math"/>
                    <w:sz w:val="28"/>
                    <w:szCs w:val="28"/>
                  </w:rPr>
                  <m:t>n</m:t>
                </m:r>
              </m:sub>
            </m:sSub>
            <m:r>
              <w:rPr>
                <w:rFonts w:ascii="Cambria Math" w:hAnsi="Cambria Math"/>
                <w:sz w:val="28"/>
                <w:szCs w:val="28"/>
              </w:rPr>
              <m:t>×(</m:t>
            </m:r>
            <m:r>
              <w:rPr>
                <w:rFonts w:ascii="Cambria Math" w:hAnsi="Cambria Math"/>
                <w:sz w:val="28"/>
                <w:szCs w:val="28"/>
                <w:lang w:val="ru-RU"/>
              </w:rPr>
              <m:t>1+</m:t>
            </m:r>
            <m:sSub>
              <m:sSubPr>
                <m:ctrlPr>
                  <w:rPr>
                    <w:rFonts w:ascii="Cambria Math" w:hAnsi="Cambria Math"/>
                    <w:i/>
                    <w:sz w:val="28"/>
                    <w:szCs w:val="28"/>
                    <w:lang w:val="ru-RU"/>
                  </w:rPr>
                </m:ctrlPr>
              </m:sSubPr>
              <m:e>
                <m:r>
                  <w:rPr>
                    <w:rFonts w:ascii="Cambria Math" w:hAnsi="Cambria Math"/>
                    <w:sz w:val="28"/>
                    <w:szCs w:val="28"/>
                    <w:lang w:val="ru-RU"/>
                  </w:rPr>
                  <m:t>g</m:t>
                </m:r>
              </m:e>
              <m:sub>
                <m:r>
                  <w:rPr>
                    <w:rFonts w:ascii="Cambria Math" w:hAnsi="Cambria Math"/>
                    <w:sz w:val="28"/>
                    <w:szCs w:val="28"/>
                    <w:lang w:val="ru-RU"/>
                  </w:rPr>
                  <m:t>s</m:t>
                </m:r>
                <m:r>
                  <w:rPr>
                    <w:rFonts w:ascii="Cambria Math" w:hAnsi="Cambria Math"/>
                    <w:sz w:val="28"/>
                    <w:szCs w:val="28"/>
                    <w:lang w:val="en-US"/>
                  </w:rPr>
                  <m:t>table</m:t>
                </m:r>
              </m:sub>
            </m:sSub>
            <m:r>
              <w:rPr>
                <w:rFonts w:ascii="Cambria Math" w:hAnsi="Cambria Math"/>
                <w:sz w:val="28"/>
                <w:szCs w:val="28"/>
                <w:lang w:val="ru-RU"/>
              </w:rPr>
              <m:t>)</m:t>
            </m:r>
          </m:num>
          <m:den>
            <m:r>
              <w:rPr>
                <w:rFonts w:ascii="Cambria Math" w:hAnsi="Cambria Math"/>
                <w:sz w:val="28"/>
                <w:szCs w:val="28"/>
              </w:rPr>
              <m:t>r</m:t>
            </m:r>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den>
        </m:f>
      </m:oMath>
      <w:r w:rsidRPr="00D74B0C">
        <w:rPr>
          <w:sz w:val="28"/>
          <w:szCs w:val="28"/>
        </w:rPr>
        <w:t xml:space="preserve"> отражает стоимость при условии немедленного перехода к стабильному росту, а второе слагаемое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r>
                  <w:rPr>
                    <w:rFonts w:ascii="Cambria Math" w:hAnsi="Cambria Math"/>
                    <w:sz w:val="28"/>
                    <w:szCs w:val="28"/>
                    <w:lang w:val="en-US"/>
                  </w:rPr>
                  <m:t>CF</m:t>
                </m:r>
              </m:e>
              <m:sub>
                <m:r>
                  <w:rPr>
                    <w:rFonts w:ascii="Cambria Math" w:hAnsi="Cambria Math"/>
                    <w:sz w:val="28"/>
                    <w:szCs w:val="28"/>
                  </w:rPr>
                  <m:t>n</m:t>
                </m:r>
              </m:sub>
            </m:sSub>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h</m:t>
                </m:r>
                <m:r>
                  <w:rPr>
                    <w:rFonts w:ascii="Cambria Math" w:hAnsi="Cambria Math"/>
                    <w:sz w:val="28"/>
                    <w:szCs w:val="28"/>
                    <w:lang w:val="en-US"/>
                  </w:rPr>
                  <m:t>ig</m:t>
                </m:r>
                <m:r>
                  <w:rPr>
                    <w:rFonts w:ascii="Cambria Math" w:hAnsi="Cambria Math"/>
                    <w:sz w:val="28"/>
                    <w:szCs w:val="28"/>
                    <w:lang w:val="ru-RU"/>
                  </w:rPr>
                  <m:t>h</m:t>
                </m:r>
              </m:sub>
            </m:sSub>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r>
              <w:rPr>
                <w:rFonts w:ascii="Cambria Math" w:hAnsi="Cambria Math"/>
                <w:sz w:val="28"/>
                <w:szCs w:val="28"/>
                <w:lang w:val="ru-RU"/>
              </w:rPr>
              <m:t>)</m:t>
            </m:r>
          </m:num>
          <m:den>
            <m:r>
              <w:rPr>
                <w:rFonts w:ascii="Cambria Math" w:hAnsi="Cambria Math"/>
                <w:sz w:val="28"/>
                <w:szCs w:val="28"/>
              </w:rPr>
              <m:t>r</m:t>
            </m:r>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stable</m:t>
                </m:r>
              </m:sub>
            </m:sSub>
          </m:den>
        </m:f>
      </m:oMath>
      <w:r w:rsidR="002566B2" w:rsidRPr="002566B2">
        <w:rPr>
          <w:sz w:val="28"/>
          <w:szCs w:val="28"/>
          <w:lang w:val="ru-RU"/>
        </w:rPr>
        <w:t xml:space="preserve"> </w:t>
      </w:r>
      <w:r w:rsidRPr="00D74B0C">
        <w:rPr>
          <w:sz w:val="28"/>
          <w:szCs w:val="28"/>
        </w:rPr>
        <w:t xml:space="preserve">представляет собой премию за </w:t>
      </w:r>
      <w:r w:rsidRPr="00D74B0C">
        <w:rPr>
          <w:sz w:val="28"/>
          <w:szCs w:val="28"/>
        </w:rPr>
        <w:lastRenderedPageBreak/>
        <w:t>дополнительный сверхрост в переходном периоде. Таким образом, H-модель позволяет учесть постепенное угасание конкурентных преимуществ компании без необходимости строить отдельный детализированный прогноз на каждый год переходного периода, что делает её удобным инструментом в сочетании с драйверным прогнозом явного периода</w:t>
      </w:r>
      <w:r w:rsidR="00F47A75">
        <w:rPr>
          <w:rStyle w:val="a7"/>
          <w:sz w:val="28"/>
          <w:szCs w:val="28"/>
        </w:rPr>
        <w:footnoteReference w:id="166"/>
      </w:r>
      <w:r w:rsidRPr="00D74B0C">
        <w:rPr>
          <w:sz w:val="28"/>
          <w:szCs w:val="28"/>
        </w:rPr>
        <w:t>.</w:t>
      </w:r>
      <w:r w:rsidR="002566B2" w:rsidRPr="002566B2">
        <w:rPr>
          <w:sz w:val="28"/>
          <w:szCs w:val="28"/>
          <w:lang w:val="ru-RU"/>
        </w:rPr>
        <w:t xml:space="preserve"> </w:t>
      </w:r>
    </w:p>
    <w:p w14:paraId="36FE8792" w14:textId="0CCC670C" w:rsidR="00F47A75" w:rsidRDefault="00F47A75" w:rsidP="00450C2A">
      <w:pPr>
        <w:pBdr>
          <w:top w:val="nil"/>
          <w:left w:val="nil"/>
          <w:bottom w:val="nil"/>
          <w:right w:val="nil"/>
          <w:between w:val="nil"/>
        </w:pBdr>
        <w:spacing w:before="2" w:line="360" w:lineRule="auto"/>
        <w:ind w:left="140" w:right="145" w:firstLine="708"/>
        <w:jc w:val="both"/>
        <w:rPr>
          <w:sz w:val="28"/>
          <w:szCs w:val="28"/>
          <w:lang w:val="ru-RU"/>
        </w:rPr>
      </w:pPr>
      <w:r w:rsidRPr="00F47A75">
        <w:rPr>
          <w:sz w:val="28"/>
          <w:szCs w:val="28"/>
        </w:rPr>
        <w:t>Кроме того, использование H-модели на практике позволяет снизить риски субъективного завышения оценки, связанные с конфликтом интересов инвестора-архитектора выхода, описанным в §1.1. Классическая модель Гордона создаёт у оценщика или менеджмента компании иллюзию безопасного завышения терминальной стоимости: даже незначительное на первый взгляд увеличение параметра g_stable в знаменателе (r − g) приводит к непропорционально большому росту итоговой стоимости, что может быть использовано для обоснования завышенной цены актива в интересах заинтересованной стороны</w:t>
      </w:r>
      <w:r w:rsidR="00C05685" w:rsidRPr="00C05685">
        <w:rPr>
          <w:sz w:val="28"/>
          <w:szCs w:val="28"/>
          <w:lang w:val="ru-RU"/>
        </w:rPr>
        <w:t xml:space="preserve">, </w:t>
      </w:r>
      <w:r w:rsidR="00C05685">
        <w:rPr>
          <w:sz w:val="28"/>
          <w:szCs w:val="28"/>
          <w:lang w:val="ru-RU"/>
        </w:rPr>
        <w:t>например</w:t>
      </w:r>
      <w:r w:rsidRPr="00F47A75">
        <w:rPr>
          <w:sz w:val="28"/>
          <w:szCs w:val="28"/>
        </w:rPr>
        <w:t xml:space="preserve"> при получении бонусов, привлечении инвестиций или в сделках M&amp;A.</w:t>
      </w:r>
    </w:p>
    <w:p w14:paraId="02D2ED10" w14:textId="77777777" w:rsidR="000958A3" w:rsidRDefault="00F47A75" w:rsidP="00450C2A">
      <w:pPr>
        <w:pBdr>
          <w:top w:val="nil"/>
          <w:left w:val="nil"/>
          <w:bottom w:val="nil"/>
          <w:right w:val="nil"/>
          <w:between w:val="nil"/>
        </w:pBdr>
        <w:spacing w:before="2" w:line="360" w:lineRule="auto"/>
        <w:ind w:left="140" w:right="145" w:firstLine="708"/>
        <w:jc w:val="both"/>
        <w:rPr>
          <w:sz w:val="28"/>
          <w:szCs w:val="28"/>
          <w:lang w:val="ru-RU"/>
        </w:rPr>
      </w:pPr>
      <w:r w:rsidRPr="00F47A75">
        <w:rPr>
          <w:sz w:val="28"/>
          <w:szCs w:val="28"/>
        </w:rPr>
        <w:t>В рамках предлагаемого</w:t>
      </w:r>
      <w:r w:rsidR="000958A3">
        <w:rPr>
          <w:sz w:val="28"/>
          <w:szCs w:val="28"/>
          <w:lang w:val="ru-RU"/>
        </w:rPr>
        <w:t xml:space="preserve"> Н-моделью</w:t>
      </w:r>
      <w:r w:rsidRPr="00F47A75">
        <w:rPr>
          <w:sz w:val="28"/>
          <w:szCs w:val="28"/>
        </w:rPr>
        <w:t xml:space="preserve"> подхода</w:t>
      </w:r>
      <w:r w:rsidR="000958A3">
        <w:rPr>
          <w:sz w:val="28"/>
          <w:szCs w:val="28"/>
          <w:lang w:val="ru-RU"/>
        </w:rPr>
        <w:t xml:space="preserve"> </w:t>
      </w:r>
      <w:r w:rsidRPr="00F47A75">
        <w:rPr>
          <w:sz w:val="28"/>
          <w:szCs w:val="28"/>
        </w:rPr>
        <w:t xml:space="preserve">начальный темп роста g_high не является произвольным допущением, а определяется на основе данных прогнозного периода, что исключает субъективизм в его выборе. </w:t>
      </w:r>
      <w:r w:rsidR="000958A3">
        <w:rPr>
          <w:sz w:val="28"/>
          <w:szCs w:val="28"/>
          <w:lang w:val="ru-RU"/>
        </w:rPr>
        <w:t>Однако открытыми для манипуляций остаются две вводные</w:t>
      </w:r>
      <w:r w:rsidR="000958A3" w:rsidRPr="000958A3">
        <w:rPr>
          <w:sz w:val="28"/>
          <w:szCs w:val="28"/>
          <w:lang w:val="ru-RU"/>
        </w:rPr>
        <w:t xml:space="preserve">: </w:t>
      </w:r>
      <w:r w:rsidR="000958A3" w:rsidRPr="00F47A75">
        <w:rPr>
          <w:sz w:val="28"/>
          <w:szCs w:val="28"/>
        </w:rPr>
        <w:t>g_stable</w:t>
      </w:r>
      <w:r w:rsidR="000958A3">
        <w:rPr>
          <w:sz w:val="28"/>
          <w:szCs w:val="28"/>
          <w:lang w:val="ru-RU"/>
        </w:rPr>
        <w:t xml:space="preserve"> и продолжительность переходного периода. </w:t>
      </w:r>
    </w:p>
    <w:p w14:paraId="3903283F" w14:textId="77777777" w:rsidR="00234367" w:rsidRDefault="00C05685" w:rsidP="00450C2A">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Несмотря на то, что</w:t>
      </w:r>
      <w:r w:rsidR="00F47A75" w:rsidRPr="00F47A75">
        <w:rPr>
          <w:sz w:val="28"/>
          <w:szCs w:val="28"/>
        </w:rPr>
        <w:t xml:space="preserve"> </w:t>
      </w:r>
      <w:r>
        <w:rPr>
          <w:sz w:val="28"/>
          <w:szCs w:val="28"/>
          <w:lang w:val="ru-RU"/>
        </w:rPr>
        <w:t xml:space="preserve">в </w:t>
      </w:r>
      <w:r w:rsidRPr="00F47A75">
        <w:rPr>
          <w:sz w:val="28"/>
          <w:szCs w:val="28"/>
        </w:rPr>
        <w:t>H-модел</w:t>
      </w:r>
      <w:r>
        <w:rPr>
          <w:sz w:val="28"/>
          <w:szCs w:val="28"/>
          <w:lang w:val="ru-RU"/>
        </w:rPr>
        <w:t xml:space="preserve">и </w:t>
      </w:r>
      <w:r w:rsidR="00F47A75" w:rsidRPr="00F47A75">
        <w:rPr>
          <w:sz w:val="28"/>
          <w:szCs w:val="28"/>
        </w:rPr>
        <w:t>долгосрочный темп роста g_stable</w:t>
      </w:r>
      <w:r>
        <w:rPr>
          <w:sz w:val="28"/>
          <w:szCs w:val="28"/>
          <w:lang w:val="ru-RU"/>
        </w:rPr>
        <w:t xml:space="preserve"> также</w:t>
      </w:r>
      <w:r w:rsidRPr="00C05685">
        <w:rPr>
          <w:sz w:val="28"/>
          <w:szCs w:val="28"/>
        </w:rPr>
        <w:t xml:space="preserve"> </w:t>
      </w:r>
      <w:r w:rsidRPr="00F47A75">
        <w:rPr>
          <w:sz w:val="28"/>
          <w:szCs w:val="28"/>
        </w:rPr>
        <w:t>оста</w:t>
      </w:r>
      <w:r>
        <w:rPr>
          <w:sz w:val="28"/>
          <w:szCs w:val="28"/>
          <w:lang w:val="ru-RU"/>
        </w:rPr>
        <w:t>ется</w:t>
      </w:r>
      <w:r w:rsidRPr="00F47A75">
        <w:rPr>
          <w:sz w:val="28"/>
          <w:szCs w:val="28"/>
        </w:rPr>
        <w:t xml:space="preserve"> открытым для манипуляции</w:t>
      </w:r>
      <w:r>
        <w:rPr>
          <w:sz w:val="28"/>
          <w:szCs w:val="28"/>
          <w:lang w:val="ru-RU"/>
        </w:rPr>
        <w:t>, она</w:t>
      </w:r>
      <w:r w:rsidR="00F47A75" w:rsidRPr="00F47A75">
        <w:rPr>
          <w:sz w:val="28"/>
          <w:szCs w:val="28"/>
        </w:rPr>
        <w:t xml:space="preserve"> демонстрирует своё частичное преимущество перед классической моделью Гордона: рост g_stable одновременно раздувает стоимость через уменьшение знаменателя (r − g_stable) </w:t>
      </w:r>
      <w:r>
        <w:rPr>
          <w:sz w:val="28"/>
          <w:szCs w:val="28"/>
          <w:lang w:val="ru-RU"/>
        </w:rPr>
        <w:t>(</w:t>
      </w:r>
      <w:r w:rsidR="00F47A75" w:rsidRPr="00F47A75">
        <w:rPr>
          <w:sz w:val="28"/>
          <w:szCs w:val="28"/>
        </w:rPr>
        <w:t>тот же дестабилизирующий эффект, что и у Гордона</w:t>
      </w:r>
      <w:r>
        <w:rPr>
          <w:sz w:val="28"/>
          <w:szCs w:val="28"/>
          <w:lang w:val="ru-RU"/>
        </w:rPr>
        <w:t>),</w:t>
      </w:r>
      <w:r w:rsidR="00F47A75" w:rsidRPr="00F47A75">
        <w:rPr>
          <w:sz w:val="28"/>
          <w:szCs w:val="28"/>
        </w:rPr>
        <w:t xml:space="preserve"> но при этом снижает премию за сверхрост (g_high − g_stable) в числителе, частично компенсируя первый эффект. Эта компенсация смягчает унаследованную от модели Гордона чувствительность итоговой оценки к произвольному завышению g_stable, но не устраняет её полностью.</w:t>
      </w:r>
      <w:r w:rsidR="00283231">
        <w:rPr>
          <w:sz w:val="28"/>
          <w:szCs w:val="28"/>
          <w:lang w:val="ru-RU"/>
        </w:rPr>
        <w:t xml:space="preserve"> </w:t>
      </w:r>
    </w:p>
    <w:p w14:paraId="6E2EE354" w14:textId="77777777" w:rsidR="00234367" w:rsidRDefault="00234367" w:rsidP="00234367">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Вторым параметром</w:t>
      </w:r>
      <w:r w:rsidRPr="00AF67DF">
        <w:rPr>
          <w:sz w:val="28"/>
          <w:szCs w:val="28"/>
        </w:rPr>
        <w:t xml:space="preserve"> H-модел</w:t>
      </w:r>
      <w:r>
        <w:rPr>
          <w:sz w:val="28"/>
          <w:szCs w:val="28"/>
          <w:lang w:val="ru-RU"/>
        </w:rPr>
        <w:t>и, не имеющим</w:t>
      </w:r>
      <w:r w:rsidRPr="00AF67DF">
        <w:rPr>
          <w:sz w:val="28"/>
          <w:szCs w:val="28"/>
        </w:rPr>
        <w:t xml:space="preserve"> расчётного обоснования, </w:t>
      </w:r>
      <w:r>
        <w:rPr>
          <w:sz w:val="28"/>
          <w:szCs w:val="28"/>
          <w:lang w:val="ru-RU"/>
        </w:rPr>
        <w:lastRenderedPageBreak/>
        <w:t>является</w:t>
      </w:r>
      <w:r w:rsidRPr="00AF67DF">
        <w:rPr>
          <w:sz w:val="28"/>
          <w:szCs w:val="28"/>
        </w:rPr>
        <w:t xml:space="preserve"> продолжительность переходного периода, через который выражается H. </w:t>
      </w:r>
      <w:r>
        <w:rPr>
          <w:sz w:val="28"/>
          <w:szCs w:val="28"/>
          <w:lang w:val="ru-RU"/>
        </w:rPr>
        <w:t>Формализованного</w:t>
      </w:r>
      <w:r w:rsidRPr="00AF67DF">
        <w:rPr>
          <w:sz w:val="28"/>
          <w:szCs w:val="28"/>
        </w:rPr>
        <w:t xml:space="preserve"> способа определить, за сколько лет темп роста снизится с g_high до g_stable</w:t>
      </w:r>
      <w:r>
        <w:rPr>
          <w:sz w:val="28"/>
          <w:szCs w:val="28"/>
          <w:lang w:val="ru-RU"/>
        </w:rPr>
        <w:t>, не существует. Д</w:t>
      </w:r>
      <w:r w:rsidRPr="00AF67DF">
        <w:rPr>
          <w:sz w:val="28"/>
          <w:szCs w:val="28"/>
        </w:rPr>
        <w:t xml:space="preserve">лительность утраты конкурентных преимуществ задаётся оценщиком экспертно, исходя из отраслевых соображений и суждения о конкурентной позиции компании. </w:t>
      </w:r>
    </w:p>
    <w:p w14:paraId="28ABC201" w14:textId="28C060E8" w:rsidR="00F47A75" w:rsidRDefault="00283231" w:rsidP="00450C2A">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Ниже приведен условный пример расчета, </w:t>
      </w:r>
      <w:r w:rsidR="00234367">
        <w:rPr>
          <w:sz w:val="28"/>
          <w:szCs w:val="28"/>
          <w:lang w:val="ru-RU"/>
        </w:rPr>
        <w:t xml:space="preserve">в котором сравниватся </w:t>
      </w:r>
      <w:r>
        <w:rPr>
          <w:sz w:val="28"/>
          <w:szCs w:val="28"/>
          <w:lang w:val="ru-RU"/>
        </w:rPr>
        <w:t xml:space="preserve">чувствительность </w:t>
      </w:r>
      <w:r w:rsidR="00234367">
        <w:rPr>
          <w:sz w:val="28"/>
          <w:szCs w:val="28"/>
          <w:lang w:val="ru-RU"/>
        </w:rPr>
        <w:t xml:space="preserve">к изменению </w:t>
      </w:r>
      <w:r w:rsidR="00234367" w:rsidRPr="00AF67DF">
        <w:rPr>
          <w:sz w:val="28"/>
          <w:szCs w:val="28"/>
        </w:rPr>
        <w:t>g_stable</w:t>
      </w:r>
      <w:r>
        <w:rPr>
          <w:sz w:val="28"/>
          <w:szCs w:val="28"/>
          <w:lang w:val="ru-RU"/>
        </w:rPr>
        <w:t xml:space="preserve"> Н-модели</w:t>
      </w:r>
      <w:r w:rsidR="00234367">
        <w:rPr>
          <w:sz w:val="28"/>
          <w:szCs w:val="28"/>
          <w:lang w:val="ru-RU"/>
        </w:rPr>
        <w:t xml:space="preserve"> и модели Гордона</w:t>
      </w:r>
      <w:r>
        <w:rPr>
          <w:sz w:val="28"/>
          <w:szCs w:val="28"/>
          <w:lang w:val="ru-RU"/>
        </w:rPr>
        <w:t>.</w:t>
      </w:r>
    </w:p>
    <w:p w14:paraId="591180B7" w14:textId="16B97B37" w:rsidR="00283231" w:rsidRPr="00A648EF" w:rsidRDefault="00283231" w:rsidP="00450C2A">
      <w:pPr>
        <w:pBdr>
          <w:top w:val="nil"/>
          <w:left w:val="nil"/>
          <w:bottom w:val="nil"/>
          <w:right w:val="nil"/>
          <w:between w:val="nil"/>
        </w:pBdr>
        <w:spacing w:before="2" w:line="360" w:lineRule="auto"/>
        <w:ind w:left="140" w:right="145" w:firstLine="708"/>
        <w:jc w:val="both"/>
        <w:rPr>
          <w:sz w:val="28"/>
          <w:szCs w:val="28"/>
          <w:lang w:val="ru-RU"/>
        </w:rPr>
      </w:pPr>
      <w:r w:rsidRPr="00283231">
        <w:rPr>
          <w:sz w:val="28"/>
          <w:szCs w:val="28"/>
        </w:rPr>
        <w:t>Пусть FCFn = 100 млн рублей, re = 12%, g_high = 8%, H = 3 (переходный период 6 лет), а базовый долгосрочный темп роста g_stable = 3%. Рассмотрим последовательное отклонение g_stable на 1 и на 2 процентных пункта в каждую сторону.</w:t>
      </w:r>
    </w:p>
    <w:p w14:paraId="646D608E" w14:textId="470B7E98" w:rsidR="000958A3" w:rsidRPr="000958A3" w:rsidRDefault="000958A3" w:rsidP="00450C2A">
      <w:pPr>
        <w:pBdr>
          <w:top w:val="nil"/>
          <w:left w:val="nil"/>
          <w:bottom w:val="nil"/>
          <w:right w:val="nil"/>
          <w:between w:val="nil"/>
        </w:pBdr>
        <w:spacing w:before="2" w:line="360" w:lineRule="auto"/>
        <w:ind w:left="140" w:right="145" w:firstLine="708"/>
        <w:jc w:val="both"/>
        <w:rPr>
          <w:sz w:val="28"/>
          <w:szCs w:val="28"/>
          <w:lang w:val="ru-RU"/>
        </w:rPr>
      </w:pPr>
      <w:r w:rsidRPr="000958A3">
        <w:rPr>
          <w:sz w:val="28"/>
          <w:szCs w:val="28"/>
        </w:rPr>
        <w:t>Таблица 1.4 – Чувствительность терминальной стоимости к изменению долгосрочного темпа роста: модель Гордона против H-модели</w:t>
      </w:r>
    </w:p>
    <w:tbl>
      <w:tblPr>
        <w:tblStyle w:val="ab"/>
        <w:tblW w:w="0" w:type="auto"/>
        <w:tblLook w:val="04A0" w:firstRow="1" w:lastRow="0" w:firstColumn="1" w:lastColumn="0" w:noHBand="0" w:noVBand="1"/>
      </w:tblPr>
      <w:tblGrid>
        <w:gridCol w:w="1569"/>
        <w:gridCol w:w="1907"/>
        <w:gridCol w:w="1698"/>
        <w:gridCol w:w="1751"/>
        <w:gridCol w:w="1524"/>
        <w:gridCol w:w="1751"/>
      </w:tblGrid>
      <w:tr w:rsidR="00F14503" w:rsidRPr="00F14503" w14:paraId="490B10C1" w14:textId="77777777" w:rsidTr="00F14503">
        <w:tc>
          <w:tcPr>
            <w:tcW w:w="0" w:type="auto"/>
            <w:hideMark/>
          </w:tcPr>
          <w:p w14:paraId="29D3FC59" w14:textId="77777777"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en-US"/>
              </w:rPr>
            </w:pPr>
            <w:r w:rsidRPr="00F14503">
              <w:rPr>
                <w:b/>
                <w:bCs/>
                <w:sz w:val="24"/>
                <w:szCs w:val="24"/>
                <w:lang w:val="en-US"/>
              </w:rPr>
              <w:t>g_stable</w:t>
            </w:r>
          </w:p>
        </w:tc>
        <w:tc>
          <w:tcPr>
            <w:tcW w:w="0" w:type="auto"/>
            <w:hideMark/>
          </w:tcPr>
          <w:p w14:paraId="4484A85A" w14:textId="329A32D6"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ru-RU"/>
              </w:rPr>
            </w:pPr>
            <w:r w:rsidRPr="00F14503">
              <w:rPr>
                <w:b/>
                <w:bCs/>
                <w:sz w:val="24"/>
                <w:szCs w:val="24"/>
                <w:lang w:val="en-US"/>
              </w:rPr>
              <w:t>Отклонение от баз</w:t>
            </w:r>
            <w:r>
              <w:rPr>
                <w:b/>
                <w:bCs/>
                <w:sz w:val="24"/>
                <w:szCs w:val="24"/>
                <w:lang w:val="ru-RU"/>
              </w:rPr>
              <w:t>ы</w:t>
            </w:r>
          </w:p>
        </w:tc>
        <w:tc>
          <w:tcPr>
            <w:tcW w:w="0" w:type="auto"/>
            <w:hideMark/>
          </w:tcPr>
          <w:p w14:paraId="303B67DD" w14:textId="77777777"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ru-RU"/>
              </w:rPr>
            </w:pPr>
            <w:r w:rsidRPr="00F14503">
              <w:rPr>
                <w:b/>
                <w:bCs/>
                <w:sz w:val="24"/>
                <w:szCs w:val="24"/>
                <w:lang w:val="en-US"/>
              </w:rPr>
              <w:t>TV</w:t>
            </w:r>
            <w:r w:rsidRPr="00F14503">
              <w:rPr>
                <w:b/>
                <w:bCs/>
                <w:sz w:val="24"/>
                <w:szCs w:val="24"/>
                <w:lang w:val="ru-RU"/>
              </w:rPr>
              <w:t xml:space="preserve"> по модели Гордона, млн руб.</w:t>
            </w:r>
          </w:p>
        </w:tc>
        <w:tc>
          <w:tcPr>
            <w:tcW w:w="0" w:type="auto"/>
            <w:hideMark/>
          </w:tcPr>
          <w:p w14:paraId="720C5F4D" w14:textId="7A052096"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ru-RU"/>
              </w:rPr>
            </w:pPr>
            <w:r w:rsidRPr="00F14503">
              <w:rPr>
                <w:b/>
                <w:bCs/>
                <w:sz w:val="24"/>
                <w:szCs w:val="24"/>
                <w:lang w:val="en-US"/>
              </w:rPr>
              <w:t>Изменение TV</w:t>
            </w:r>
            <w:r>
              <w:rPr>
                <w:b/>
                <w:bCs/>
                <w:sz w:val="24"/>
                <w:szCs w:val="24"/>
                <w:lang w:val="ru-RU"/>
              </w:rPr>
              <w:t xml:space="preserve">, % </w:t>
            </w:r>
          </w:p>
        </w:tc>
        <w:tc>
          <w:tcPr>
            <w:tcW w:w="0" w:type="auto"/>
            <w:hideMark/>
          </w:tcPr>
          <w:p w14:paraId="5FB0FAE4" w14:textId="2F68AC09"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ru-RU"/>
              </w:rPr>
            </w:pPr>
            <w:r w:rsidRPr="00F14503">
              <w:rPr>
                <w:b/>
                <w:bCs/>
                <w:sz w:val="24"/>
                <w:szCs w:val="24"/>
                <w:lang w:val="en-US"/>
              </w:rPr>
              <w:t>TV</w:t>
            </w:r>
            <w:r w:rsidRPr="00F14503">
              <w:rPr>
                <w:b/>
                <w:bCs/>
                <w:sz w:val="24"/>
                <w:szCs w:val="24"/>
                <w:lang w:val="ru-RU"/>
              </w:rPr>
              <w:t xml:space="preserve"> по </w:t>
            </w:r>
            <w:r w:rsidRPr="00F14503">
              <w:rPr>
                <w:b/>
                <w:bCs/>
                <w:sz w:val="24"/>
                <w:szCs w:val="24"/>
                <w:lang w:val="en-US"/>
              </w:rPr>
              <w:t>H</w:t>
            </w:r>
            <w:r w:rsidRPr="00F14503">
              <w:rPr>
                <w:b/>
                <w:bCs/>
                <w:sz w:val="24"/>
                <w:szCs w:val="24"/>
                <w:lang w:val="ru-RU"/>
              </w:rPr>
              <w:t>-модел</w:t>
            </w:r>
            <w:r>
              <w:rPr>
                <w:b/>
                <w:bCs/>
                <w:sz w:val="24"/>
                <w:szCs w:val="24"/>
                <w:lang w:val="ru-RU"/>
              </w:rPr>
              <w:t>и</w:t>
            </w:r>
            <w:r w:rsidRPr="00F14503">
              <w:rPr>
                <w:b/>
                <w:bCs/>
                <w:sz w:val="24"/>
                <w:szCs w:val="24"/>
                <w:lang w:val="ru-RU"/>
              </w:rPr>
              <w:t>, млн руб.</w:t>
            </w:r>
          </w:p>
        </w:tc>
        <w:tc>
          <w:tcPr>
            <w:tcW w:w="0" w:type="auto"/>
            <w:hideMark/>
          </w:tcPr>
          <w:p w14:paraId="2395E8A7" w14:textId="432FDC7D" w:rsidR="00F14503" w:rsidRPr="00F14503" w:rsidRDefault="00F14503" w:rsidP="00F14503">
            <w:pPr>
              <w:pBdr>
                <w:top w:val="nil"/>
                <w:left w:val="nil"/>
                <w:bottom w:val="nil"/>
                <w:right w:val="nil"/>
                <w:between w:val="nil"/>
              </w:pBdr>
              <w:spacing w:before="2" w:line="360" w:lineRule="auto"/>
              <w:ind w:left="140" w:right="145"/>
              <w:jc w:val="both"/>
              <w:rPr>
                <w:b/>
                <w:bCs/>
                <w:sz w:val="24"/>
                <w:szCs w:val="24"/>
                <w:lang w:val="ru-RU"/>
              </w:rPr>
            </w:pPr>
            <w:r w:rsidRPr="00F14503">
              <w:rPr>
                <w:b/>
                <w:bCs/>
                <w:sz w:val="24"/>
                <w:szCs w:val="24"/>
                <w:lang w:val="en-US"/>
              </w:rPr>
              <w:t>Изменение TV</w:t>
            </w:r>
            <w:r>
              <w:rPr>
                <w:b/>
                <w:bCs/>
                <w:sz w:val="24"/>
                <w:szCs w:val="24"/>
                <w:lang w:val="ru-RU"/>
              </w:rPr>
              <w:t xml:space="preserve">, %  </w:t>
            </w:r>
          </w:p>
        </w:tc>
      </w:tr>
      <w:tr w:rsidR="00F14503" w:rsidRPr="00F14503" w14:paraId="69F17D72" w14:textId="77777777" w:rsidTr="00F14503">
        <w:tc>
          <w:tcPr>
            <w:tcW w:w="0" w:type="auto"/>
            <w:hideMark/>
          </w:tcPr>
          <w:p w14:paraId="488E9DE5" w14:textId="77777777" w:rsidR="00F14503" w:rsidRPr="00F14503" w:rsidRDefault="00F14503" w:rsidP="00F14503">
            <w:pPr>
              <w:pBdr>
                <w:top w:val="nil"/>
                <w:left w:val="nil"/>
                <w:bottom w:val="nil"/>
                <w:right w:val="nil"/>
                <w:between w:val="nil"/>
              </w:pBdr>
              <w:spacing w:before="2" w:line="360" w:lineRule="auto"/>
              <w:ind w:left="140" w:right="145" w:firstLine="708"/>
              <w:jc w:val="both"/>
              <w:rPr>
                <w:sz w:val="24"/>
                <w:szCs w:val="24"/>
                <w:lang w:val="en-US"/>
              </w:rPr>
            </w:pPr>
            <w:r w:rsidRPr="00F14503">
              <w:rPr>
                <w:sz w:val="24"/>
                <w:szCs w:val="24"/>
                <w:lang w:val="en-US"/>
              </w:rPr>
              <w:t>1%</w:t>
            </w:r>
          </w:p>
        </w:tc>
        <w:tc>
          <w:tcPr>
            <w:tcW w:w="0" w:type="auto"/>
            <w:hideMark/>
          </w:tcPr>
          <w:p w14:paraId="224C359B"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−2 п.п.</w:t>
            </w:r>
          </w:p>
        </w:tc>
        <w:tc>
          <w:tcPr>
            <w:tcW w:w="0" w:type="auto"/>
            <w:hideMark/>
          </w:tcPr>
          <w:p w14:paraId="60B145DC"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918</w:t>
            </w:r>
          </w:p>
        </w:tc>
        <w:tc>
          <w:tcPr>
            <w:tcW w:w="0" w:type="auto"/>
            <w:hideMark/>
          </w:tcPr>
          <w:p w14:paraId="0BD1FEDD"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−19,8%</w:t>
            </w:r>
          </w:p>
        </w:tc>
        <w:tc>
          <w:tcPr>
            <w:tcW w:w="0" w:type="auto"/>
            <w:hideMark/>
          </w:tcPr>
          <w:p w14:paraId="122B1405"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1 109</w:t>
            </w:r>
          </w:p>
        </w:tc>
        <w:tc>
          <w:tcPr>
            <w:tcW w:w="0" w:type="auto"/>
            <w:hideMark/>
          </w:tcPr>
          <w:p w14:paraId="19ABABFB"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−15,4%</w:t>
            </w:r>
          </w:p>
        </w:tc>
      </w:tr>
      <w:tr w:rsidR="00F14503" w:rsidRPr="00F14503" w14:paraId="6B989E7D" w14:textId="77777777" w:rsidTr="00F14503">
        <w:tc>
          <w:tcPr>
            <w:tcW w:w="0" w:type="auto"/>
            <w:hideMark/>
          </w:tcPr>
          <w:p w14:paraId="70666045" w14:textId="77777777" w:rsidR="00F14503" w:rsidRPr="00F14503" w:rsidRDefault="00F14503" w:rsidP="00F14503">
            <w:pPr>
              <w:pBdr>
                <w:top w:val="nil"/>
                <w:left w:val="nil"/>
                <w:bottom w:val="nil"/>
                <w:right w:val="nil"/>
                <w:between w:val="nil"/>
              </w:pBdr>
              <w:spacing w:before="2" w:line="360" w:lineRule="auto"/>
              <w:ind w:left="140" w:right="145" w:firstLine="708"/>
              <w:jc w:val="both"/>
              <w:rPr>
                <w:sz w:val="24"/>
                <w:szCs w:val="24"/>
                <w:lang w:val="en-US"/>
              </w:rPr>
            </w:pPr>
            <w:r w:rsidRPr="00F14503">
              <w:rPr>
                <w:sz w:val="24"/>
                <w:szCs w:val="24"/>
                <w:lang w:val="en-US"/>
              </w:rPr>
              <w:t>2%</w:t>
            </w:r>
          </w:p>
        </w:tc>
        <w:tc>
          <w:tcPr>
            <w:tcW w:w="0" w:type="auto"/>
            <w:hideMark/>
          </w:tcPr>
          <w:p w14:paraId="22881973"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−1 п.п.</w:t>
            </w:r>
          </w:p>
        </w:tc>
        <w:tc>
          <w:tcPr>
            <w:tcW w:w="0" w:type="auto"/>
            <w:hideMark/>
          </w:tcPr>
          <w:p w14:paraId="5A451749"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1 020</w:t>
            </w:r>
          </w:p>
        </w:tc>
        <w:tc>
          <w:tcPr>
            <w:tcW w:w="0" w:type="auto"/>
            <w:hideMark/>
          </w:tcPr>
          <w:p w14:paraId="279B2270"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−10,8%</w:t>
            </w:r>
          </w:p>
        </w:tc>
        <w:tc>
          <w:tcPr>
            <w:tcW w:w="0" w:type="auto"/>
            <w:hideMark/>
          </w:tcPr>
          <w:p w14:paraId="0584F124" w14:textId="77777777" w:rsidR="00F14503" w:rsidRPr="00F14503" w:rsidRDefault="00F14503" w:rsidP="00F1450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1 200</w:t>
            </w:r>
          </w:p>
        </w:tc>
        <w:tc>
          <w:tcPr>
            <w:tcW w:w="0" w:type="auto"/>
            <w:hideMark/>
          </w:tcPr>
          <w:p w14:paraId="5823AC5F" w14:textId="77777777" w:rsidR="00F14503" w:rsidRPr="00F14503" w:rsidRDefault="00F14503" w:rsidP="00F1450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−8,5%</w:t>
            </w:r>
          </w:p>
        </w:tc>
      </w:tr>
      <w:tr w:rsidR="00F14503" w:rsidRPr="00F14503" w14:paraId="59896255" w14:textId="77777777" w:rsidTr="00F14503">
        <w:tc>
          <w:tcPr>
            <w:tcW w:w="0" w:type="auto"/>
            <w:hideMark/>
          </w:tcPr>
          <w:p w14:paraId="5905036A" w14:textId="77777777" w:rsidR="00F14503" w:rsidRPr="000958A3" w:rsidRDefault="00F14503" w:rsidP="00F14503">
            <w:pPr>
              <w:pBdr>
                <w:top w:val="nil"/>
                <w:left w:val="nil"/>
                <w:bottom w:val="nil"/>
                <w:right w:val="nil"/>
                <w:between w:val="nil"/>
              </w:pBdr>
              <w:spacing w:before="2" w:line="360" w:lineRule="auto"/>
              <w:ind w:left="140" w:right="145" w:firstLine="708"/>
              <w:jc w:val="both"/>
              <w:rPr>
                <w:b/>
                <w:bCs/>
                <w:sz w:val="24"/>
                <w:szCs w:val="24"/>
                <w:lang w:val="en-US"/>
              </w:rPr>
            </w:pPr>
            <w:r w:rsidRPr="000958A3">
              <w:rPr>
                <w:b/>
                <w:bCs/>
                <w:sz w:val="24"/>
                <w:szCs w:val="24"/>
                <w:lang w:val="en-US"/>
              </w:rPr>
              <w:t>3%</w:t>
            </w:r>
          </w:p>
        </w:tc>
        <w:tc>
          <w:tcPr>
            <w:tcW w:w="0" w:type="auto"/>
            <w:hideMark/>
          </w:tcPr>
          <w:p w14:paraId="3060E9D4" w14:textId="77777777" w:rsidR="00F14503" w:rsidRPr="000958A3" w:rsidRDefault="00F14503" w:rsidP="000958A3">
            <w:pPr>
              <w:pBdr>
                <w:top w:val="nil"/>
                <w:left w:val="nil"/>
                <w:bottom w:val="nil"/>
                <w:right w:val="nil"/>
                <w:between w:val="nil"/>
              </w:pBdr>
              <w:spacing w:before="2" w:line="360" w:lineRule="auto"/>
              <w:ind w:left="140" w:right="145"/>
              <w:jc w:val="both"/>
              <w:rPr>
                <w:b/>
                <w:bCs/>
                <w:sz w:val="24"/>
                <w:szCs w:val="24"/>
                <w:lang w:val="en-US"/>
              </w:rPr>
            </w:pPr>
            <w:r w:rsidRPr="000958A3">
              <w:rPr>
                <w:b/>
                <w:bCs/>
                <w:sz w:val="24"/>
                <w:szCs w:val="24"/>
                <w:lang w:val="en-US"/>
              </w:rPr>
              <w:t>базовый</w:t>
            </w:r>
          </w:p>
        </w:tc>
        <w:tc>
          <w:tcPr>
            <w:tcW w:w="0" w:type="auto"/>
            <w:hideMark/>
          </w:tcPr>
          <w:p w14:paraId="10F72836" w14:textId="77777777" w:rsidR="00F14503" w:rsidRPr="000958A3" w:rsidRDefault="00F14503" w:rsidP="000958A3">
            <w:pPr>
              <w:pBdr>
                <w:top w:val="nil"/>
                <w:left w:val="nil"/>
                <w:bottom w:val="nil"/>
                <w:right w:val="nil"/>
                <w:between w:val="nil"/>
              </w:pBdr>
              <w:spacing w:before="2" w:line="360" w:lineRule="auto"/>
              <w:ind w:left="140" w:right="145"/>
              <w:jc w:val="both"/>
              <w:rPr>
                <w:b/>
                <w:bCs/>
                <w:sz w:val="24"/>
                <w:szCs w:val="24"/>
                <w:lang w:val="en-US"/>
              </w:rPr>
            </w:pPr>
            <w:r w:rsidRPr="000958A3">
              <w:rPr>
                <w:b/>
                <w:bCs/>
                <w:sz w:val="24"/>
                <w:szCs w:val="24"/>
                <w:lang w:val="en-US"/>
              </w:rPr>
              <w:t>1 144</w:t>
            </w:r>
          </w:p>
        </w:tc>
        <w:tc>
          <w:tcPr>
            <w:tcW w:w="0" w:type="auto"/>
            <w:hideMark/>
          </w:tcPr>
          <w:p w14:paraId="74CE49F3" w14:textId="77777777" w:rsidR="00F14503" w:rsidRPr="000958A3" w:rsidRDefault="00F14503" w:rsidP="000958A3">
            <w:pPr>
              <w:pBdr>
                <w:top w:val="nil"/>
                <w:left w:val="nil"/>
                <w:bottom w:val="nil"/>
                <w:right w:val="nil"/>
                <w:between w:val="nil"/>
              </w:pBdr>
              <w:spacing w:before="2" w:line="360" w:lineRule="auto"/>
              <w:ind w:right="145"/>
              <w:jc w:val="both"/>
              <w:rPr>
                <w:b/>
                <w:bCs/>
                <w:sz w:val="24"/>
                <w:szCs w:val="24"/>
                <w:lang w:val="en-US"/>
              </w:rPr>
            </w:pPr>
            <w:r w:rsidRPr="000958A3">
              <w:rPr>
                <w:b/>
                <w:bCs/>
                <w:sz w:val="24"/>
                <w:szCs w:val="24"/>
                <w:lang w:val="en-US"/>
              </w:rPr>
              <w:t>—</w:t>
            </w:r>
          </w:p>
        </w:tc>
        <w:tc>
          <w:tcPr>
            <w:tcW w:w="0" w:type="auto"/>
            <w:hideMark/>
          </w:tcPr>
          <w:p w14:paraId="28F7E12C" w14:textId="77777777" w:rsidR="00F14503" w:rsidRPr="000958A3" w:rsidRDefault="00F14503" w:rsidP="000958A3">
            <w:pPr>
              <w:pBdr>
                <w:top w:val="nil"/>
                <w:left w:val="nil"/>
                <w:bottom w:val="nil"/>
                <w:right w:val="nil"/>
                <w:between w:val="nil"/>
              </w:pBdr>
              <w:spacing w:before="2" w:line="360" w:lineRule="auto"/>
              <w:ind w:left="140" w:right="145"/>
              <w:jc w:val="both"/>
              <w:rPr>
                <w:b/>
                <w:bCs/>
                <w:sz w:val="24"/>
                <w:szCs w:val="24"/>
                <w:lang w:val="en-US"/>
              </w:rPr>
            </w:pPr>
            <w:r w:rsidRPr="000958A3">
              <w:rPr>
                <w:b/>
                <w:bCs/>
                <w:sz w:val="24"/>
                <w:szCs w:val="24"/>
                <w:lang w:val="en-US"/>
              </w:rPr>
              <w:t>1 311</w:t>
            </w:r>
          </w:p>
        </w:tc>
        <w:tc>
          <w:tcPr>
            <w:tcW w:w="0" w:type="auto"/>
            <w:hideMark/>
          </w:tcPr>
          <w:p w14:paraId="48860C0E" w14:textId="77777777" w:rsidR="00F14503" w:rsidRPr="000958A3" w:rsidRDefault="00F14503" w:rsidP="000958A3">
            <w:pPr>
              <w:pBdr>
                <w:top w:val="nil"/>
                <w:left w:val="nil"/>
                <w:bottom w:val="nil"/>
                <w:right w:val="nil"/>
                <w:between w:val="nil"/>
              </w:pBdr>
              <w:spacing w:before="2" w:line="360" w:lineRule="auto"/>
              <w:ind w:right="145"/>
              <w:jc w:val="both"/>
              <w:rPr>
                <w:b/>
                <w:bCs/>
                <w:sz w:val="24"/>
                <w:szCs w:val="24"/>
                <w:lang w:val="en-US"/>
              </w:rPr>
            </w:pPr>
            <w:r w:rsidRPr="000958A3">
              <w:rPr>
                <w:b/>
                <w:bCs/>
                <w:sz w:val="24"/>
                <w:szCs w:val="24"/>
                <w:lang w:val="en-US"/>
              </w:rPr>
              <w:t>—</w:t>
            </w:r>
          </w:p>
        </w:tc>
      </w:tr>
      <w:tr w:rsidR="00F14503" w:rsidRPr="00F14503" w14:paraId="6DEABCEE" w14:textId="77777777" w:rsidTr="00F14503">
        <w:tc>
          <w:tcPr>
            <w:tcW w:w="0" w:type="auto"/>
            <w:hideMark/>
          </w:tcPr>
          <w:p w14:paraId="068E2A47" w14:textId="77777777" w:rsidR="00F14503" w:rsidRPr="00F14503" w:rsidRDefault="00F14503" w:rsidP="00F14503">
            <w:pPr>
              <w:pBdr>
                <w:top w:val="nil"/>
                <w:left w:val="nil"/>
                <w:bottom w:val="nil"/>
                <w:right w:val="nil"/>
                <w:between w:val="nil"/>
              </w:pBdr>
              <w:spacing w:before="2" w:line="360" w:lineRule="auto"/>
              <w:ind w:left="140" w:right="145" w:firstLine="708"/>
              <w:jc w:val="both"/>
              <w:rPr>
                <w:sz w:val="24"/>
                <w:szCs w:val="24"/>
                <w:lang w:val="en-US"/>
              </w:rPr>
            </w:pPr>
            <w:r w:rsidRPr="00F14503">
              <w:rPr>
                <w:sz w:val="24"/>
                <w:szCs w:val="24"/>
                <w:lang w:val="en-US"/>
              </w:rPr>
              <w:t>4%</w:t>
            </w:r>
          </w:p>
        </w:tc>
        <w:tc>
          <w:tcPr>
            <w:tcW w:w="0" w:type="auto"/>
            <w:hideMark/>
          </w:tcPr>
          <w:p w14:paraId="16F89FA4"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п.п.</w:t>
            </w:r>
          </w:p>
        </w:tc>
        <w:tc>
          <w:tcPr>
            <w:tcW w:w="0" w:type="auto"/>
            <w:hideMark/>
          </w:tcPr>
          <w:p w14:paraId="5B1112BF"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1 300</w:t>
            </w:r>
          </w:p>
        </w:tc>
        <w:tc>
          <w:tcPr>
            <w:tcW w:w="0" w:type="auto"/>
            <w:hideMark/>
          </w:tcPr>
          <w:p w14:paraId="3908FDC2"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+13,6%</w:t>
            </w:r>
          </w:p>
        </w:tc>
        <w:tc>
          <w:tcPr>
            <w:tcW w:w="0" w:type="auto"/>
            <w:hideMark/>
          </w:tcPr>
          <w:p w14:paraId="28FBC32F"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1 450</w:t>
            </w:r>
          </w:p>
        </w:tc>
        <w:tc>
          <w:tcPr>
            <w:tcW w:w="0" w:type="auto"/>
            <w:hideMark/>
          </w:tcPr>
          <w:p w14:paraId="5D7BB565"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+10,6%</w:t>
            </w:r>
          </w:p>
        </w:tc>
      </w:tr>
      <w:tr w:rsidR="00F14503" w:rsidRPr="00F14503" w14:paraId="12FDCFFE" w14:textId="77777777" w:rsidTr="00F14503">
        <w:tc>
          <w:tcPr>
            <w:tcW w:w="0" w:type="auto"/>
            <w:hideMark/>
          </w:tcPr>
          <w:p w14:paraId="615EDD1C" w14:textId="77777777" w:rsidR="00F14503" w:rsidRPr="00F14503" w:rsidRDefault="00F14503" w:rsidP="00F14503">
            <w:pPr>
              <w:pBdr>
                <w:top w:val="nil"/>
                <w:left w:val="nil"/>
                <w:bottom w:val="nil"/>
                <w:right w:val="nil"/>
                <w:between w:val="nil"/>
              </w:pBdr>
              <w:spacing w:before="2" w:line="360" w:lineRule="auto"/>
              <w:ind w:left="140" w:right="145" w:firstLine="708"/>
              <w:jc w:val="both"/>
              <w:rPr>
                <w:sz w:val="24"/>
                <w:szCs w:val="24"/>
                <w:lang w:val="en-US"/>
              </w:rPr>
            </w:pPr>
            <w:r w:rsidRPr="00F14503">
              <w:rPr>
                <w:sz w:val="24"/>
                <w:szCs w:val="24"/>
                <w:lang w:val="en-US"/>
              </w:rPr>
              <w:t>5%</w:t>
            </w:r>
          </w:p>
        </w:tc>
        <w:tc>
          <w:tcPr>
            <w:tcW w:w="0" w:type="auto"/>
            <w:hideMark/>
          </w:tcPr>
          <w:p w14:paraId="0F5575AF"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+2 п.п.</w:t>
            </w:r>
          </w:p>
        </w:tc>
        <w:tc>
          <w:tcPr>
            <w:tcW w:w="0" w:type="auto"/>
            <w:hideMark/>
          </w:tcPr>
          <w:p w14:paraId="5C906D60"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1 500</w:t>
            </w:r>
          </w:p>
        </w:tc>
        <w:tc>
          <w:tcPr>
            <w:tcW w:w="0" w:type="auto"/>
            <w:hideMark/>
          </w:tcPr>
          <w:p w14:paraId="2BC0DB8F"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+31,1%</w:t>
            </w:r>
          </w:p>
        </w:tc>
        <w:tc>
          <w:tcPr>
            <w:tcW w:w="0" w:type="auto"/>
            <w:hideMark/>
          </w:tcPr>
          <w:p w14:paraId="20B3D511" w14:textId="77777777" w:rsidR="00F14503" w:rsidRPr="00F14503" w:rsidRDefault="00F14503" w:rsidP="000958A3">
            <w:pPr>
              <w:pBdr>
                <w:top w:val="nil"/>
                <w:left w:val="nil"/>
                <w:bottom w:val="nil"/>
                <w:right w:val="nil"/>
                <w:between w:val="nil"/>
              </w:pBdr>
              <w:spacing w:before="2" w:line="360" w:lineRule="auto"/>
              <w:ind w:left="140" w:right="145"/>
              <w:jc w:val="both"/>
              <w:rPr>
                <w:sz w:val="24"/>
                <w:szCs w:val="24"/>
                <w:lang w:val="en-US"/>
              </w:rPr>
            </w:pPr>
            <w:r w:rsidRPr="00F14503">
              <w:rPr>
                <w:sz w:val="24"/>
                <w:szCs w:val="24"/>
                <w:lang w:val="en-US"/>
              </w:rPr>
              <w:t>1 629</w:t>
            </w:r>
          </w:p>
        </w:tc>
        <w:tc>
          <w:tcPr>
            <w:tcW w:w="0" w:type="auto"/>
            <w:hideMark/>
          </w:tcPr>
          <w:p w14:paraId="2E01B808" w14:textId="77777777" w:rsidR="00F14503" w:rsidRPr="00F14503" w:rsidRDefault="00F14503" w:rsidP="000958A3">
            <w:pPr>
              <w:pBdr>
                <w:top w:val="nil"/>
                <w:left w:val="nil"/>
                <w:bottom w:val="nil"/>
                <w:right w:val="nil"/>
                <w:between w:val="nil"/>
              </w:pBdr>
              <w:spacing w:before="2" w:line="360" w:lineRule="auto"/>
              <w:ind w:right="145"/>
              <w:jc w:val="both"/>
              <w:rPr>
                <w:sz w:val="24"/>
                <w:szCs w:val="24"/>
                <w:lang w:val="en-US"/>
              </w:rPr>
            </w:pPr>
            <w:r w:rsidRPr="00F14503">
              <w:rPr>
                <w:sz w:val="24"/>
                <w:szCs w:val="24"/>
                <w:lang w:val="en-US"/>
              </w:rPr>
              <w:t>+24,3%</w:t>
            </w:r>
          </w:p>
        </w:tc>
      </w:tr>
    </w:tbl>
    <w:p w14:paraId="6694EE48" w14:textId="5DEAB17F" w:rsidR="00283231" w:rsidRPr="00283231" w:rsidRDefault="000958A3" w:rsidP="00450C2A">
      <w:pPr>
        <w:pBdr>
          <w:top w:val="nil"/>
          <w:left w:val="nil"/>
          <w:bottom w:val="nil"/>
          <w:right w:val="nil"/>
          <w:between w:val="nil"/>
        </w:pBdr>
        <w:spacing w:before="2" w:line="360" w:lineRule="auto"/>
        <w:ind w:left="140" w:right="145" w:firstLine="708"/>
        <w:jc w:val="both"/>
        <w:rPr>
          <w:sz w:val="28"/>
          <w:szCs w:val="28"/>
          <w:lang w:val="ru-RU"/>
        </w:rPr>
      </w:pPr>
      <w:r w:rsidRPr="000958A3">
        <w:rPr>
          <w:sz w:val="28"/>
          <w:szCs w:val="28"/>
        </w:rPr>
        <w:t>Таблица наглядно показывает, что при любом из четырёх рассмотренных отклонений реакция H-модели устойчиво слабее, чем у модели Гордона: снижение g_stable на 1 п.п. уменьшает оценку на 10,8% по Гордону против 8,5% по H-модели, а повышение на те же 2 п.п. увеличивает оценку на 31,1% против 24,3% соответственно. Разрыв между двумя моделями нарастает по мере увеличения отклонения</w:t>
      </w:r>
      <w:r>
        <w:rPr>
          <w:sz w:val="28"/>
          <w:szCs w:val="28"/>
          <w:lang w:val="ru-RU"/>
        </w:rPr>
        <w:t xml:space="preserve">. Так, </w:t>
      </w:r>
      <w:r w:rsidRPr="000958A3">
        <w:rPr>
          <w:sz w:val="28"/>
          <w:szCs w:val="28"/>
        </w:rPr>
        <w:t>при сдвиге на 1 п.п. разница в чувствительности составляет около 2-3 процентных пункта, а при сдвиге на 2 п.п. превышает 6-7 процентных пунктов, что подтверждает сформулированный выше вывод: рост g_stable одновременно уменьшает надбавку за сверхрост (g_high − g_stable) в числителе H-модели, частично компенсируя эффект уменьшения знаменателя</w:t>
      </w:r>
      <w:r>
        <w:rPr>
          <w:sz w:val="28"/>
          <w:szCs w:val="28"/>
          <w:lang w:val="ru-RU"/>
        </w:rPr>
        <w:t>.</w:t>
      </w:r>
      <w:r w:rsidRPr="000958A3">
        <w:rPr>
          <w:sz w:val="28"/>
          <w:szCs w:val="28"/>
        </w:rPr>
        <w:t xml:space="preserve"> </w:t>
      </w:r>
      <w:r>
        <w:rPr>
          <w:sz w:val="28"/>
          <w:szCs w:val="28"/>
          <w:lang w:val="ru-RU"/>
        </w:rPr>
        <w:t>Э</w:t>
      </w:r>
      <w:r w:rsidRPr="000958A3">
        <w:rPr>
          <w:sz w:val="28"/>
          <w:szCs w:val="28"/>
        </w:rPr>
        <w:t xml:space="preserve">та компенсация тем </w:t>
      </w:r>
      <w:r w:rsidRPr="000958A3">
        <w:rPr>
          <w:sz w:val="28"/>
          <w:szCs w:val="28"/>
        </w:rPr>
        <w:lastRenderedPageBreak/>
        <w:t>заметнее, чем сильнее итоговое отклонение параметра от базового значения.</w:t>
      </w:r>
    </w:p>
    <w:p w14:paraId="615D94AF" w14:textId="5BF49723" w:rsidR="00283231" w:rsidRDefault="00AF67DF" w:rsidP="00450C2A">
      <w:pPr>
        <w:pBdr>
          <w:top w:val="nil"/>
          <w:left w:val="nil"/>
          <w:bottom w:val="nil"/>
          <w:right w:val="nil"/>
          <w:between w:val="nil"/>
        </w:pBdr>
        <w:spacing w:before="2" w:line="360" w:lineRule="auto"/>
        <w:ind w:left="140" w:right="145" w:firstLine="708"/>
        <w:jc w:val="both"/>
        <w:rPr>
          <w:sz w:val="28"/>
          <w:szCs w:val="28"/>
          <w:lang w:val="ru-RU"/>
        </w:rPr>
      </w:pPr>
      <w:r w:rsidRPr="00AF67DF">
        <w:rPr>
          <w:sz w:val="28"/>
          <w:szCs w:val="28"/>
        </w:rPr>
        <w:t xml:space="preserve">Таким образом, H-модель не устраняет экспертное усмотрение как таковое, а перераспределяет его: снижая чувствительность результата к произвольному завышению g_stable, она добавляет новый субъективный параметр, влияющий на величину премии за сверхрост. </w:t>
      </w:r>
    </w:p>
    <w:p w14:paraId="7CFA70F1" w14:textId="52D21ADE" w:rsidR="00AF67DF" w:rsidRDefault="00AF67DF" w:rsidP="00450C2A">
      <w:pPr>
        <w:pBdr>
          <w:top w:val="nil"/>
          <w:left w:val="nil"/>
          <w:bottom w:val="nil"/>
          <w:right w:val="nil"/>
          <w:between w:val="nil"/>
        </w:pBdr>
        <w:spacing w:before="2" w:line="360" w:lineRule="auto"/>
        <w:ind w:left="140" w:right="145" w:firstLine="708"/>
        <w:jc w:val="both"/>
        <w:rPr>
          <w:sz w:val="28"/>
          <w:szCs w:val="28"/>
          <w:lang w:val="ru-RU"/>
        </w:rPr>
      </w:pPr>
      <w:r w:rsidRPr="00AF67DF">
        <w:rPr>
          <w:sz w:val="28"/>
          <w:szCs w:val="28"/>
        </w:rPr>
        <w:t>Практическим следствием является требование прозрачности: выбранная продолжительность переходного периода должна быть явно раскрыта и обоснована в модели, а итоговая оценка протестирована на чувствительность к этому параметру наравне с g_stable.</w:t>
      </w:r>
    </w:p>
    <w:p w14:paraId="32334324" w14:textId="6F35AE69" w:rsidR="00234367" w:rsidRPr="00234367" w:rsidRDefault="00234367" w:rsidP="00450C2A">
      <w:pPr>
        <w:pBdr>
          <w:top w:val="nil"/>
          <w:left w:val="nil"/>
          <w:bottom w:val="nil"/>
          <w:right w:val="nil"/>
          <w:between w:val="nil"/>
        </w:pBdr>
        <w:spacing w:before="2" w:line="360" w:lineRule="auto"/>
        <w:ind w:left="140" w:right="145" w:firstLine="708"/>
        <w:jc w:val="both"/>
        <w:rPr>
          <w:b/>
          <w:bCs/>
          <w:sz w:val="28"/>
          <w:szCs w:val="28"/>
          <w:lang w:val="ru-RU"/>
        </w:rPr>
      </w:pPr>
      <w:r w:rsidRPr="00234367">
        <w:rPr>
          <w:b/>
          <w:bCs/>
          <w:sz w:val="28"/>
          <w:szCs w:val="28"/>
          <w:lang w:val="ru-RU"/>
        </w:rPr>
        <w:t>Ставка дисконтирования</w:t>
      </w:r>
    </w:p>
    <w:p w14:paraId="12E18DBB" w14:textId="4F1E8E11" w:rsidR="00EC566B" w:rsidRPr="00EC566B" w:rsidRDefault="00EC566B" w:rsidP="00EC566B">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Говоря о с</w:t>
      </w:r>
      <w:r w:rsidRPr="00EC566B">
        <w:rPr>
          <w:sz w:val="28"/>
          <w:szCs w:val="28"/>
        </w:rPr>
        <w:t>труктурны</w:t>
      </w:r>
      <w:r>
        <w:rPr>
          <w:sz w:val="28"/>
          <w:szCs w:val="28"/>
          <w:lang w:val="ru-RU"/>
        </w:rPr>
        <w:t>х</w:t>
      </w:r>
      <w:r w:rsidRPr="00EC566B">
        <w:rPr>
          <w:sz w:val="28"/>
          <w:szCs w:val="28"/>
        </w:rPr>
        <w:t xml:space="preserve"> ограничения</w:t>
      </w:r>
      <w:r>
        <w:rPr>
          <w:sz w:val="28"/>
          <w:szCs w:val="28"/>
          <w:lang w:val="ru-RU"/>
        </w:rPr>
        <w:t>х</w:t>
      </w:r>
      <w:r w:rsidRPr="00EC566B">
        <w:rPr>
          <w:sz w:val="28"/>
          <w:szCs w:val="28"/>
        </w:rPr>
        <w:t xml:space="preserve"> ставки дисконтирования</w:t>
      </w:r>
      <w:r w:rsidR="004F23EF">
        <w:rPr>
          <w:sz w:val="28"/>
          <w:szCs w:val="28"/>
          <w:lang w:val="ru-RU"/>
        </w:rPr>
        <w:t xml:space="preserve"> (знаменателя формулы </w:t>
      </w:r>
      <w:r w:rsidR="004F23EF">
        <w:rPr>
          <w:sz w:val="28"/>
          <w:szCs w:val="28"/>
          <w:lang w:val="en-US"/>
        </w:rPr>
        <w:t>DCF</w:t>
      </w:r>
      <w:r w:rsidR="004F23EF">
        <w:rPr>
          <w:sz w:val="28"/>
          <w:szCs w:val="28"/>
          <w:lang w:val="ru-RU"/>
        </w:rPr>
        <w:t>)</w:t>
      </w:r>
      <w:r>
        <w:rPr>
          <w:sz w:val="28"/>
          <w:szCs w:val="28"/>
          <w:lang w:val="ru-RU"/>
        </w:rPr>
        <w:t xml:space="preserve">, прежде всего стоит рассмотреть </w:t>
      </w:r>
      <w:r w:rsidRPr="00EC566B">
        <w:rPr>
          <w:sz w:val="28"/>
          <w:szCs w:val="28"/>
        </w:rPr>
        <w:t>средневзвешенн</w:t>
      </w:r>
      <w:r>
        <w:rPr>
          <w:sz w:val="28"/>
          <w:szCs w:val="28"/>
          <w:lang w:val="ru-RU"/>
        </w:rPr>
        <w:t>ую</w:t>
      </w:r>
      <w:r w:rsidRPr="00EC566B">
        <w:rPr>
          <w:sz w:val="28"/>
          <w:szCs w:val="28"/>
        </w:rPr>
        <w:t xml:space="preserve"> стоимость капитала (WACC)</w:t>
      </w:r>
      <w:r>
        <w:rPr>
          <w:sz w:val="28"/>
          <w:szCs w:val="28"/>
          <w:lang w:val="ru-RU"/>
        </w:rPr>
        <w:t>, которая выступает с</w:t>
      </w:r>
      <w:r w:rsidRPr="00EC566B">
        <w:rPr>
          <w:sz w:val="28"/>
          <w:szCs w:val="28"/>
        </w:rPr>
        <w:t>тандартным методом определения ставки дисконтирования r</w:t>
      </w:r>
      <w:r>
        <w:rPr>
          <w:rStyle w:val="a7"/>
          <w:sz w:val="28"/>
          <w:szCs w:val="28"/>
        </w:rPr>
        <w:footnoteReference w:id="167"/>
      </w:r>
      <w:r w:rsidRPr="00EC566B">
        <w:rPr>
          <w:sz w:val="28"/>
          <w:szCs w:val="28"/>
        </w:rPr>
        <w:t>:</w:t>
      </w:r>
    </w:p>
    <w:p w14:paraId="7206E8AA" w14:textId="77777777" w:rsidR="00EC566B" w:rsidRPr="00986688" w:rsidRDefault="00EC566B" w:rsidP="00073A4F">
      <w:pPr>
        <w:pBdr>
          <w:top w:val="nil"/>
          <w:left w:val="nil"/>
          <w:bottom w:val="nil"/>
          <w:right w:val="nil"/>
          <w:between w:val="nil"/>
        </w:pBdr>
        <w:tabs>
          <w:tab w:val="left" w:pos="1345"/>
        </w:tabs>
        <w:spacing w:line="360" w:lineRule="auto"/>
        <w:ind w:left="848" w:right="146"/>
        <w:jc w:val="center"/>
        <w:rPr>
          <w:sz w:val="28"/>
          <w:szCs w:val="28"/>
          <w:lang w:val="en-US"/>
        </w:rPr>
      </w:pPr>
      <w:r w:rsidRPr="0007664B">
        <w:rPr>
          <w:sz w:val="28"/>
          <w:szCs w:val="28"/>
          <w:lang w:val="en-US"/>
        </w:rPr>
        <w:t>WACC</w:t>
      </w:r>
      <w:r w:rsidRPr="00986688">
        <w:rPr>
          <w:sz w:val="28"/>
          <w:szCs w:val="28"/>
          <w:lang w:val="en-US"/>
        </w:rPr>
        <w:t xml:space="preserve"> = (</w:t>
      </w:r>
      <w:r w:rsidRPr="0007664B">
        <w:rPr>
          <w:sz w:val="28"/>
          <w:szCs w:val="28"/>
          <w:lang w:val="en-US"/>
        </w:rPr>
        <w:t>E</w:t>
      </w:r>
      <w:r w:rsidRPr="00986688">
        <w:rPr>
          <w:sz w:val="28"/>
          <w:szCs w:val="28"/>
          <w:lang w:val="en-US"/>
        </w:rPr>
        <w:t>/</w:t>
      </w:r>
      <w:r w:rsidRPr="0007664B">
        <w:rPr>
          <w:sz w:val="28"/>
          <w:szCs w:val="28"/>
          <w:lang w:val="en-US"/>
        </w:rPr>
        <w:t>V</w:t>
      </w:r>
      <w:r w:rsidRPr="00986688">
        <w:rPr>
          <w:sz w:val="28"/>
          <w:szCs w:val="28"/>
          <w:lang w:val="en-US"/>
        </w:rPr>
        <w:t xml:space="preserve">) × </w:t>
      </w:r>
      <w:r w:rsidRPr="0007664B">
        <w:rPr>
          <w:sz w:val="28"/>
          <w:szCs w:val="28"/>
          <w:lang w:val="en-US"/>
        </w:rPr>
        <w:t>re</w:t>
      </w:r>
      <w:r w:rsidRPr="00986688">
        <w:rPr>
          <w:sz w:val="28"/>
          <w:szCs w:val="28"/>
          <w:lang w:val="en-US"/>
        </w:rPr>
        <w:t xml:space="preserve"> + (</w:t>
      </w:r>
      <w:r w:rsidRPr="0007664B">
        <w:rPr>
          <w:sz w:val="28"/>
          <w:szCs w:val="28"/>
          <w:lang w:val="en-US"/>
        </w:rPr>
        <w:t>D</w:t>
      </w:r>
      <w:r w:rsidRPr="00986688">
        <w:rPr>
          <w:sz w:val="28"/>
          <w:szCs w:val="28"/>
          <w:lang w:val="en-US"/>
        </w:rPr>
        <w:t>/</w:t>
      </w:r>
      <w:r w:rsidRPr="0007664B">
        <w:rPr>
          <w:sz w:val="28"/>
          <w:szCs w:val="28"/>
          <w:lang w:val="en-US"/>
        </w:rPr>
        <w:t>V</w:t>
      </w:r>
      <w:r w:rsidRPr="00986688">
        <w:rPr>
          <w:sz w:val="28"/>
          <w:szCs w:val="28"/>
          <w:lang w:val="en-US"/>
        </w:rPr>
        <w:t xml:space="preserve">) × </w:t>
      </w:r>
      <w:r w:rsidRPr="0007664B">
        <w:rPr>
          <w:sz w:val="28"/>
          <w:szCs w:val="28"/>
          <w:lang w:val="en-US"/>
        </w:rPr>
        <w:t>rd</w:t>
      </w:r>
      <w:r w:rsidRPr="00986688">
        <w:rPr>
          <w:sz w:val="28"/>
          <w:szCs w:val="28"/>
          <w:lang w:val="en-US"/>
        </w:rPr>
        <w:t xml:space="preserve"> × (1−</w:t>
      </w:r>
      <w:r w:rsidRPr="0007664B">
        <w:rPr>
          <w:sz w:val="28"/>
          <w:szCs w:val="28"/>
          <w:lang w:val="en-US"/>
        </w:rPr>
        <w:t>t</w:t>
      </w:r>
      <w:r w:rsidRPr="00986688">
        <w:rPr>
          <w:sz w:val="28"/>
          <w:szCs w:val="28"/>
          <w:lang w:val="en-US"/>
        </w:rPr>
        <w:t>)</w:t>
      </w:r>
    </w:p>
    <w:p w14:paraId="44367093"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где E — рыночная стоимость собственного капитала, </w:t>
      </w:r>
    </w:p>
    <w:p w14:paraId="717F213F"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D — рыночная стоимость долга, </w:t>
      </w:r>
    </w:p>
    <w:p w14:paraId="5DFD3C2C"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V = E+D, </w:t>
      </w:r>
    </w:p>
    <w:p w14:paraId="587EC0B2"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re — требуемая доходность на собственный капитал, </w:t>
      </w:r>
    </w:p>
    <w:p w14:paraId="26486D2A"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rd — стоимость заёмного капитала, </w:t>
      </w:r>
    </w:p>
    <w:p w14:paraId="22133FAE" w14:textId="77777777" w:rsidR="00073A4F"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t — эффективная ставка налога на прибыль. </w:t>
      </w:r>
    </w:p>
    <w:p w14:paraId="0E18C8A2" w14:textId="181EC3E3" w:rsidR="00EC566B" w:rsidRPr="00EC566B" w:rsidRDefault="00EC566B" w:rsidP="00073A4F">
      <w:pPr>
        <w:pBdr>
          <w:top w:val="nil"/>
          <w:left w:val="nil"/>
          <w:bottom w:val="nil"/>
          <w:right w:val="nil"/>
          <w:between w:val="nil"/>
        </w:pBdr>
        <w:spacing w:before="2" w:line="360" w:lineRule="auto"/>
        <w:ind w:left="140" w:right="145" w:firstLine="708"/>
        <w:jc w:val="both"/>
        <w:rPr>
          <w:sz w:val="28"/>
          <w:szCs w:val="28"/>
        </w:rPr>
      </w:pPr>
      <w:r w:rsidRPr="00EC566B">
        <w:rPr>
          <w:sz w:val="28"/>
          <w:szCs w:val="28"/>
        </w:rPr>
        <w:t>Стоимость долга rd для непубличной компании оценивается по фактической или сопоставимой ставке заимствования и не вызывает принципиальных методических сложностей. Основная методическая нагрузка приходится на оценку re через модель оценки капитальных активов (CAPM)</w:t>
      </w:r>
      <w:r w:rsidR="003A4F00">
        <w:rPr>
          <w:rStyle w:val="a7"/>
          <w:sz w:val="28"/>
          <w:szCs w:val="28"/>
        </w:rPr>
        <w:footnoteReference w:id="168"/>
      </w:r>
      <w:r w:rsidRPr="00EC566B">
        <w:rPr>
          <w:sz w:val="28"/>
          <w:szCs w:val="28"/>
        </w:rPr>
        <w:t>:</w:t>
      </w:r>
    </w:p>
    <w:p w14:paraId="67D5A087" w14:textId="77777777" w:rsidR="00EC566B" w:rsidRPr="00EC566B" w:rsidRDefault="00EC566B" w:rsidP="003A4F00">
      <w:pPr>
        <w:pBdr>
          <w:top w:val="nil"/>
          <w:left w:val="nil"/>
          <w:bottom w:val="nil"/>
          <w:right w:val="nil"/>
          <w:between w:val="nil"/>
        </w:pBdr>
        <w:tabs>
          <w:tab w:val="left" w:pos="1345"/>
        </w:tabs>
        <w:spacing w:line="360" w:lineRule="auto"/>
        <w:ind w:left="848" w:right="146"/>
        <w:jc w:val="center"/>
        <w:rPr>
          <w:sz w:val="28"/>
          <w:szCs w:val="28"/>
        </w:rPr>
      </w:pPr>
      <w:r w:rsidRPr="00EC566B">
        <w:rPr>
          <w:sz w:val="28"/>
          <w:szCs w:val="28"/>
        </w:rPr>
        <w:t>re = rf + β × (rm − rf)</w:t>
      </w:r>
    </w:p>
    <w:p w14:paraId="23D04A9C" w14:textId="77777777" w:rsidR="003A4F00"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где rf — безрисковая ставка, </w:t>
      </w:r>
    </w:p>
    <w:p w14:paraId="72AFE3A8" w14:textId="77777777" w:rsidR="003A4F00" w:rsidRPr="0007664B" w:rsidRDefault="00EC566B"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β — бета компании, отражающая систематический риск, </w:t>
      </w:r>
    </w:p>
    <w:p w14:paraId="3AA4CD83" w14:textId="0D43AF62" w:rsidR="00C84B97" w:rsidRPr="00C84B97" w:rsidRDefault="00C84B97" w:rsidP="00EC566B">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lastRenderedPageBreak/>
        <w:t>rm</w:t>
      </w:r>
      <w:r w:rsidRPr="00C84B97">
        <w:rPr>
          <w:sz w:val="28"/>
          <w:szCs w:val="28"/>
          <w:lang w:val="ru-RU"/>
        </w:rPr>
        <w:t xml:space="preserve"> </w:t>
      </w:r>
      <w:r w:rsidRPr="00EC566B">
        <w:rPr>
          <w:sz w:val="28"/>
          <w:szCs w:val="28"/>
        </w:rPr>
        <w:t>—</w:t>
      </w:r>
      <w:r w:rsidRPr="00C84B97">
        <w:rPr>
          <w:sz w:val="28"/>
          <w:szCs w:val="28"/>
          <w:lang w:val="ru-RU"/>
        </w:rPr>
        <w:t xml:space="preserve"> </w:t>
      </w:r>
      <w:r w:rsidR="00B277F3" w:rsidRPr="00B277F3">
        <w:rPr>
          <w:sz w:val="28"/>
          <w:szCs w:val="28"/>
        </w:rPr>
        <w:t>ожидаемая доходность рыночного портфеля</w:t>
      </w:r>
      <w:r>
        <w:rPr>
          <w:sz w:val="28"/>
          <w:szCs w:val="28"/>
          <w:lang w:val="ru-RU"/>
        </w:rPr>
        <w:t>,</w:t>
      </w:r>
    </w:p>
    <w:p w14:paraId="7DF5F765" w14:textId="77777777" w:rsidR="003A4F00" w:rsidRDefault="00EC566B" w:rsidP="003A4F00">
      <w:pPr>
        <w:pBdr>
          <w:top w:val="nil"/>
          <w:left w:val="nil"/>
          <w:bottom w:val="nil"/>
          <w:right w:val="nil"/>
          <w:between w:val="nil"/>
        </w:pBdr>
        <w:tabs>
          <w:tab w:val="left" w:pos="1345"/>
        </w:tabs>
        <w:spacing w:line="360" w:lineRule="auto"/>
        <w:ind w:left="848" w:right="146"/>
        <w:jc w:val="both"/>
        <w:rPr>
          <w:sz w:val="28"/>
          <w:szCs w:val="28"/>
          <w:lang w:val="ru-RU"/>
        </w:rPr>
      </w:pPr>
      <w:r w:rsidRPr="00EC566B">
        <w:rPr>
          <w:sz w:val="28"/>
          <w:szCs w:val="28"/>
        </w:rPr>
        <w:t xml:space="preserve">(rm − rf) — премия за рыночный риск. </w:t>
      </w:r>
    </w:p>
    <w:p w14:paraId="376A1381" w14:textId="77777777" w:rsidR="003F732C" w:rsidRDefault="00C84B97" w:rsidP="0007664B">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Из всех составляющих формулы особого внимания заслуживает бета компании. </w:t>
      </w:r>
      <w:r w:rsidRPr="00C84B97">
        <w:rPr>
          <w:sz w:val="28"/>
          <w:szCs w:val="28"/>
        </w:rPr>
        <w:t>Бета — коэффициент, измеряющий чувствительность доходности актива к колебаниям рынка в целом: значение выше единицы означает, что актив колеблется сильнее рынка, ниже единицы — слабее.</w:t>
      </w:r>
      <w:r>
        <w:rPr>
          <w:sz w:val="28"/>
          <w:szCs w:val="28"/>
          <w:lang w:val="ru-RU"/>
        </w:rPr>
        <w:t xml:space="preserve"> </w:t>
      </w:r>
      <w:r w:rsidRPr="00C84B97">
        <w:rPr>
          <w:sz w:val="28"/>
          <w:szCs w:val="28"/>
        </w:rPr>
        <w:t>У публичной компании бета наблюдается напрямую — статистически по историческим котировкам её акций относительно рыночного индекса. У непубличной компании такой наблюдаемой истории нет</w:t>
      </w:r>
      <w:r w:rsidR="0007664B" w:rsidRPr="0007664B">
        <w:rPr>
          <w:sz w:val="28"/>
          <w:szCs w:val="28"/>
          <w:lang w:val="ru-RU"/>
        </w:rPr>
        <w:t xml:space="preserve">. Для реконструкции беты применяется </w:t>
      </w:r>
      <w:r w:rsidR="0007664B" w:rsidRPr="0007664B">
        <w:rPr>
          <w:sz w:val="28"/>
          <w:szCs w:val="28"/>
          <w:lang w:val="en-US"/>
        </w:rPr>
        <w:t>bottom</w:t>
      </w:r>
      <w:r w:rsidR="0007664B" w:rsidRPr="0007664B">
        <w:rPr>
          <w:sz w:val="28"/>
          <w:szCs w:val="28"/>
          <w:lang w:val="ru-RU"/>
        </w:rPr>
        <w:t>-</w:t>
      </w:r>
      <w:r w:rsidR="0007664B" w:rsidRPr="0007664B">
        <w:rPr>
          <w:sz w:val="28"/>
          <w:szCs w:val="28"/>
          <w:lang w:val="en-US"/>
        </w:rPr>
        <w:t>up</w:t>
      </w:r>
      <w:r w:rsidR="0007664B" w:rsidRPr="0007664B">
        <w:rPr>
          <w:sz w:val="28"/>
          <w:szCs w:val="28"/>
          <w:lang w:val="ru-RU"/>
        </w:rPr>
        <w:t xml:space="preserve"> метод А. Дамодарана</w:t>
      </w:r>
      <w:r w:rsidR="0007664B">
        <w:rPr>
          <w:rStyle w:val="a7"/>
          <w:sz w:val="28"/>
          <w:szCs w:val="28"/>
          <w:lang w:val="ru-RU"/>
        </w:rPr>
        <w:footnoteReference w:id="169"/>
      </w:r>
      <w:r w:rsidR="0007664B" w:rsidRPr="0007664B">
        <w:rPr>
          <w:sz w:val="28"/>
          <w:szCs w:val="28"/>
          <w:lang w:val="ru-RU"/>
        </w:rPr>
        <w:t xml:space="preserve">, </w:t>
      </w:r>
      <w:r w:rsidR="0007664B">
        <w:rPr>
          <w:sz w:val="28"/>
          <w:szCs w:val="28"/>
          <w:lang w:val="ru-RU"/>
        </w:rPr>
        <w:t xml:space="preserve">состоящий </w:t>
      </w:r>
      <w:r w:rsidR="0007664B" w:rsidRPr="0007664B">
        <w:rPr>
          <w:sz w:val="28"/>
          <w:szCs w:val="28"/>
          <w:lang w:val="ru-RU"/>
        </w:rPr>
        <w:t xml:space="preserve">из трёх шагов: </w:t>
      </w:r>
      <w:r w:rsidR="0007664B">
        <w:rPr>
          <w:sz w:val="28"/>
          <w:szCs w:val="28"/>
          <w:lang w:val="ru-RU"/>
        </w:rPr>
        <w:t xml:space="preserve">1) </w:t>
      </w:r>
      <w:r w:rsidR="0007664B" w:rsidRPr="0007664B">
        <w:rPr>
          <w:sz w:val="28"/>
          <w:szCs w:val="28"/>
          <w:lang w:val="ru-RU"/>
        </w:rPr>
        <w:t xml:space="preserve">беты нескольких публичных компаний-аналогов очищаются от эффекта их собственного долга (разлевериджируются), </w:t>
      </w:r>
      <w:r w:rsidR="0007664B">
        <w:rPr>
          <w:sz w:val="28"/>
          <w:szCs w:val="28"/>
          <w:lang w:val="ru-RU"/>
        </w:rPr>
        <w:t xml:space="preserve">2) </w:t>
      </w:r>
      <w:r w:rsidR="0007664B" w:rsidRPr="0007664B">
        <w:rPr>
          <w:sz w:val="28"/>
          <w:szCs w:val="28"/>
          <w:lang w:val="ru-RU"/>
        </w:rPr>
        <w:t xml:space="preserve">полученные значения усредняются по отрасли, </w:t>
      </w:r>
      <w:r w:rsidR="0007664B">
        <w:rPr>
          <w:sz w:val="28"/>
          <w:szCs w:val="28"/>
          <w:lang w:val="ru-RU"/>
        </w:rPr>
        <w:t>3)</w:t>
      </w:r>
      <w:r w:rsidR="0007664B" w:rsidRPr="0007664B">
        <w:rPr>
          <w:sz w:val="28"/>
          <w:szCs w:val="28"/>
          <w:lang w:val="ru-RU"/>
        </w:rPr>
        <w:t xml:space="preserve"> средняя чистая операционная бета вновь пересчитывается на структуру капитала оцениваемой компании (релевериджируется). </w:t>
      </w:r>
    </w:p>
    <w:p w14:paraId="2B1931E2" w14:textId="7D2CD8E4" w:rsidR="0007664B" w:rsidRPr="0007664B" w:rsidRDefault="0007664B" w:rsidP="003F732C">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Р</w:t>
      </w:r>
      <w:r w:rsidRPr="0007664B">
        <w:rPr>
          <w:sz w:val="28"/>
          <w:szCs w:val="28"/>
          <w:lang w:val="ru-RU"/>
        </w:rPr>
        <w:t>азлевериджирование и релевериджирование требу</w:t>
      </w:r>
      <w:r>
        <w:rPr>
          <w:sz w:val="28"/>
          <w:szCs w:val="28"/>
          <w:lang w:val="ru-RU"/>
        </w:rPr>
        <w:t>ю</w:t>
      </w:r>
      <w:r w:rsidRPr="0007664B">
        <w:rPr>
          <w:sz w:val="28"/>
          <w:szCs w:val="28"/>
          <w:lang w:val="ru-RU"/>
        </w:rPr>
        <w:t>т конкретн</w:t>
      </w:r>
      <w:r>
        <w:rPr>
          <w:sz w:val="28"/>
          <w:szCs w:val="28"/>
          <w:lang w:val="ru-RU"/>
        </w:rPr>
        <w:t>ые</w:t>
      </w:r>
      <w:r w:rsidRPr="0007664B">
        <w:rPr>
          <w:sz w:val="28"/>
          <w:szCs w:val="28"/>
          <w:lang w:val="ru-RU"/>
        </w:rPr>
        <w:t xml:space="preserve"> формулы, связывающ</w:t>
      </w:r>
      <w:r>
        <w:rPr>
          <w:sz w:val="28"/>
          <w:szCs w:val="28"/>
          <w:lang w:val="ru-RU"/>
        </w:rPr>
        <w:t>ие</w:t>
      </w:r>
      <w:r w:rsidRPr="0007664B">
        <w:rPr>
          <w:sz w:val="28"/>
          <w:szCs w:val="28"/>
          <w:lang w:val="ru-RU"/>
        </w:rPr>
        <w:t xml:space="preserve"> бету со структурой капитала</w:t>
      </w:r>
      <w:r>
        <w:rPr>
          <w:sz w:val="28"/>
          <w:szCs w:val="28"/>
          <w:lang w:val="ru-RU"/>
        </w:rPr>
        <w:t>. В</w:t>
      </w:r>
      <w:r w:rsidRPr="0007664B">
        <w:rPr>
          <w:sz w:val="28"/>
          <w:szCs w:val="28"/>
          <w:lang w:val="ru-RU"/>
        </w:rPr>
        <w:t xml:space="preserve"> настоящем исследовании используются формулы Р. Хамады</w:t>
      </w:r>
      <w:r>
        <w:rPr>
          <w:rStyle w:val="a7"/>
          <w:sz w:val="28"/>
          <w:szCs w:val="28"/>
          <w:lang w:val="ru-RU"/>
        </w:rPr>
        <w:footnoteReference w:id="170"/>
      </w:r>
      <w:r w:rsidRPr="0007664B">
        <w:rPr>
          <w:sz w:val="28"/>
          <w:szCs w:val="28"/>
          <w:lang w:val="ru-RU"/>
        </w:rPr>
        <w:t xml:space="preserve"> и Харрис-Прингла</w:t>
      </w:r>
      <w:r>
        <w:rPr>
          <w:rStyle w:val="a7"/>
          <w:sz w:val="28"/>
          <w:szCs w:val="28"/>
          <w:lang w:val="ru-RU"/>
        </w:rPr>
        <w:footnoteReference w:id="171"/>
      </w:r>
      <w:r w:rsidRPr="0007664B">
        <w:rPr>
          <w:sz w:val="28"/>
          <w:szCs w:val="28"/>
          <w:lang w:val="ru-RU"/>
        </w:rPr>
        <w:t>, критический анализ и сопоставление которых даны в §1.1</w:t>
      </w:r>
      <w:r w:rsidR="003F732C">
        <w:rPr>
          <w:sz w:val="28"/>
          <w:szCs w:val="28"/>
          <w:lang w:val="ru-RU"/>
        </w:rPr>
        <w:t>. К</w:t>
      </w:r>
      <w:r w:rsidR="003F732C" w:rsidRPr="003F732C">
        <w:rPr>
          <w:sz w:val="28"/>
          <w:szCs w:val="28"/>
        </w:rPr>
        <w:t>лючевое различие между ними</w:t>
      </w:r>
      <w:r w:rsidR="003F732C">
        <w:rPr>
          <w:sz w:val="28"/>
          <w:szCs w:val="28"/>
          <w:lang w:val="ru-RU"/>
        </w:rPr>
        <w:t xml:space="preserve"> заключается в том, что</w:t>
      </w:r>
      <w:r w:rsidR="003F732C" w:rsidRPr="003F732C">
        <w:rPr>
          <w:sz w:val="28"/>
          <w:szCs w:val="28"/>
        </w:rPr>
        <w:t xml:space="preserve"> у Хамады неизменной предполагается абсолютная сумма долга, тогда как соотношение D/E меняется вместе со стоимостью компании</w:t>
      </w:r>
      <w:r w:rsidR="003F732C">
        <w:rPr>
          <w:sz w:val="28"/>
          <w:szCs w:val="28"/>
          <w:lang w:val="ru-RU"/>
        </w:rPr>
        <w:t>. У</w:t>
      </w:r>
      <w:r w:rsidR="003F732C" w:rsidRPr="003F732C">
        <w:rPr>
          <w:sz w:val="28"/>
          <w:szCs w:val="28"/>
        </w:rPr>
        <w:t xml:space="preserve"> Харрис-Прингла, напротив, неизменной поддерживается сама пропорция D/E за счёт непрерывного ребалансирования долга. </w:t>
      </w:r>
      <w:r w:rsidR="003F732C">
        <w:rPr>
          <w:sz w:val="28"/>
          <w:szCs w:val="28"/>
          <w:lang w:val="ru-RU"/>
        </w:rPr>
        <w:t>Ф</w:t>
      </w:r>
      <w:r w:rsidR="003F732C" w:rsidRPr="003F732C">
        <w:rPr>
          <w:sz w:val="28"/>
          <w:szCs w:val="28"/>
        </w:rPr>
        <w:t xml:space="preserve">ормулы имеют </w:t>
      </w:r>
      <w:r w:rsidR="003F732C">
        <w:rPr>
          <w:sz w:val="28"/>
          <w:szCs w:val="28"/>
          <w:lang w:val="ru-RU"/>
        </w:rPr>
        <w:t xml:space="preserve">следующий </w:t>
      </w:r>
      <w:r w:rsidR="003F732C" w:rsidRPr="003F732C">
        <w:rPr>
          <w:sz w:val="28"/>
          <w:szCs w:val="28"/>
        </w:rPr>
        <w:t>вид</w:t>
      </w:r>
      <w:r w:rsidRPr="0007664B">
        <w:rPr>
          <w:sz w:val="28"/>
          <w:szCs w:val="28"/>
          <w:lang w:val="ru-RU"/>
        </w:rPr>
        <w:t>:</w:t>
      </w:r>
    </w:p>
    <w:p w14:paraId="009B71C3" w14:textId="06C1DA2D" w:rsidR="0007664B" w:rsidRPr="0007664B" w:rsidRDefault="0007664B" w:rsidP="0007664B">
      <w:pPr>
        <w:pBdr>
          <w:top w:val="nil"/>
          <w:left w:val="nil"/>
          <w:bottom w:val="nil"/>
          <w:right w:val="nil"/>
          <w:between w:val="nil"/>
        </w:pBdr>
        <w:spacing w:before="2" w:line="360" w:lineRule="auto"/>
        <w:ind w:left="140" w:right="145" w:firstLine="708"/>
        <w:jc w:val="center"/>
        <w:rPr>
          <w:sz w:val="28"/>
          <w:szCs w:val="28"/>
          <w:lang w:val="ru-RU"/>
        </w:rPr>
      </w:pPr>
      <w:r w:rsidRPr="0007664B">
        <w:rPr>
          <w:sz w:val="28"/>
          <w:szCs w:val="28"/>
          <w:lang w:val="en-US"/>
        </w:rPr>
        <w:t>βU</w:t>
      </w:r>
      <w:r w:rsidRPr="0007664B">
        <w:rPr>
          <w:sz w:val="28"/>
          <w:szCs w:val="28"/>
          <w:lang w:val="ru-RU"/>
        </w:rPr>
        <w:t xml:space="preserve"> = </w:t>
      </w:r>
      <w:r w:rsidRPr="0007664B">
        <w:rPr>
          <w:sz w:val="28"/>
          <w:szCs w:val="28"/>
          <w:lang w:val="en-US"/>
        </w:rPr>
        <w:t>βL</w:t>
      </w:r>
      <w:r w:rsidRPr="0007664B">
        <w:rPr>
          <w:sz w:val="28"/>
          <w:szCs w:val="28"/>
          <w:lang w:val="ru-RU"/>
        </w:rPr>
        <w:t xml:space="preserve"> / [1 + (1−</w:t>
      </w:r>
      <w:r w:rsidRPr="0007664B">
        <w:rPr>
          <w:sz w:val="28"/>
          <w:szCs w:val="28"/>
          <w:lang w:val="en-US"/>
        </w:rPr>
        <w:t>t</w:t>
      </w:r>
      <w:r w:rsidRPr="0007664B">
        <w:rPr>
          <w:sz w:val="28"/>
          <w:szCs w:val="28"/>
          <w:lang w:val="ru-RU"/>
        </w:rPr>
        <w:t>) × (</w:t>
      </w:r>
      <w:r w:rsidRPr="0007664B">
        <w:rPr>
          <w:sz w:val="28"/>
          <w:szCs w:val="28"/>
          <w:lang w:val="en-US"/>
        </w:rPr>
        <w:t>D</w:t>
      </w:r>
      <w:r w:rsidRPr="0007664B">
        <w:rPr>
          <w:sz w:val="28"/>
          <w:szCs w:val="28"/>
          <w:lang w:val="ru-RU"/>
        </w:rPr>
        <w:t>/</w:t>
      </w:r>
      <w:r w:rsidRPr="0007664B">
        <w:rPr>
          <w:sz w:val="28"/>
          <w:szCs w:val="28"/>
          <w:lang w:val="en-US"/>
        </w:rPr>
        <w:t>E</w:t>
      </w:r>
      <w:r w:rsidRPr="0007664B">
        <w:rPr>
          <w:sz w:val="28"/>
          <w:szCs w:val="28"/>
          <w:lang w:val="ru-RU"/>
        </w:rPr>
        <w:t>)аналога] (формула Хамады</w:t>
      </w:r>
      <w:r w:rsidR="00271816">
        <w:rPr>
          <w:sz w:val="28"/>
          <w:szCs w:val="28"/>
          <w:lang w:val="ru-RU"/>
        </w:rPr>
        <w:t>, с налоговым множителем</w:t>
      </w:r>
      <w:r w:rsidRPr="0007664B">
        <w:rPr>
          <w:sz w:val="28"/>
          <w:szCs w:val="28"/>
          <w:lang w:val="ru-RU"/>
        </w:rPr>
        <w:t>)</w:t>
      </w:r>
    </w:p>
    <w:p w14:paraId="66680454" w14:textId="77777777" w:rsidR="0007664B" w:rsidRPr="005E066E" w:rsidRDefault="0007664B" w:rsidP="0007664B">
      <w:pPr>
        <w:pBdr>
          <w:top w:val="nil"/>
          <w:left w:val="nil"/>
          <w:bottom w:val="nil"/>
          <w:right w:val="nil"/>
          <w:between w:val="nil"/>
        </w:pBdr>
        <w:spacing w:before="2" w:line="360" w:lineRule="auto"/>
        <w:ind w:left="140" w:right="145" w:firstLine="708"/>
        <w:jc w:val="center"/>
        <w:rPr>
          <w:sz w:val="28"/>
          <w:szCs w:val="28"/>
          <w:lang w:val="ru-RU"/>
        </w:rPr>
      </w:pPr>
      <w:r w:rsidRPr="0007664B">
        <w:rPr>
          <w:sz w:val="28"/>
          <w:szCs w:val="28"/>
          <w:lang w:val="en-US"/>
        </w:rPr>
        <w:t>βU</w:t>
      </w:r>
      <w:r w:rsidRPr="0007664B">
        <w:rPr>
          <w:sz w:val="28"/>
          <w:szCs w:val="28"/>
          <w:lang w:val="ru-RU"/>
        </w:rPr>
        <w:t xml:space="preserve"> = </w:t>
      </w:r>
      <w:r w:rsidRPr="0007664B">
        <w:rPr>
          <w:sz w:val="28"/>
          <w:szCs w:val="28"/>
          <w:lang w:val="en-US"/>
        </w:rPr>
        <w:t>βL</w:t>
      </w:r>
      <w:r w:rsidRPr="0007664B">
        <w:rPr>
          <w:sz w:val="28"/>
          <w:szCs w:val="28"/>
          <w:lang w:val="ru-RU"/>
        </w:rPr>
        <w:t xml:space="preserve"> / [1 + (</w:t>
      </w:r>
      <w:r w:rsidRPr="0007664B">
        <w:rPr>
          <w:sz w:val="28"/>
          <w:szCs w:val="28"/>
          <w:lang w:val="en-US"/>
        </w:rPr>
        <w:t>D</w:t>
      </w:r>
      <w:r w:rsidRPr="0007664B">
        <w:rPr>
          <w:sz w:val="28"/>
          <w:szCs w:val="28"/>
          <w:lang w:val="ru-RU"/>
        </w:rPr>
        <w:t>/</w:t>
      </w:r>
      <w:r w:rsidRPr="0007664B">
        <w:rPr>
          <w:sz w:val="28"/>
          <w:szCs w:val="28"/>
          <w:lang w:val="en-US"/>
        </w:rPr>
        <w:t>E</w:t>
      </w:r>
      <w:r w:rsidRPr="0007664B">
        <w:rPr>
          <w:sz w:val="28"/>
          <w:szCs w:val="28"/>
          <w:lang w:val="ru-RU"/>
        </w:rPr>
        <w:t>)аналога] (формула Харрис-Прингла, без налогового множителя)</w:t>
      </w:r>
    </w:p>
    <w:p w14:paraId="1F6AF7E1" w14:textId="77777777" w:rsidR="00E22DF1" w:rsidRPr="005E066E" w:rsidRDefault="00E22DF1" w:rsidP="00E22DF1">
      <w:pPr>
        <w:pBdr>
          <w:top w:val="nil"/>
          <w:left w:val="nil"/>
          <w:bottom w:val="nil"/>
          <w:right w:val="nil"/>
          <w:between w:val="nil"/>
        </w:pBdr>
        <w:spacing w:before="2" w:line="360" w:lineRule="auto"/>
        <w:ind w:left="140" w:right="145" w:firstLine="708"/>
        <w:rPr>
          <w:sz w:val="28"/>
          <w:szCs w:val="28"/>
          <w:lang w:val="ru-RU"/>
        </w:rPr>
      </w:pPr>
      <w:r w:rsidRPr="00E22DF1">
        <w:rPr>
          <w:sz w:val="28"/>
          <w:szCs w:val="28"/>
        </w:rPr>
        <w:t xml:space="preserve">где βU — безрычажная (очищенная от долга) бета, </w:t>
      </w:r>
    </w:p>
    <w:p w14:paraId="5018C4E1" w14:textId="77777777" w:rsidR="00E22DF1" w:rsidRPr="005E066E" w:rsidRDefault="00E22DF1" w:rsidP="00E22DF1">
      <w:pPr>
        <w:pBdr>
          <w:top w:val="nil"/>
          <w:left w:val="nil"/>
          <w:bottom w:val="nil"/>
          <w:right w:val="nil"/>
          <w:between w:val="nil"/>
        </w:pBdr>
        <w:spacing w:before="2" w:line="360" w:lineRule="auto"/>
        <w:ind w:left="140" w:right="145" w:firstLine="708"/>
        <w:rPr>
          <w:sz w:val="28"/>
          <w:szCs w:val="28"/>
          <w:lang w:val="ru-RU"/>
        </w:rPr>
      </w:pPr>
      <w:r w:rsidRPr="00E22DF1">
        <w:rPr>
          <w:sz w:val="28"/>
          <w:szCs w:val="28"/>
        </w:rPr>
        <w:lastRenderedPageBreak/>
        <w:t xml:space="preserve">βL — рычажная бета аналога, </w:t>
      </w:r>
    </w:p>
    <w:p w14:paraId="4BBF7BB0" w14:textId="77777777" w:rsidR="00E22DF1" w:rsidRPr="005E066E" w:rsidRDefault="00E22DF1" w:rsidP="00E22DF1">
      <w:pPr>
        <w:pBdr>
          <w:top w:val="nil"/>
          <w:left w:val="nil"/>
          <w:bottom w:val="nil"/>
          <w:right w:val="nil"/>
          <w:between w:val="nil"/>
        </w:pBdr>
        <w:spacing w:before="2" w:line="360" w:lineRule="auto"/>
        <w:ind w:left="140" w:right="145" w:firstLine="708"/>
        <w:rPr>
          <w:sz w:val="28"/>
          <w:szCs w:val="28"/>
          <w:lang w:val="ru-RU"/>
        </w:rPr>
      </w:pPr>
      <w:r w:rsidRPr="00E22DF1">
        <w:rPr>
          <w:sz w:val="28"/>
          <w:szCs w:val="28"/>
        </w:rPr>
        <w:t xml:space="preserve">t — эффективная ставка налога, </w:t>
      </w:r>
    </w:p>
    <w:p w14:paraId="73CE8B86" w14:textId="0BF8F598" w:rsidR="00E22DF1" w:rsidRPr="00E22DF1" w:rsidRDefault="00E22DF1" w:rsidP="00E22DF1">
      <w:pPr>
        <w:pBdr>
          <w:top w:val="nil"/>
          <w:left w:val="nil"/>
          <w:bottom w:val="nil"/>
          <w:right w:val="nil"/>
          <w:between w:val="nil"/>
        </w:pBdr>
        <w:spacing w:before="2" w:line="360" w:lineRule="auto"/>
        <w:ind w:left="140" w:right="145" w:firstLine="708"/>
        <w:rPr>
          <w:sz w:val="28"/>
          <w:szCs w:val="28"/>
          <w:lang w:val="ru-RU"/>
        </w:rPr>
      </w:pPr>
      <w:r w:rsidRPr="00E22DF1">
        <w:rPr>
          <w:sz w:val="28"/>
          <w:szCs w:val="28"/>
        </w:rPr>
        <w:t xml:space="preserve">D/E — соотношение долга и собственного капитала аналога. </w:t>
      </w:r>
    </w:p>
    <w:p w14:paraId="771CDD72" w14:textId="21109880" w:rsidR="00C84B97" w:rsidRPr="0007664B" w:rsidRDefault="003F732C" w:rsidP="0007664B">
      <w:pPr>
        <w:pBdr>
          <w:top w:val="nil"/>
          <w:left w:val="nil"/>
          <w:bottom w:val="nil"/>
          <w:right w:val="nil"/>
          <w:between w:val="nil"/>
        </w:pBdr>
        <w:spacing w:before="2" w:line="360" w:lineRule="auto"/>
        <w:ind w:left="140" w:right="145" w:firstLine="708"/>
        <w:jc w:val="both"/>
        <w:rPr>
          <w:sz w:val="28"/>
          <w:szCs w:val="28"/>
          <w:lang w:val="ru-RU"/>
        </w:rPr>
      </w:pPr>
      <w:r w:rsidRPr="003F732C">
        <w:rPr>
          <w:sz w:val="28"/>
          <w:szCs w:val="28"/>
        </w:rPr>
        <w:t xml:space="preserve">Релевериджирование на структуру капитала целевой компании проводится по той же паре формул, применённой в обратном направлении, с тем же различием в трактовке D/E целевой компании: у Хамады это соотношение, вытекающее из фиксированной суммы долга на момент оценки, у Харрис-Прингла целевая, устойчивая пропорция. </w:t>
      </w:r>
      <w:r w:rsidR="00C84B97" w:rsidRPr="00C84B97">
        <w:rPr>
          <w:sz w:val="28"/>
          <w:szCs w:val="28"/>
        </w:rPr>
        <w:t xml:space="preserve">На </w:t>
      </w:r>
      <w:r w:rsidR="0007664B">
        <w:rPr>
          <w:sz w:val="28"/>
          <w:szCs w:val="28"/>
          <w:lang w:val="ru-RU"/>
        </w:rPr>
        <w:t xml:space="preserve">этом </w:t>
      </w:r>
      <w:r w:rsidR="00C84B97" w:rsidRPr="00C84B97">
        <w:rPr>
          <w:sz w:val="28"/>
          <w:szCs w:val="28"/>
        </w:rPr>
        <w:t>последнем шаге возникает первая структурная проблема — циркулярность: структура капитала целевой компании (D/E), используемая для релевериджирования, сама зависит от рыночной стоимости её собственного капитала — то есть от того числа, которое и определяется через ставку. На практике циркулярность решается итеративным пересчётом (задать начальное приближение структуры капитала → рассчитать стоимость → уточнить структуру капитала на основе полученной стоимости → повторить до сходимости), но сама необходимость итерации свидетельствует о внутренней логической незамкнутости метода применительно к компании без наблюдаемой рыночной цены собственного капитала.</w:t>
      </w:r>
    </w:p>
    <w:p w14:paraId="7619BF1E" w14:textId="71C22293" w:rsidR="00C84B97" w:rsidRPr="00A648EF" w:rsidRDefault="003D68F2" w:rsidP="009C3554">
      <w:pPr>
        <w:pBdr>
          <w:top w:val="nil"/>
          <w:left w:val="nil"/>
          <w:bottom w:val="nil"/>
          <w:right w:val="nil"/>
          <w:between w:val="nil"/>
        </w:pBdr>
        <w:spacing w:before="2" w:line="360" w:lineRule="auto"/>
        <w:ind w:left="140" w:right="145" w:firstLine="708"/>
        <w:jc w:val="both"/>
        <w:rPr>
          <w:sz w:val="28"/>
          <w:szCs w:val="28"/>
          <w:lang w:val="ru-RU"/>
        </w:rPr>
      </w:pPr>
      <w:r w:rsidRPr="003D68F2">
        <w:rPr>
          <w:sz w:val="28"/>
          <w:szCs w:val="28"/>
        </w:rPr>
        <w:t>Вторая структурная проблема связана с самим допущением о переносимости беты между разными страновыми контекстами. Бета аналогов реконструируется в условиях того рынка, на котором они оперируют, а перенос такой беты на российскую компанию требует явного допущения о сопоставимости относительного риска бизнеса в разных странах</w:t>
      </w:r>
      <w:r>
        <w:rPr>
          <w:sz w:val="28"/>
          <w:szCs w:val="28"/>
          <w:lang w:val="ru-RU"/>
        </w:rPr>
        <w:t>.</w:t>
      </w:r>
      <w:r w:rsidRPr="003D68F2">
        <w:rPr>
          <w:sz w:val="28"/>
          <w:szCs w:val="28"/>
        </w:rPr>
        <w:t xml:space="preserve"> Дамодаран </w:t>
      </w:r>
      <w:r>
        <w:rPr>
          <w:sz w:val="28"/>
          <w:szCs w:val="28"/>
          <w:lang w:val="ru-RU"/>
        </w:rPr>
        <w:t xml:space="preserve">такое </w:t>
      </w:r>
      <w:r w:rsidRPr="003D68F2">
        <w:rPr>
          <w:sz w:val="28"/>
          <w:szCs w:val="28"/>
        </w:rPr>
        <w:t>допущен</w:t>
      </w:r>
      <w:r>
        <w:rPr>
          <w:sz w:val="28"/>
          <w:szCs w:val="28"/>
          <w:lang w:val="ru-RU"/>
        </w:rPr>
        <w:t>ие</w:t>
      </w:r>
      <w:r w:rsidRPr="003D68F2">
        <w:rPr>
          <w:sz w:val="28"/>
          <w:szCs w:val="28"/>
        </w:rPr>
        <w:t xml:space="preserve"> формулирует как выбор, требующий обоснования, а не автоматически верную операцию</w:t>
      </w:r>
      <w:r>
        <w:rPr>
          <w:rStyle w:val="a7"/>
          <w:sz w:val="28"/>
          <w:szCs w:val="28"/>
        </w:rPr>
        <w:footnoteReference w:id="172"/>
      </w:r>
      <w:r w:rsidRPr="003D68F2">
        <w:rPr>
          <w:sz w:val="28"/>
          <w:szCs w:val="28"/>
        </w:rPr>
        <w:t>. KPMG в своей методической базе данных прямо указывает, что страновой риск регулярно отражается в самом бета-коэффициенте компании через специфику её бизнес-модели в стране происхождения, и рекомендует подбирать аналогов, испытывающих сопоставимый уровень странового риска с целевой компанией</w:t>
      </w:r>
      <w:r>
        <w:rPr>
          <w:rStyle w:val="a7"/>
          <w:sz w:val="28"/>
          <w:szCs w:val="28"/>
        </w:rPr>
        <w:footnoteReference w:id="173"/>
      </w:r>
      <w:r>
        <w:rPr>
          <w:sz w:val="28"/>
          <w:szCs w:val="28"/>
          <w:lang w:val="ru-RU"/>
        </w:rPr>
        <w:t>.</w:t>
      </w:r>
      <w:r w:rsidRPr="003D68F2">
        <w:rPr>
          <w:sz w:val="28"/>
          <w:szCs w:val="28"/>
        </w:rPr>
        <w:t xml:space="preserve"> </w:t>
      </w:r>
      <w:r w:rsidR="00712EBC">
        <w:rPr>
          <w:sz w:val="28"/>
          <w:szCs w:val="28"/>
          <w:lang w:val="ru-RU"/>
        </w:rPr>
        <w:t>П</w:t>
      </w:r>
      <w:r w:rsidR="00712EBC" w:rsidRPr="00712EBC">
        <w:rPr>
          <w:sz w:val="28"/>
          <w:szCs w:val="28"/>
        </w:rPr>
        <w:t xml:space="preserve">одбор аналогов под </w:t>
      </w:r>
      <w:r w:rsidR="00712EBC">
        <w:rPr>
          <w:sz w:val="28"/>
          <w:szCs w:val="28"/>
          <w:lang w:val="ru-RU"/>
        </w:rPr>
        <w:t>это условие</w:t>
      </w:r>
      <w:r w:rsidR="00712EBC" w:rsidRPr="00712EBC">
        <w:rPr>
          <w:sz w:val="28"/>
          <w:szCs w:val="28"/>
        </w:rPr>
        <w:t xml:space="preserve"> на российском рынке затруднён</w:t>
      </w:r>
      <w:r w:rsidR="00712EBC">
        <w:rPr>
          <w:sz w:val="28"/>
          <w:szCs w:val="28"/>
          <w:lang w:val="ru-RU"/>
        </w:rPr>
        <w:t>о</w:t>
      </w:r>
      <w:r w:rsidR="00712EBC" w:rsidRPr="00712EBC">
        <w:rPr>
          <w:sz w:val="28"/>
          <w:szCs w:val="28"/>
        </w:rPr>
        <w:t xml:space="preserve"> </w:t>
      </w:r>
      <w:r w:rsidR="00712EBC" w:rsidRPr="00712EBC">
        <w:rPr>
          <w:sz w:val="28"/>
          <w:szCs w:val="28"/>
        </w:rPr>
        <w:lastRenderedPageBreak/>
        <w:t>ввиду ограниченного числа сопоставимых отечественных публичных компаний.</w:t>
      </w:r>
      <w:r w:rsidR="00940B61" w:rsidRPr="00940B61">
        <w:rPr>
          <w:sz w:val="28"/>
          <w:szCs w:val="28"/>
          <w:lang w:val="ru-RU"/>
        </w:rPr>
        <w:t xml:space="preserve"> </w:t>
      </w:r>
    </w:p>
    <w:p w14:paraId="585A9FA3" w14:textId="5F6FE5AF" w:rsidR="00E9424D" w:rsidRPr="006A0EA5" w:rsidRDefault="00E9424D" w:rsidP="009C3554">
      <w:pPr>
        <w:pBdr>
          <w:top w:val="nil"/>
          <w:left w:val="nil"/>
          <w:bottom w:val="nil"/>
          <w:right w:val="nil"/>
          <w:between w:val="nil"/>
        </w:pBdr>
        <w:spacing w:before="2" w:line="360" w:lineRule="auto"/>
        <w:ind w:left="140" w:right="145" w:firstLine="708"/>
        <w:jc w:val="both"/>
        <w:rPr>
          <w:sz w:val="28"/>
          <w:szCs w:val="28"/>
          <w:lang w:val="ru-RU"/>
        </w:rPr>
      </w:pPr>
      <w:r w:rsidRPr="00E9424D">
        <w:rPr>
          <w:sz w:val="28"/>
          <w:szCs w:val="28"/>
        </w:rPr>
        <w:t>Из двух рассмотренных формул для расчётов настоящего исследования выбрана формула Харрис-Прингла: допущение о постоянстве пропорции долга к капиталу точнее описывает поведение большинства реальных компаний, целенаправленно поддерживающих целевую структуру капитала, а не фиксированную в рублях сумму долга.</w:t>
      </w:r>
      <w:r w:rsidR="006A0EA5">
        <w:rPr>
          <w:sz w:val="28"/>
          <w:szCs w:val="28"/>
          <w:lang w:val="ru-RU"/>
        </w:rPr>
        <w:t xml:space="preserve"> О</w:t>
      </w:r>
      <w:r w:rsidR="006A0EA5" w:rsidRPr="006A0EA5">
        <w:rPr>
          <w:sz w:val="28"/>
          <w:szCs w:val="28"/>
        </w:rPr>
        <w:t>боснование этого выбора и пример его применения в отечественной практике приведены в §1.1</w:t>
      </w:r>
    </w:p>
    <w:p w14:paraId="7843C753" w14:textId="48098395"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ru-RU"/>
        </w:rPr>
        <w:t xml:space="preserve">Важно отметить, что базовая формула </w:t>
      </w:r>
      <w:r w:rsidRPr="008D42EC">
        <w:rPr>
          <w:sz w:val="28"/>
          <w:szCs w:val="28"/>
          <w:lang w:val="en-US"/>
        </w:rPr>
        <w:t>CAPM</w:t>
      </w:r>
      <w:r w:rsidRPr="008D42EC">
        <w:rPr>
          <w:sz w:val="28"/>
          <w:szCs w:val="28"/>
          <w:lang w:val="ru-RU"/>
        </w:rPr>
        <w:t xml:space="preserve"> вместе с бетой отражает только систематический, рыночный риск. Специфический риск отдельной компании модель исключает по построению: она исходит из того, что инвестор держит диверсифицированный портфель и устраняет такой риск без дополнительных затрат, а значит, рынок за него не вознаграждает. Для непубличной компании это допущение не выполняется</w:t>
      </w:r>
      <w:r w:rsidR="00392B83" w:rsidRPr="00392B83">
        <w:rPr>
          <w:sz w:val="28"/>
          <w:szCs w:val="28"/>
          <w:lang w:val="ru-RU"/>
        </w:rPr>
        <w:t xml:space="preserve">, </w:t>
      </w:r>
      <w:r w:rsidR="00392B83">
        <w:rPr>
          <w:sz w:val="28"/>
          <w:szCs w:val="28"/>
          <w:lang w:val="ru-RU"/>
        </w:rPr>
        <w:t>поскольку</w:t>
      </w:r>
      <w:r w:rsidRPr="008D42EC">
        <w:rPr>
          <w:sz w:val="28"/>
          <w:szCs w:val="28"/>
          <w:lang w:val="ru-RU"/>
        </w:rPr>
        <w:t xml:space="preserve"> институциональный инвестор входит крупной, неликвидной долей, которую невозможно распылить по портфелю, и специфический риск для него сохраняется.</w:t>
      </w:r>
    </w:p>
    <w:p w14:paraId="5B42BE47" w14:textId="614ADDE5" w:rsidR="008D42EC" w:rsidRPr="00646D84" w:rsidRDefault="00646D84" w:rsidP="00646D84">
      <w:pPr>
        <w:pBdr>
          <w:top w:val="nil"/>
          <w:left w:val="nil"/>
          <w:bottom w:val="nil"/>
          <w:right w:val="nil"/>
          <w:between w:val="nil"/>
        </w:pBdr>
        <w:spacing w:before="2" w:line="360" w:lineRule="auto"/>
        <w:ind w:left="140" w:right="145" w:firstLine="708"/>
        <w:jc w:val="both"/>
        <w:rPr>
          <w:sz w:val="28"/>
          <w:szCs w:val="28"/>
          <w:lang w:val="ru-RU"/>
        </w:rPr>
      </w:pPr>
      <w:r w:rsidRPr="00646D84">
        <w:rPr>
          <w:sz w:val="28"/>
          <w:szCs w:val="28"/>
        </w:rPr>
        <w:t>Учёт этого риска относится к другой методической традиции — модели кумулятивного построения, где ставка собирается сложением премий без самостоятельного расчёта беты.</w:t>
      </w:r>
      <w:r w:rsidRPr="00646D84">
        <w:rPr>
          <w:sz w:val="28"/>
          <w:szCs w:val="28"/>
          <w:lang w:val="ru-RU"/>
        </w:rPr>
        <w:t xml:space="preserve"> </w:t>
      </w:r>
      <w:r w:rsidR="008D42EC" w:rsidRPr="008D42EC">
        <w:rPr>
          <w:sz w:val="28"/>
          <w:szCs w:val="28"/>
          <w:lang w:val="ru-RU"/>
        </w:rPr>
        <w:t xml:space="preserve">Настоящее исследование соединяет два подхода: систематический риск берётся из </w:t>
      </w:r>
      <w:r w:rsidR="008D42EC" w:rsidRPr="008D42EC">
        <w:rPr>
          <w:sz w:val="28"/>
          <w:szCs w:val="28"/>
          <w:lang w:val="en-US"/>
        </w:rPr>
        <w:t>CAPM</w:t>
      </w:r>
      <w:r w:rsidR="008D42EC" w:rsidRPr="008D42EC">
        <w:rPr>
          <w:sz w:val="28"/>
          <w:szCs w:val="28"/>
          <w:lang w:val="ru-RU"/>
        </w:rPr>
        <w:t xml:space="preserve"> через реконструированную бету, специфический — из традиции кумулятивного построения через премию за специфический риск компании (</w:t>
      </w:r>
      <w:r w:rsidR="008D42EC" w:rsidRPr="008D42EC">
        <w:rPr>
          <w:sz w:val="28"/>
          <w:szCs w:val="28"/>
          <w:lang w:val="en-US"/>
        </w:rPr>
        <w:t>CSRP</w:t>
      </w:r>
      <w:r w:rsidR="008D42EC" w:rsidRPr="008D42EC">
        <w:rPr>
          <w:sz w:val="28"/>
          <w:szCs w:val="28"/>
          <w:lang w:val="ru-RU"/>
        </w:rPr>
        <w:t xml:space="preserve">). </w:t>
      </w:r>
      <w:r w:rsidR="004D31AC" w:rsidRPr="004D31AC">
        <w:rPr>
          <w:sz w:val="28"/>
          <w:szCs w:val="28"/>
        </w:rPr>
        <w:t>Такое соединение оправдано тем, что обе традиции описывают разные, не пересекающиеся источники риска</w:t>
      </w:r>
      <w:r w:rsidR="004D31AC" w:rsidRPr="004D31AC">
        <w:rPr>
          <w:sz w:val="28"/>
          <w:szCs w:val="28"/>
          <w:lang w:val="ru-RU"/>
        </w:rPr>
        <w:t>:</w:t>
      </w:r>
      <w:r w:rsidR="004D31AC" w:rsidRPr="004D31AC">
        <w:rPr>
          <w:sz w:val="28"/>
          <w:szCs w:val="28"/>
        </w:rPr>
        <w:t xml:space="preserve"> рыночный, общий для всех компаний отрасли, и специфический, присущий только конкретной компании</w:t>
      </w:r>
      <w:r w:rsidR="004D31AC" w:rsidRPr="004D31AC">
        <w:rPr>
          <w:sz w:val="28"/>
          <w:szCs w:val="28"/>
          <w:lang w:val="ru-RU"/>
        </w:rPr>
        <w:t>.</w:t>
      </w:r>
      <w:r w:rsidR="004D31AC" w:rsidRPr="004D31AC">
        <w:rPr>
          <w:sz w:val="28"/>
          <w:szCs w:val="28"/>
        </w:rPr>
        <w:t xml:space="preserve"> </w:t>
      </w:r>
      <w:r w:rsidR="004D31AC">
        <w:rPr>
          <w:sz w:val="28"/>
          <w:szCs w:val="28"/>
          <w:lang w:val="en-US"/>
        </w:rPr>
        <w:t>C</w:t>
      </w:r>
      <w:r w:rsidR="004D31AC" w:rsidRPr="004D31AC">
        <w:rPr>
          <w:sz w:val="28"/>
          <w:szCs w:val="28"/>
        </w:rPr>
        <w:t>овместное их использование не создаёт задвоения при условии, что специфический риск не включается в расчёт самой беты.</w:t>
      </w:r>
      <w:r w:rsidR="004D31AC">
        <w:rPr>
          <w:sz w:val="28"/>
          <w:szCs w:val="28"/>
          <w:lang w:val="ru-RU"/>
        </w:rPr>
        <w:t xml:space="preserve"> </w:t>
      </w:r>
      <w:r w:rsidR="00F10467">
        <w:rPr>
          <w:sz w:val="28"/>
          <w:szCs w:val="28"/>
          <w:lang w:val="ru-RU"/>
        </w:rPr>
        <w:t>Ответу на</w:t>
      </w:r>
      <w:r w:rsidR="00F10467" w:rsidRPr="00F10467">
        <w:rPr>
          <w:sz w:val="28"/>
          <w:szCs w:val="28"/>
        </w:rPr>
        <w:t xml:space="preserve"> вопрос, как именно определяется сама премия за специфический риск, посвящён §1.5.</w:t>
      </w:r>
    </w:p>
    <w:p w14:paraId="51BD3169" w14:textId="2AA0DD80" w:rsidR="00756713" w:rsidRDefault="0056276C" w:rsidP="00756713">
      <w:pPr>
        <w:pBdr>
          <w:top w:val="nil"/>
          <w:left w:val="nil"/>
          <w:bottom w:val="nil"/>
          <w:right w:val="nil"/>
          <w:between w:val="nil"/>
        </w:pBdr>
        <w:spacing w:before="2" w:line="360" w:lineRule="auto"/>
        <w:ind w:left="140" w:right="145" w:firstLine="708"/>
        <w:jc w:val="both"/>
        <w:rPr>
          <w:sz w:val="28"/>
          <w:szCs w:val="28"/>
          <w:lang w:val="ru-RU"/>
        </w:rPr>
      </w:pPr>
      <w:r w:rsidRPr="0056276C">
        <w:rPr>
          <w:sz w:val="28"/>
          <w:szCs w:val="28"/>
          <w:lang w:val="ru-RU"/>
        </w:rPr>
        <w:t xml:space="preserve">Перечисленные ограничения ставят вопрос о границе применимости самого </w:t>
      </w:r>
      <w:r w:rsidR="00756713">
        <w:rPr>
          <w:sz w:val="28"/>
          <w:szCs w:val="28"/>
          <w:lang w:val="ru-RU"/>
        </w:rPr>
        <w:t>расчета стоимости</w:t>
      </w:r>
      <w:r w:rsidR="004F23EF">
        <w:rPr>
          <w:sz w:val="28"/>
          <w:szCs w:val="28"/>
          <w:lang w:val="ru-RU"/>
        </w:rPr>
        <w:t xml:space="preserve"> компании</w:t>
      </w:r>
      <w:r w:rsidR="00756713">
        <w:rPr>
          <w:sz w:val="28"/>
          <w:szCs w:val="28"/>
          <w:lang w:val="ru-RU"/>
        </w:rPr>
        <w:t xml:space="preserve"> по методу дисконтированных денежных потоков</w:t>
      </w:r>
      <w:r w:rsidRPr="0056276C">
        <w:rPr>
          <w:sz w:val="28"/>
          <w:szCs w:val="28"/>
          <w:lang w:val="ru-RU"/>
        </w:rPr>
        <w:t xml:space="preserve">. Наиболее жёсткий ответ даёт </w:t>
      </w:r>
      <w:r w:rsidRPr="0056276C">
        <w:rPr>
          <w:sz w:val="28"/>
          <w:szCs w:val="28"/>
          <w:lang w:val="en-US"/>
        </w:rPr>
        <w:t>AICPA</w:t>
      </w:r>
      <w:r w:rsidR="00816950">
        <w:rPr>
          <w:rStyle w:val="a7"/>
          <w:sz w:val="28"/>
          <w:szCs w:val="28"/>
          <w:lang w:val="en-US"/>
        </w:rPr>
        <w:footnoteReference w:id="174"/>
      </w:r>
      <w:r w:rsidRPr="0056276C">
        <w:rPr>
          <w:sz w:val="28"/>
          <w:szCs w:val="28"/>
          <w:lang w:val="ru-RU"/>
        </w:rPr>
        <w:t xml:space="preserve">: согласно её методологии оценки </w:t>
      </w:r>
      <w:r w:rsidRPr="0056276C">
        <w:rPr>
          <w:sz w:val="28"/>
          <w:szCs w:val="28"/>
          <w:lang w:val="ru-RU"/>
        </w:rPr>
        <w:lastRenderedPageBreak/>
        <w:t>портфельных инвестиций венчурных фондов и фондов прямых инвестиций, доходный подход полноценно применим лишь начиная со стадии появления выручки, а на более ранних стадиях ориентиром служат цена последнего раунда финансирования и опционные модели распределения стоимости между классами акций (</w:t>
      </w:r>
      <w:r w:rsidR="004F23EF">
        <w:rPr>
          <w:sz w:val="28"/>
          <w:szCs w:val="28"/>
          <w:lang w:val="ru-RU"/>
        </w:rPr>
        <w:t>см.</w:t>
      </w:r>
      <w:r w:rsidRPr="0056276C">
        <w:rPr>
          <w:sz w:val="28"/>
          <w:szCs w:val="28"/>
          <w:lang w:val="ru-RU"/>
        </w:rPr>
        <w:t xml:space="preserve"> §1.2).</w:t>
      </w:r>
    </w:p>
    <w:p w14:paraId="7233E83F" w14:textId="77777777" w:rsidR="00756713" w:rsidRDefault="0056276C" w:rsidP="00756713">
      <w:pPr>
        <w:pBdr>
          <w:top w:val="nil"/>
          <w:left w:val="nil"/>
          <w:bottom w:val="nil"/>
          <w:right w:val="nil"/>
          <w:between w:val="nil"/>
        </w:pBdr>
        <w:spacing w:before="2" w:line="360" w:lineRule="auto"/>
        <w:ind w:left="140" w:right="145" w:firstLine="708"/>
        <w:jc w:val="both"/>
        <w:rPr>
          <w:sz w:val="28"/>
          <w:szCs w:val="28"/>
          <w:lang w:val="ru-RU"/>
        </w:rPr>
      </w:pPr>
      <w:r w:rsidRPr="0056276C">
        <w:rPr>
          <w:sz w:val="28"/>
          <w:szCs w:val="28"/>
          <w:lang w:val="ru-RU"/>
        </w:rPr>
        <w:t>Настоящее исследование не оспаривает техническую сложность прогнозирования для компании без выручки, но ставит вопрос точнее: определяется ли эта граница возрастом компании или новизной прогнозируемой стратегии относительно накопленной истории. Из четырёх стратегий роста, выделяемых матрицей И. Ансоффа</w:t>
      </w:r>
      <w:r w:rsidR="00756713">
        <w:rPr>
          <w:rStyle w:val="a7"/>
          <w:sz w:val="28"/>
          <w:szCs w:val="28"/>
          <w:lang w:val="ru-RU"/>
        </w:rPr>
        <w:footnoteReference w:id="175"/>
      </w:r>
      <w:r w:rsidRPr="0056276C">
        <w:rPr>
          <w:sz w:val="28"/>
          <w:szCs w:val="28"/>
          <w:lang w:val="ru-RU"/>
        </w:rPr>
        <w:t xml:space="preserve">, лишь проникновение на существующий рынок с существующим продуктом опирается на историю, репрезентативную для будущего. Развитие продукта, развитие рынка и </w:t>
      </w:r>
      <w:r w:rsidR="00756713">
        <w:rPr>
          <w:sz w:val="28"/>
          <w:szCs w:val="28"/>
          <w:lang w:val="ru-RU"/>
        </w:rPr>
        <w:t xml:space="preserve">тем более </w:t>
      </w:r>
      <w:r w:rsidRPr="0056276C">
        <w:rPr>
          <w:sz w:val="28"/>
          <w:szCs w:val="28"/>
          <w:lang w:val="ru-RU"/>
        </w:rPr>
        <w:t xml:space="preserve">диверсификация ставят перед зрелой компанией ту же задачу, что и перед стартапом: компания с двадцатилетней историей, выходящая в новую географию, прогнозирует выручку и капиталоёмкость этого направления с той же неопределённостью, что и компания на посевной стадии. Разница между ними не в применимости </w:t>
      </w:r>
      <w:r w:rsidRPr="0056276C">
        <w:rPr>
          <w:sz w:val="28"/>
          <w:szCs w:val="28"/>
          <w:lang w:val="en-US"/>
        </w:rPr>
        <w:t>DCF</w:t>
      </w:r>
      <w:r w:rsidRPr="0056276C">
        <w:rPr>
          <w:sz w:val="28"/>
          <w:szCs w:val="28"/>
          <w:lang w:val="ru-RU"/>
        </w:rPr>
        <w:t>, а в качестве косвенных данных для калибровки прогноза — управленческого опыта, доступа к сопоставимым рынкам, отраслевой экспертизы.</w:t>
      </w:r>
    </w:p>
    <w:p w14:paraId="25EBCF3E" w14:textId="77777777" w:rsidR="00756713" w:rsidRDefault="0056276C" w:rsidP="00756713">
      <w:pPr>
        <w:pBdr>
          <w:top w:val="nil"/>
          <w:left w:val="nil"/>
          <w:bottom w:val="nil"/>
          <w:right w:val="nil"/>
          <w:between w:val="nil"/>
        </w:pBdr>
        <w:spacing w:before="2" w:line="360" w:lineRule="auto"/>
        <w:ind w:left="140" w:right="145" w:firstLine="708"/>
        <w:jc w:val="both"/>
        <w:rPr>
          <w:sz w:val="28"/>
          <w:szCs w:val="28"/>
          <w:lang w:val="ru-RU"/>
        </w:rPr>
      </w:pPr>
      <w:r w:rsidRPr="0056276C">
        <w:rPr>
          <w:sz w:val="28"/>
          <w:szCs w:val="28"/>
          <w:lang w:val="ru-RU"/>
        </w:rPr>
        <w:t xml:space="preserve">Отсюда следует вывод, продолжающий логику §1.2 и §1.3: граница применимости </w:t>
      </w:r>
      <w:r w:rsidRPr="0056276C">
        <w:rPr>
          <w:sz w:val="28"/>
          <w:szCs w:val="28"/>
          <w:lang w:val="en-US"/>
        </w:rPr>
        <w:t>DCF</w:t>
      </w:r>
      <w:r w:rsidRPr="0056276C">
        <w:rPr>
          <w:sz w:val="28"/>
          <w:szCs w:val="28"/>
          <w:lang w:val="ru-RU"/>
        </w:rPr>
        <w:t xml:space="preserve"> проходит не по стадии жизненного цикла и не по возрасту компании, а по наличию измеримой истории применительно к конкретному прогнозируемому объекту оценки. Компания, такой историей не располагающая, не выпадает из области применения методики</w:t>
      </w:r>
      <w:r w:rsidR="00756713">
        <w:rPr>
          <w:sz w:val="28"/>
          <w:szCs w:val="28"/>
          <w:lang w:val="ru-RU"/>
        </w:rPr>
        <w:t>.</w:t>
      </w:r>
      <w:r w:rsidRPr="0056276C">
        <w:rPr>
          <w:sz w:val="28"/>
          <w:szCs w:val="28"/>
          <w:lang w:val="ru-RU"/>
        </w:rPr>
        <w:t xml:space="preserve"> </w:t>
      </w:r>
      <w:r w:rsidR="00756713">
        <w:rPr>
          <w:sz w:val="28"/>
          <w:szCs w:val="28"/>
          <w:lang w:val="ru-RU"/>
        </w:rPr>
        <w:t>Д</w:t>
      </w:r>
      <w:r w:rsidRPr="0056276C">
        <w:rPr>
          <w:sz w:val="28"/>
          <w:szCs w:val="28"/>
          <w:lang w:val="ru-RU"/>
        </w:rPr>
        <w:t>ля неё меняется не логика дисконтирования будущих выгод, а способ формирования прогноза: от экстраполяции собственной истории к оценке от размера целевого рынка с последующим сужением до реалистичной доли компании.</w:t>
      </w:r>
    </w:p>
    <w:p w14:paraId="5D8476E5" w14:textId="77777777" w:rsidR="00392B83" w:rsidRDefault="00392B83" w:rsidP="00CF4295">
      <w:pPr>
        <w:pBdr>
          <w:top w:val="nil"/>
          <w:left w:val="nil"/>
          <w:bottom w:val="nil"/>
          <w:right w:val="nil"/>
          <w:between w:val="nil"/>
        </w:pBdr>
        <w:spacing w:before="2" w:line="360" w:lineRule="auto"/>
        <w:ind w:left="140" w:right="145" w:firstLine="708"/>
        <w:jc w:val="both"/>
        <w:rPr>
          <w:sz w:val="28"/>
          <w:szCs w:val="28"/>
          <w:lang w:val="ru-RU"/>
        </w:rPr>
      </w:pPr>
      <w:r w:rsidRPr="00392B83">
        <w:rPr>
          <w:sz w:val="28"/>
          <w:szCs w:val="28"/>
        </w:rPr>
        <w:t xml:space="preserve">Таким образом, структурные ограничения DCF применительно к непубличной компании сводятся к пяти точкам: </w:t>
      </w:r>
    </w:p>
    <w:p w14:paraId="0E9BA352" w14:textId="77777777" w:rsidR="00392B83" w:rsidRDefault="00392B83" w:rsidP="00392B83">
      <w:pPr>
        <w:pStyle w:val="a9"/>
        <w:numPr>
          <w:ilvl w:val="0"/>
          <w:numId w:val="10"/>
        </w:numPr>
        <w:pBdr>
          <w:top w:val="nil"/>
          <w:left w:val="nil"/>
          <w:bottom w:val="nil"/>
          <w:right w:val="nil"/>
          <w:between w:val="nil"/>
        </w:pBdr>
        <w:spacing w:before="2" w:line="360" w:lineRule="auto"/>
        <w:ind w:right="145"/>
        <w:jc w:val="both"/>
        <w:rPr>
          <w:sz w:val="28"/>
          <w:szCs w:val="28"/>
          <w:lang w:val="ru-RU"/>
        </w:rPr>
      </w:pPr>
      <w:r w:rsidRPr="00392B83">
        <w:rPr>
          <w:sz w:val="28"/>
          <w:szCs w:val="28"/>
        </w:rPr>
        <w:lastRenderedPageBreak/>
        <w:t xml:space="preserve">субъективность нормализации исторической базы; </w:t>
      </w:r>
    </w:p>
    <w:p w14:paraId="488145C3" w14:textId="77777777" w:rsidR="00392B83" w:rsidRDefault="00392B83" w:rsidP="00392B83">
      <w:pPr>
        <w:pStyle w:val="a9"/>
        <w:numPr>
          <w:ilvl w:val="0"/>
          <w:numId w:val="10"/>
        </w:numPr>
        <w:pBdr>
          <w:top w:val="nil"/>
          <w:left w:val="nil"/>
          <w:bottom w:val="nil"/>
          <w:right w:val="nil"/>
          <w:between w:val="nil"/>
        </w:pBdr>
        <w:spacing w:before="2" w:line="360" w:lineRule="auto"/>
        <w:ind w:right="145"/>
        <w:jc w:val="both"/>
        <w:rPr>
          <w:sz w:val="28"/>
          <w:szCs w:val="28"/>
          <w:lang w:val="ru-RU"/>
        </w:rPr>
      </w:pPr>
      <w:r w:rsidRPr="00392B83">
        <w:rPr>
          <w:sz w:val="28"/>
          <w:szCs w:val="28"/>
        </w:rPr>
        <w:t xml:space="preserve">экспертный характер допущений в прогнозе FCF </w:t>
      </w:r>
      <w:r>
        <w:rPr>
          <w:sz w:val="28"/>
          <w:szCs w:val="28"/>
          <w:lang w:val="ru-RU"/>
        </w:rPr>
        <w:t>(</w:t>
      </w:r>
      <w:r w:rsidRPr="00392B83">
        <w:rPr>
          <w:sz w:val="28"/>
          <w:szCs w:val="28"/>
        </w:rPr>
        <w:t>как при экстраполяции собственной истории, так и при её замене оценкой от размера целевого рынка, где произвольными становятся объём рынка, темп его роста и достижимая доля компании</w:t>
      </w:r>
      <w:r>
        <w:rPr>
          <w:sz w:val="28"/>
          <w:szCs w:val="28"/>
          <w:lang w:val="ru-RU"/>
        </w:rPr>
        <w:t>)</w:t>
      </w:r>
      <w:r w:rsidRPr="00392B83">
        <w:rPr>
          <w:sz w:val="28"/>
          <w:szCs w:val="28"/>
        </w:rPr>
        <w:t xml:space="preserve">; </w:t>
      </w:r>
    </w:p>
    <w:p w14:paraId="1362DB2B" w14:textId="77777777" w:rsidR="00392B83" w:rsidRDefault="00392B83" w:rsidP="00392B83">
      <w:pPr>
        <w:pStyle w:val="a9"/>
        <w:numPr>
          <w:ilvl w:val="0"/>
          <w:numId w:val="10"/>
        </w:numPr>
        <w:pBdr>
          <w:top w:val="nil"/>
          <w:left w:val="nil"/>
          <w:bottom w:val="nil"/>
          <w:right w:val="nil"/>
          <w:between w:val="nil"/>
        </w:pBdr>
        <w:spacing w:before="2" w:line="360" w:lineRule="auto"/>
        <w:ind w:right="145"/>
        <w:jc w:val="both"/>
        <w:rPr>
          <w:sz w:val="28"/>
          <w:szCs w:val="28"/>
          <w:lang w:val="ru-RU"/>
        </w:rPr>
      </w:pPr>
      <w:r w:rsidRPr="00392B83">
        <w:rPr>
          <w:sz w:val="28"/>
          <w:szCs w:val="28"/>
        </w:rPr>
        <w:t xml:space="preserve">чувствительность терминальной стоимости к параметру g; </w:t>
      </w:r>
    </w:p>
    <w:p w14:paraId="393F4A1C" w14:textId="77777777" w:rsidR="00392B83" w:rsidRDefault="00392B83" w:rsidP="00392B83">
      <w:pPr>
        <w:pStyle w:val="a9"/>
        <w:numPr>
          <w:ilvl w:val="0"/>
          <w:numId w:val="10"/>
        </w:numPr>
        <w:pBdr>
          <w:top w:val="nil"/>
          <w:left w:val="nil"/>
          <w:bottom w:val="nil"/>
          <w:right w:val="nil"/>
          <w:between w:val="nil"/>
        </w:pBdr>
        <w:spacing w:before="2" w:line="360" w:lineRule="auto"/>
        <w:ind w:right="145"/>
        <w:jc w:val="both"/>
        <w:rPr>
          <w:sz w:val="28"/>
          <w:szCs w:val="28"/>
          <w:lang w:val="ru-RU"/>
        </w:rPr>
      </w:pPr>
      <w:r w:rsidRPr="00392B83">
        <w:rPr>
          <w:sz w:val="28"/>
          <w:szCs w:val="28"/>
        </w:rPr>
        <w:t xml:space="preserve">экспертное задание переходного периода в H-модели; </w:t>
      </w:r>
    </w:p>
    <w:p w14:paraId="528E3C82" w14:textId="1C29B23A" w:rsidR="00392B83" w:rsidRPr="00392B83" w:rsidRDefault="00392B83" w:rsidP="00392B83">
      <w:pPr>
        <w:pStyle w:val="a9"/>
        <w:numPr>
          <w:ilvl w:val="0"/>
          <w:numId w:val="10"/>
        </w:numPr>
        <w:pBdr>
          <w:top w:val="nil"/>
          <w:left w:val="nil"/>
          <w:bottom w:val="nil"/>
          <w:right w:val="nil"/>
          <w:between w:val="nil"/>
        </w:pBdr>
        <w:spacing w:before="2" w:line="360" w:lineRule="auto"/>
        <w:ind w:right="145"/>
        <w:jc w:val="both"/>
        <w:rPr>
          <w:sz w:val="28"/>
          <w:szCs w:val="28"/>
          <w:lang w:val="ru-RU"/>
        </w:rPr>
      </w:pPr>
      <w:r w:rsidRPr="00392B83">
        <w:rPr>
          <w:sz w:val="28"/>
          <w:szCs w:val="28"/>
        </w:rPr>
        <w:t>со стороны ставки</w:t>
      </w:r>
      <w:r>
        <w:rPr>
          <w:sz w:val="28"/>
          <w:szCs w:val="28"/>
          <w:lang w:val="ru-RU"/>
        </w:rPr>
        <w:t xml:space="preserve"> -</w:t>
      </w:r>
      <w:r w:rsidRPr="00392B83">
        <w:rPr>
          <w:sz w:val="28"/>
          <w:szCs w:val="28"/>
        </w:rPr>
        <w:t xml:space="preserve"> циркулярность релевериджирования вместе с ограниченной методической совместимостью беты, реконструированной по зарубежным аналогам, с российским контекстом целевой компании.</w:t>
      </w:r>
    </w:p>
    <w:p w14:paraId="3B2104FE" w14:textId="7F8954FC" w:rsidR="00CF4295" w:rsidRPr="00CF4295" w:rsidRDefault="0056276C" w:rsidP="00CF4295">
      <w:pPr>
        <w:pBdr>
          <w:top w:val="nil"/>
          <w:left w:val="nil"/>
          <w:bottom w:val="nil"/>
          <w:right w:val="nil"/>
          <w:between w:val="nil"/>
        </w:pBdr>
        <w:spacing w:before="2" w:line="360" w:lineRule="auto"/>
        <w:ind w:left="140" w:right="145" w:firstLine="708"/>
        <w:jc w:val="both"/>
        <w:rPr>
          <w:sz w:val="28"/>
          <w:szCs w:val="28"/>
          <w:lang w:val="ru-RU"/>
        </w:rPr>
      </w:pPr>
      <w:r w:rsidRPr="0056276C">
        <w:rPr>
          <w:sz w:val="28"/>
          <w:szCs w:val="28"/>
          <w:lang w:val="ru-RU"/>
        </w:rPr>
        <w:t xml:space="preserve">Наиболее уязвимой </w:t>
      </w:r>
      <w:r w:rsidR="00B41F2B">
        <w:rPr>
          <w:sz w:val="28"/>
          <w:szCs w:val="28"/>
          <w:lang w:val="ru-RU"/>
        </w:rPr>
        <w:t>отдельной точкой</w:t>
      </w:r>
      <w:r w:rsidRPr="0056276C">
        <w:rPr>
          <w:sz w:val="28"/>
          <w:szCs w:val="28"/>
          <w:lang w:val="ru-RU"/>
        </w:rPr>
        <w:t xml:space="preserve"> остаётся премия за специфический риск компании. В отличие от беты, реконструируемой хотя бы по наблюдаемым рыночным данным компаний-аналогов, </w:t>
      </w:r>
      <w:r w:rsidRPr="0056276C">
        <w:rPr>
          <w:sz w:val="28"/>
          <w:szCs w:val="28"/>
          <w:lang w:val="en-US"/>
        </w:rPr>
        <w:t>CSRP</w:t>
      </w:r>
      <w:r w:rsidRPr="0056276C">
        <w:rPr>
          <w:sz w:val="28"/>
          <w:szCs w:val="28"/>
          <w:lang w:val="ru-RU"/>
        </w:rPr>
        <w:t xml:space="preserve"> в классической практике не имеет расчётной процедуры вовсе и присваивается волевым решением оценщика. </w:t>
      </w:r>
      <w:r w:rsidR="00CF4295" w:rsidRPr="00CF4295">
        <w:rPr>
          <w:sz w:val="28"/>
          <w:szCs w:val="28"/>
          <w:lang w:val="ru-RU"/>
        </w:rPr>
        <w:t xml:space="preserve"> </w:t>
      </w:r>
      <w:r w:rsidR="00CF4295" w:rsidRPr="00CF4295">
        <w:rPr>
          <w:sz w:val="28"/>
          <w:szCs w:val="28"/>
        </w:rPr>
        <w:t xml:space="preserve">История и содержание методов определения этой премии, а также природа второго корректирующего элемента оценки непубличной компании — дисконта за недостаточную ликвидность, применяемого не к ставке, а к уже рассчитанной стоимости, — рассматриваются в </w:t>
      </w:r>
      <w:r w:rsidR="00CF4295">
        <w:rPr>
          <w:sz w:val="28"/>
          <w:szCs w:val="28"/>
          <w:lang w:val="ru-RU"/>
        </w:rPr>
        <w:t>следующем параграфе</w:t>
      </w:r>
      <w:r w:rsidR="00CF4295" w:rsidRPr="00CF4295">
        <w:rPr>
          <w:sz w:val="28"/>
          <w:szCs w:val="28"/>
        </w:rPr>
        <w:t>.</w:t>
      </w:r>
    </w:p>
    <w:p w14:paraId="116EB371" w14:textId="77777777" w:rsidR="00A1177A" w:rsidRDefault="00A1177A" w:rsidP="008D42EC">
      <w:pPr>
        <w:pBdr>
          <w:top w:val="nil"/>
          <w:left w:val="nil"/>
          <w:bottom w:val="nil"/>
          <w:right w:val="nil"/>
          <w:between w:val="nil"/>
        </w:pBdr>
        <w:spacing w:before="2" w:line="360" w:lineRule="auto"/>
        <w:ind w:left="140" w:right="145" w:firstLine="708"/>
        <w:jc w:val="both"/>
        <w:rPr>
          <w:sz w:val="28"/>
          <w:szCs w:val="28"/>
          <w:lang w:val="ru-RU"/>
        </w:rPr>
      </w:pPr>
    </w:p>
    <w:p w14:paraId="296C0C59" w14:textId="77777777" w:rsidR="00A1177A" w:rsidRPr="008D42EC" w:rsidRDefault="00A1177A" w:rsidP="00A1177A">
      <w:pPr>
        <w:numPr>
          <w:ilvl w:val="1"/>
          <w:numId w:val="3"/>
        </w:numPr>
        <w:pBdr>
          <w:top w:val="nil"/>
          <w:left w:val="nil"/>
          <w:bottom w:val="nil"/>
          <w:right w:val="nil"/>
          <w:between w:val="nil"/>
        </w:pBdr>
        <w:tabs>
          <w:tab w:val="left" w:pos="1345"/>
        </w:tabs>
        <w:spacing w:line="360" w:lineRule="auto"/>
        <w:ind w:right="146" w:firstLine="708"/>
        <w:jc w:val="both"/>
        <w:rPr>
          <w:sz w:val="28"/>
          <w:szCs w:val="28"/>
        </w:rPr>
      </w:pPr>
      <w:r w:rsidRPr="008D42EC">
        <w:rPr>
          <w:sz w:val="28"/>
          <w:szCs w:val="28"/>
        </w:rPr>
        <w:t>Дисконты и премии за неготовность компании к привлечению капитала: от экспертных методов к формализованным процедурам</w:t>
      </w:r>
    </w:p>
    <w:p w14:paraId="5AB979BA" w14:textId="0C9E8D19" w:rsidR="00E346C6" w:rsidRPr="00E346C6" w:rsidRDefault="00CF4295" w:rsidP="008D42EC">
      <w:pPr>
        <w:pBdr>
          <w:top w:val="nil"/>
          <w:left w:val="nil"/>
          <w:bottom w:val="nil"/>
          <w:right w:val="nil"/>
          <w:between w:val="nil"/>
        </w:pBdr>
        <w:spacing w:before="2" w:line="360" w:lineRule="auto"/>
        <w:ind w:left="140" w:right="145" w:firstLine="708"/>
        <w:jc w:val="both"/>
        <w:rPr>
          <w:sz w:val="28"/>
          <w:szCs w:val="28"/>
          <w:lang w:val="ru-RU"/>
        </w:rPr>
      </w:pPr>
      <w:r w:rsidRPr="00CF4295">
        <w:rPr>
          <w:sz w:val="28"/>
          <w:szCs w:val="28"/>
        </w:rPr>
        <w:t xml:space="preserve">Стоимость непубличной компании, полученная методом дисконтированных денежных потоков, обоснованным в §1.4, требует двух корректировок, происхождение которых до сих пор не раскрыто: премии за специфический риск в самой ставке дисконтирования и дисконта за недостаточную ликвидность, применяемого к уже рассчитанной величине стоимости. Первая корректировка коренится в отдельной, альтернативной CAPM традиции построения ставки — модели кумулятивного построения, предложенной С. Праттом, где систематический и специфический риск не разделяются через бету, а собираются последовательным сложением экспертных премий. Настоящее исследование заимствует из этой традиции только один её элемент, соединяя его с CAPM в </w:t>
      </w:r>
      <w:r w:rsidRPr="00CF4295">
        <w:rPr>
          <w:sz w:val="28"/>
          <w:szCs w:val="28"/>
        </w:rPr>
        <w:lastRenderedPageBreak/>
        <w:t xml:space="preserve">единую конструкцию. </w:t>
      </w:r>
      <w:r w:rsidR="00E346C6" w:rsidRPr="00E346C6">
        <w:rPr>
          <w:sz w:val="28"/>
          <w:szCs w:val="28"/>
        </w:rPr>
        <w:t>Вторая корректировка восходит к другой традиции</w:t>
      </w:r>
      <w:r w:rsidR="00E346C6" w:rsidRPr="00E346C6">
        <w:rPr>
          <w:sz w:val="28"/>
          <w:szCs w:val="28"/>
          <w:lang w:val="ru-RU"/>
        </w:rPr>
        <w:t xml:space="preserve">, </w:t>
      </w:r>
      <w:r w:rsidR="00E346C6">
        <w:rPr>
          <w:sz w:val="28"/>
          <w:szCs w:val="28"/>
          <w:lang w:val="ru-RU"/>
        </w:rPr>
        <w:t>а именно к</w:t>
      </w:r>
      <w:r w:rsidR="00E346C6" w:rsidRPr="00E346C6">
        <w:rPr>
          <w:sz w:val="28"/>
          <w:szCs w:val="28"/>
        </w:rPr>
        <w:t xml:space="preserve"> исследованиям сделок с акциями, ограниченными в свободном обращении, где сопоставление цены такой акции со свободно обращающейся бумагой той же компании давало наблюдаемую меру неликвидности.</w:t>
      </w:r>
    </w:p>
    <w:p w14:paraId="50033671" w14:textId="317E70C8" w:rsidR="00CF4295" w:rsidRPr="00A648EF" w:rsidRDefault="00CF4295" w:rsidP="008D42EC">
      <w:pPr>
        <w:pBdr>
          <w:top w:val="nil"/>
          <w:left w:val="nil"/>
          <w:bottom w:val="nil"/>
          <w:right w:val="nil"/>
          <w:between w:val="nil"/>
        </w:pBdr>
        <w:spacing w:before="2" w:line="360" w:lineRule="auto"/>
        <w:ind w:left="140" w:right="145" w:firstLine="708"/>
        <w:jc w:val="both"/>
        <w:rPr>
          <w:sz w:val="28"/>
          <w:szCs w:val="28"/>
          <w:lang w:val="ru-RU"/>
        </w:rPr>
      </w:pPr>
      <w:r w:rsidRPr="00CF4295">
        <w:rPr>
          <w:sz w:val="28"/>
          <w:szCs w:val="28"/>
        </w:rPr>
        <w:t>Оба корректирующих элемента возникли как ответ на одну и ту же проблему, которая составляет предмет настоящего исследования: как оценить компанию, о которой рынок не сообщает ничего, потому что она не является публичной и не раскрывает данные о себе в обязательном порядке. Настоящий параграф прослеживает, как оба устроены, почему оба остаются невоспроизводимыми и какие инструменты способны закрыть этот общий дефект.</w:t>
      </w:r>
    </w:p>
    <w:p w14:paraId="108D3986" w14:textId="674B54DB"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b/>
          <w:bCs/>
          <w:sz w:val="28"/>
          <w:szCs w:val="28"/>
          <w:lang w:val="ru-RU"/>
        </w:rPr>
        <w:t>Модель кумулятивного построения</w:t>
      </w:r>
    </w:p>
    <w:p w14:paraId="14E47CDC" w14:textId="4C13581E"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ru-RU"/>
        </w:rPr>
        <w:t>Исторически первым и до сих пор наиболее распространённым способом определить требуемую доходность для компании без рыночных котировок стала модель кумулятивного построения (</w:t>
      </w:r>
      <w:r w:rsidRPr="008D42EC">
        <w:rPr>
          <w:sz w:val="28"/>
          <w:szCs w:val="28"/>
          <w:lang w:val="en-US"/>
        </w:rPr>
        <w:t>build</w:t>
      </w:r>
      <w:r w:rsidRPr="008D42EC">
        <w:rPr>
          <w:sz w:val="28"/>
          <w:szCs w:val="28"/>
          <w:lang w:val="ru-RU"/>
        </w:rPr>
        <w:t>-</w:t>
      </w:r>
      <w:r w:rsidRPr="008D42EC">
        <w:rPr>
          <w:sz w:val="28"/>
          <w:szCs w:val="28"/>
          <w:lang w:val="en-US"/>
        </w:rPr>
        <w:t>up</w:t>
      </w:r>
      <w:r w:rsidRPr="008D42EC">
        <w:rPr>
          <w:sz w:val="28"/>
          <w:szCs w:val="28"/>
          <w:lang w:val="ru-RU"/>
        </w:rPr>
        <w:t xml:space="preserve"> </w:t>
      </w:r>
      <w:r w:rsidRPr="008D42EC">
        <w:rPr>
          <w:sz w:val="28"/>
          <w:szCs w:val="28"/>
          <w:lang w:val="en-US"/>
        </w:rPr>
        <w:t>model</w:t>
      </w:r>
      <w:r w:rsidRPr="008D42EC">
        <w:rPr>
          <w:sz w:val="28"/>
          <w:szCs w:val="28"/>
          <w:lang w:val="ru-RU"/>
        </w:rPr>
        <w:t>), систематизированная С. Праттом и Р. Грабовск</w:t>
      </w:r>
      <w:r w:rsidR="00A1177A">
        <w:rPr>
          <w:sz w:val="28"/>
          <w:szCs w:val="28"/>
          <w:lang w:val="ru-RU"/>
        </w:rPr>
        <w:t>и</w:t>
      </w:r>
      <w:r w:rsidR="00A1177A">
        <w:rPr>
          <w:rStyle w:val="a7"/>
          <w:sz w:val="28"/>
          <w:szCs w:val="28"/>
          <w:lang w:val="ru-RU"/>
        </w:rPr>
        <w:footnoteReference w:id="176"/>
      </w:r>
      <w:r w:rsidRPr="008D42EC">
        <w:rPr>
          <w:sz w:val="28"/>
          <w:szCs w:val="28"/>
          <w:lang w:val="ru-RU"/>
        </w:rPr>
        <w:t>:</w:t>
      </w:r>
    </w:p>
    <w:p w14:paraId="1C96B9B9" w14:textId="77777777" w:rsidR="008D42EC" w:rsidRPr="008D42EC" w:rsidRDefault="008D42EC" w:rsidP="00A1177A">
      <w:pPr>
        <w:pBdr>
          <w:top w:val="nil"/>
          <w:left w:val="nil"/>
          <w:bottom w:val="nil"/>
          <w:right w:val="nil"/>
          <w:between w:val="nil"/>
        </w:pBdr>
        <w:spacing w:before="2" w:line="360" w:lineRule="auto"/>
        <w:ind w:left="140" w:right="145" w:firstLine="708"/>
        <w:jc w:val="center"/>
        <w:rPr>
          <w:sz w:val="28"/>
          <w:szCs w:val="28"/>
          <w:lang w:val="en-US"/>
        </w:rPr>
      </w:pPr>
      <w:r w:rsidRPr="008D42EC">
        <w:rPr>
          <w:sz w:val="28"/>
          <w:szCs w:val="28"/>
          <w:lang w:val="en-US"/>
        </w:rPr>
        <w:t>re = rf + RPm + RPs + RPi + CSRP</w:t>
      </w:r>
    </w:p>
    <w:p w14:paraId="5D5FB1B7"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ru-RU"/>
        </w:rPr>
        <w:t xml:space="preserve">где </w:t>
      </w:r>
      <w:r w:rsidRPr="008D42EC">
        <w:rPr>
          <w:sz w:val="28"/>
          <w:szCs w:val="28"/>
          <w:lang w:val="en-US"/>
        </w:rPr>
        <w:t>re</w:t>
      </w:r>
      <w:r w:rsidRPr="008D42EC">
        <w:rPr>
          <w:sz w:val="28"/>
          <w:szCs w:val="28"/>
          <w:lang w:val="ru-RU"/>
        </w:rPr>
        <w:t xml:space="preserve"> — требуемая доходность на собственный капитал;</w:t>
      </w:r>
    </w:p>
    <w:p w14:paraId="3B31AC92"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en-US"/>
        </w:rPr>
        <w:t>rf</w:t>
      </w:r>
      <w:r w:rsidRPr="008D42EC">
        <w:rPr>
          <w:sz w:val="28"/>
          <w:szCs w:val="28"/>
          <w:lang w:val="ru-RU"/>
        </w:rPr>
        <w:t xml:space="preserve"> — безрисковая ставка;</w:t>
      </w:r>
    </w:p>
    <w:p w14:paraId="7BB636E0"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en-US"/>
        </w:rPr>
        <w:t>RPm</w:t>
      </w:r>
      <w:r w:rsidRPr="008D42EC">
        <w:rPr>
          <w:sz w:val="28"/>
          <w:szCs w:val="28"/>
          <w:lang w:val="ru-RU"/>
        </w:rPr>
        <w:t xml:space="preserve"> — премия за риск инвестирования в акционерный капитал;</w:t>
      </w:r>
    </w:p>
    <w:p w14:paraId="1864276A"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en-US"/>
        </w:rPr>
        <w:t>RPs</w:t>
      </w:r>
      <w:r w:rsidRPr="008D42EC">
        <w:rPr>
          <w:sz w:val="28"/>
          <w:szCs w:val="28"/>
          <w:lang w:val="ru-RU"/>
        </w:rPr>
        <w:t xml:space="preserve"> — премия за размер компании;</w:t>
      </w:r>
    </w:p>
    <w:p w14:paraId="5548C0AF"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en-US"/>
        </w:rPr>
        <w:t>RPi</w:t>
      </w:r>
      <w:r w:rsidRPr="008D42EC">
        <w:rPr>
          <w:sz w:val="28"/>
          <w:szCs w:val="28"/>
          <w:lang w:val="ru-RU"/>
        </w:rPr>
        <w:t xml:space="preserve"> — отраслевая премия за риск;</w:t>
      </w:r>
    </w:p>
    <w:p w14:paraId="6314D5BC" w14:textId="77777777" w:rsidR="008D42EC" w:rsidRPr="008D42EC" w:rsidRDefault="008D42EC" w:rsidP="008D42EC">
      <w:pPr>
        <w:pBdr>
          <w:top w:val="nil"/>
          <w:left w:val="nil"/>
          <w:bottom w:val="nil"/>
          <w:right w:val="nil"/>
          <w:between w:val="nil"/>
        </w:pBdr>
        <w:spacing w:before="2" w:line="360" w:lineRule="auto"/>
        <w:ind w:left="140" w:right="145" w:firstLine="708"/>
        <w:jc w:val="both"/>
        <w:rPr>
          <w:sz w:val="28"/>
          <w:szCs w:val="28"/>
          <w:lang w:val="ru-RU"/>
        </w:rPr>
      </w:pPr>
      <w:r w:rsidRPr="008D42EC">
        <w:rPr>
          <w:sz w:val="28"/>
          <w:szCs w:val="28"/>
          <w:lang w:val="en-US"/>
        </w:rPr>
        <w:t>CSRP</w:t>
      </w:r>
      <w:r w:rsidRPr="008D42EC">
        <w:rPr>
          <w:sz w:val="28"/>
          <w:szCs w:val="28"/>
          <w:lang w:val="ru-RU"/>
        </w:rPr>
        <w:t xml:space="preserve"> — премия за специфический риск компании.</w:t>
      </w:r>
    </w:p>
    <w:p w14:paraId="3158772C" w14:textId="3F4C55FF" w:rsidR="008D42EC" w:rsidRPr="008D42EC" w:rsidRDefault="00646D84" w:rsidP="008D42EC">
      <w:pPr>
        <w:pBdr>
          <w:top w:val="nil"/>
          <w:left w:val="nil"/>
          <w:bottom w:val="nil"/>
          <w:right w:val="nil"/>
          <w:between w:val="nil"/>
        </w:pBdr>
        <w:spacing w:before="2" w:line="360" w:lineRule="auto"/>
        <w:ind w:left="140" w:right="145" w:firstLine="708"/>
        <w:jc w:val="both"/>
        <w:rPr>
          <w:sz w:val="28"/>
          <w:szCs w:val="28"/>
          <w:lang w:val="ru-RU"/>
        </w:rPr>
      </w:pPr>
      <w:r w:rsidRPr="00646D84">
        <w:rPr>
          <w:sz w:val="28"/>
          <w:szCs w:val="28"/>
        </w:rPr>
        <w:t>Устройство модели противоположно логике CAPM, рассмотренной в §1.4: если CAPM выводит требуемую доходность из поведения конкретного актива относительно рынка через самостоятельно реконструируемый бета-коэффициент, то в модели кумулятивного построения оценщик бету не рассчитывает</w:t>
      </w:r>
      <w:r>
        <w:rPr>
          <w:sz w:val="28"/>
          <w:szCs w:val="28"/>
          <w:lang w:val="ru-RU"/>
        </w:rPr>
        <w:t>. В ней</w:t>
      </w:r>
      <w:r w:rsidRPr="00646D84">
        <w:rPr>
          <w:sz w:val="28"/>
          <w:szCs w:val="28"/>
        </w:rPr>
        <w:t xml:space="preserve"> все компоненты входят </w:t>
      </w:r>
      <w:r>
        <w:rPr>
          <w:sz w:val="28"/>
          <w:szCs w:val="28"/>
          <w:lang w:val="ru-RU"/>
        </w:rPr>
        <w:t>суммарно</w:t>
      </w:r>
      <w:r w:rsidRPr="00646D84">
        <w:rPr>
          <w:sz w:val="28"/>
          <w:szCs w:val="28"/>
        </w:rPr>
        <w:t xml:space="preserve">, а систематический риск учитывается через усреднённые премии: рыночную, размерную и отраслевую. Бета при этом не исчезает полностью, а перемещается за пределы работы оценщика: отраслевая </w:t>
      </w:r>
      <w:r w:rsidRPr="00646D84">
        <w:rPr>
          <w:sz w:val="28"/>
          <w:szCs w:val="28"/>
        </w:rPr>
        <w:lastRenderedPageBreak/>
        <w:t>премия в справочных источниках рассчитывается по отраслевым бета-коэффициентам, но её результат попадает к оценщику в готовом, усреднённом виде и не привязан ни к структуре капитала оцениваемой компании, ни к её индивидуальным характеристикам.</w:t>
      </w:r>
    </w:p>
    <w:p w14:paraId="29E09FB6" w14:textId="0DF85505" w:rsidR="008D42EC" w:rsidRPr="008D42EC" w:rsidRDefault="00646D84" w:rsidP="008D42EC">
      <w:pPr>
        <w:pBdr>
          <w:top w:val="nil"/>
          <w:left w:val="nil"/>
          <w:bottom w:val="nil"/>
          <w:right w:val="nil"/>
          <w:between w:val="nil"/>
        </w:pBdr>
        <w:spacing w:before="2" w:line="360" w:lineRule="auto"/>
        <w:ind w:left="140" w:right="145" w:firstLine="708"/>
        <w:jc w:val="both"/>
        <w:rPr>
          <w:sz w:val="28"/>
          <w:szCs w:val="28"/>
          <w:lang w:val="ru-RU"/>
        </w:rPr>
      </w:pPr>
      <w:r w:rsidRPr="00646D84">
        <w:rPr>
          <w:sz w:val="28"/>
          <w:szCs w:val="28"/>
        </w:rPr>
        <w:t>Именно отсутствие требования к собственной рыночной истории делает модель применимой к непубличной компании. Этим объясняется и её укоренённость в российской практике, где сопоставимых публичных аналогов немного, а объектом оценки чаще выступает непубличный бизнес. Методические рекомендации Минпромторга России по заполнению финансовой модели для получения федеральных субсидий прямо называют метод кумулятивного построения наиболее оптимальным, поскольку он позволяет учесть все виды рисков инвестиционных вложений — как отраслевые, так и связанные со спецификой конкретного предприятия</w:t>
      </w:r>
      <w:r w:rsidR="00E372A3">
        <w:rPr>
          <w:rStyle w:val="a7"/>
          <w:sz w:val="28"/>
          <w:szCs w:val="28"/>
          <w:lang w:val="ru-RU"/>
        </w:rPr>
        <w:footnoteReference w:id="177"/>
      </w:r>
      <w:r w:rsidR="008D42EC" w:rsidRPr="008D42EC">
        <w:rPr>
          <w:sz w:val="28"/>
          <w:szCs w:val="28"/>
          <w:lang w:val="ru-RU"/>
        </w:rPr>
        <w:t>.</w:t>
      </w:r>
    </w:p>
    <w:p w14:paraId="29A81B9B" w14:textId="73BDF82C"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t xml:space="preserve">Первые четыре слагаемых модели опираются на статистически оцениваемые величины. Безрисковая ставка берётся с рынка государственного долга. Премия за риск акционерного капитала показывает, насколько доходность рынка акций в целом исторически превышала безрисковую ставку. </w:t>
      </w:r>
      <w:r>
        <w:rPr>
          <w:sz w:val="28"/>
          <w:szCs w:val="28"/>
          <w:lang w:val="ru-RU"/>
        </w:rPr>
        <w:t>П</w:t>
      </w:r>
      <w:r w:rsidRPr="00F03050">
        <w:rPr>
          <w:sz w:val="28"/>
          <w:szCs w:val="28"/>
          <w:lang w:val="ru-RU"/>
        </w:rPr>
        <w:t>ремия за размер отражает наблюдение, что акции небольших компаний приносили доходность выше рыночной</w:t>
      </w:r>
      <w:r>
        <w:rPr>
          <w:sz w:val="28"/>
          <w:szCs w:val="28"/>
          <w:lang w:val="ru-RU"/>
        </w:rPr>
        <w:t>. О</w:t>
      </w:r>
      <w:r w:rsidRPr="00F03050">
        <w:rPr>
          <w:sz w:val="28"/>
          <w:szCs w:val="28"/>
          <w:lang w:val="ru-RU"/>
        </w:rPr>
        <w:t xml:space="preserve">траслевая премия учитывает различия в риске между секторами. Все три величины оценщик не рассчитывает самостоятельно, а берёт из справочных источников </w:t>
      </w:r>
      <w:r w:rsidR="0038168F" w:rsidRPr="0038168F">
        <w:rPr>
          <w:sz w:val="28"/>
          <w:szCs w:val="28"/>
          <w:lang w:val="ru-RU"/>
        </w:rPr>
        <w:t>(</w:t>
      </w:r>
      <w:r w:rsidR="0038168F">
        <w:rPr>
          <w:sz w:val="28"/>
          <w:szCs w:val="28"/>
          <w:lang w:val="ru-RU"/>
        </w:rPr>
        <w:t>раньше</w:t>
      </w:r>
      <w:r w:rsidRPr="00F03050">
        <w:rPr>
          <w:sz w:val="28"/>
          <w:szCs w:val="28"/>
          <w:lang w:val="ru-RU"/>
        </w:rPr>
        <w:t xml:space="preserve"> из ежегодника </w:t>
      </w:r>
      <w:r w:rsidRPr="00F03050">
        <w:rPr>
          <w:sz w:val="28"/>
          <w:szCs w:val="28"/>
          <w:lang w:val="en-US"/>
        </w:rPr>
        <w:t>Ibbotson</w:t>
      </w:r>
      <w:r w:rsidRPr="00F03050">
        <w:rPr>
          <w:sz w:val="28"/>
          <w:szCs w:val="28"/>
          <w:lang w:val="ru-RU"/>
        </w:rPr>
        <w:t xml:space="preserve"> </w:t>
      </w:r>
      <w:r w:rsidRPr="00F03050">
        <w:rPr>
          <w:sz w:val="28"/>
          <w:szCs w:val="28"/>
          <w:lang w:val="en-US"/>
        </w:rPr>
        <w:t>SBBI</w:t>
      </w:r>
      <w:r w:rsidRPr="00F03050">
        <w:rPr>
          <w:sz w:val="28"/>
          <w:szCs w:val="28"/>
          <w:lang w:val="ru-RU"/>
        </w:rPr>
        <w:t xml:space="preserve"> </w:t>
      </w:r>
      <w:r w:rsidRPr="00F03050">
        <w:rPr>
          <w:sz w:val="28"/>
          <w:szCs w:val="28"/>
          <w:lang w:val="en-US"/>
        </w:rPr>
        <w:t>Valuation</w:t>
      </w:r>
      <w:r w:rsidRPr="00F03050">
        <w:rPr>
          <w:sz w:val="28"/>
          <w:szCs w:val="28"/>
          <w:lang w:val="ru-RU"/>
        </w:rPr>
        <w:t xml:space="preserve"> </w:t>
      </w:r>
      <w:r w:rsidRPr="00F03050">
        <w:rPr>
          <w:sz w:val="28"/>
          <w:szCs w:val="28"/>
          <w:lang w:val="en-US"/>
        </w:rPr>
        <w:t>Yearbook</w:t>
      </w:r>
      <w:r w:rsidRPr="00F03050">
        <w:rPr>
          <w:sz w:val="28"/>
          <w:szCs w:val="28"/>
          <w:lang w:val="ru-RU"/>
        </w:rPr>
        <w:t xml:space="preserve">, сегодня из подписного ресурса </w:t>
      </w:r>
      <w:r w:rsidRPr="00F03050">
        <w:rPr>
          <w:sz w:val="28"/>
          <w:szCs w:val="28"/>
          <w:lang w:val="en-US"/>
        </w:rPr>
        <w:t>Kroll</w:t>
      </w:r>
      <w:r w:rsidRPr="00F03050">
        <w:rPr>
          <w:sz w:val="28"/>
          <w:szCs w:val="28"/>
          <w:lang w:val="ru-RU"/>
        </w:rPr>
        <w:t xml:space="preserve"> </w:t>
      </w:r>
      <w:r w:rsidRPr="00F03050">
        <w:rPr>
          <w:sz w:val="28"/>
          <w:szCs w:val="28"/>
          <w:lang w:val="en-US"/>
        </w:rPr>
        <w:t>Cost</w:t>
      </w:r>
      <w:r w:rsidRPr="00F03050">
        <w:rPr>
          <w:sz w:val="28"/>
          <w:szCs w:val="28"/>
          <w:lang w:val="ru-RU"/>
        </w:rPr>
        <w:t xml:space="preserve"> </w:t>
      </w:r>
      <w:r w:rsidRPr="00F03050">
        <w:rPr>
          <w:sz w:val="28"/>
          <w:szCs w:val="28"/>
          <w:lang w:val="en-US"/>
        </w:rPr>
        <w:t>of</w:t>
      </w:r>
      <w:r w:rsidRPr="00F03050">
        <w:rPr>
          <w:sz w:val="28"/>
          <w:szCs w:val="28"/>
          <w:lang w:val="ru-RU"/>
        </w:rPr>
        <w:t xml:space="preserve"> </w:t>
      </w:r>
      <w:r w:rsidRPr="00F03050">
        <w:rPr>
          <w:sz w:val="28"/>
          <w:szCs w:val="28"/>
          <w:lang w:val="en-US"/>
        </w:rPr>
        <w:t>Capital</w:t>
      </w:r>
      <w:r w:rsidRPr="00F03050">
        <w:rPr>
          <w:sz w:val="28"/>
          <w:szCs w:val="28"/>
          <w:lang w:val="ru-RU"/>
        </w:rPr>
        <w:t xml:space="preserve"> </w:t>
      </w:r>
      <w:r w:rsidRPr="00F03050">
        <w:rPr>
          <w:sz w:val="28"/>
          <w:szCs w:val="28"/>
          <w:lang w:val="en-US"/>
        </w:rPr>
        <w:t>Navigator</w:t>
      </w:r>
      <w:r>
        <w:rPr>
          <w:rStyle w:val="a7"/>
          <w:sz w:val="28"/>
          <w:szCs w:val="28"/>
          <w:lang w:val="en-US"/>
        </w:rPr>
        <w:footnoteReference w:id="178"/>
      </w:r>
      <w:r w:rsidR="0038168F">
        <w:rPr>
          <w:sz w:val="28"/>
          <w:szCs w:val="28"/>
          <w:lang w:val="ru-RU"/>
        </w:rPr>
        <w:t>)</w:t>
      </w:r>
      <w:r w:rsidRPr="00F03050">
        <w:rPr>
          <w:sz w:val="28"/>
          <w:szCs w:val="28"/>
          <w:lang w:val="ru-RU"/>
        </w:rPr>
        <w:t>.</w:t>
      </w:r>
    </w:p>
    <w:p w14:paraId="3137D3DD" w14:textId="0C1D8D59"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t>Однако применительно к российской непубличной компании статистический характер этих величин оказывается условным</w:t>
      </w:r>
      <w:r>
        <w:rPr>
          <w:sz w:val="28"/>
          <w:szCs w:val="28"/>
          <w:lang w:val="ru-RU"/>
        </w:rPr>
        <w:t>.</w:t>
      </w:r>
      <w:r w:rsidRPr="00F03050">
        <w:rPr>
          <w:sz w:val="28"/>
          <w:szCs w:val="28"/>
          <w:lang w:val="ru-RU"/>
        </w:rPr>
        <w:t xml:space="preserve"> </w:t>
      </w:r>
      <w:r>
        <w:rPr>
          <w:sz w:val="28"/>
          <w:szCs w:val="28"/>
          <w:lang w:val="ru-RU"/>
        </w:rPr>
        <w:t>В</w:t>
      </w:r>
      <w:r w:rsidRPr="00F03050">
        <w:rPr>
          <w:sz w:val="28"/>
          <w:szCs w:val="28"/>
          <w:lang w:val="ru-RU"/>
        </w:rPr>
        <w:t xml:space="preserve">се они построены на данных американского фондового рынка и переносятся на российский объект оценки вместе с контекстом чужой рыночной среды. Решение о допустимости такого </w:t>
      </w:r>
      <w:r w:rsidRPr="00F03050">
        <w:rPr>
          <w:sz w:val="28"/>
          <w:szCs w:val="28"/>
          <w:lang w:val="ru-RU"/>
        </w:rPr>
        <w:lastRenderedPageBreak/>
        <w:t>переноса и о поправках к нему принимается оценщиком без формализованной процедуры</w:t>
      </w:r>
      <w:r>
        <w:rPr>
          <w:sz w:val="28"/>
          <w:szCs w:val="28"/>
          <w:lang w:val="ru-RU"/>
        </w:rPr>
        <w:t>,</w:t>
      </w:r>
      <w:r w:rsidRPr="00F03050">
        <w:rPr>
          <w:sz w:val="28"/>
          <w:szCs w:val="28"/>
          <w:lang w:val="ru-RU"/>
        </w:rPr>
        <w:t xml:space="preserve"> то есть экспертное усмотрение проникает и в те слагаемые, которые в оригинальной модели считаются расчётными.</w:t>
      </w:r>
    </w:p>
    <w:p w14:paraId="5448B00F" w14:textId="5A7E9742" w:rsidR="008E4760" w:rsidRPr="008E4760" w:rsidRDefault="008E4760" w:rsidP="008E4760">
      <w:pPr>
        <w:pBdr>
          <w:top w:val="nil"/>
          <w:left w:val="nil"/>
          <w:bottom w:val="nil"/>
          <w:right w:val="nil"/>
          <w:between w:val="nil"/>
        </w:pBdr>
        <w:spacing w:before="2" w:line="360" w:lineRule="auto"/>
        <w:ind w:left="140" w:right="145" w:firstLine="708"/>
        <w:jc w:val="both"/>
        <w:rPr>
          <w:color w:val="000000" w:themeColor="text1"/>
          <w:sz w:val="28"/>
          <w:szCs w:val="28"/>
          <w:lang w:val="ru-RU"/>
        </w:rPr>
      </w:pPr>
      <w:r w:rsidRPr="008E4760">
        <w:rPr>
          <w:color w:val="000000" w:themeColor="text1"/>
          <w:sz w:val="28"/>
          <w:szCs w:val="28"/>
          <w:lang w:val="ru-RU"/>
        </w:rPr>
        <w:t>Пятое слагаемое устроено иначе даже формально. Премия за специфический риск компании назначается оценщиком исходя из его суждения о размере и финансовой структуре бизнеса, диверсификации клиентуры и территорий, зависимости от ключевых фигур, стабильности рентабельности и прочих индивидуальных характеристиках</w:t>
      </w:r>
      <w:r>
        <w:rPr>
          <w:color w:val="000000" w:themeColor="text1"/>
          <w:sz w:val="28"/>
          <w:szCs w:val="28"/>
          <w:lang w:val="ru-RU"/>
        </w:rPr>
        <w:t>. К</w:t>
      </w:r>
      <w:r w:rsidRPr="008E4760">
        <w:rPr>
          <w:color w:val="000000" w:themeColor="text1"/>
          <w:sz w:val="28"/>
          <w:szCs w:val="28"/>
          <w:lang w:val="ru-RU"/>
        </w:rPr>
        <w:t>аждому фактору присваивается значение в пределах установленного диапазона на профессиональное усмотрение аналитика</w:t>
      </w:r>
      <w:r>
        <w:rPr>
          <w:rStyle w:val="a7"/>
          <w:color w:val="000000" w:themeColor="text1"/>
          <w:sz w:val="28"/>
          <w:szCs w:val="28"/>
          <w:lang w:val="ru-RU"/>
        </w:rPr>
        <w:footnoteReference w:id="179"/>
      </w:r>
      <w:r w:rsidRPr="008E4760">
        <w:rPr>
          <w:color w:val="000000" w:themeColor="text1"/>
          <w:sz w:val="28"/>
          <w:szCs w:val="28"/>
          <w:lang w:val="ru-RU"/>
        </w:rPr>
        <w:t>. Ни методики перевода этих характеристик в проценты, ни правил их взвешивания между собой модель не содержит, что признаётся и в самих методических источниках: недостатком метода называется субъективность оценки, повышающая требования к квалификации эксперта-аналитика</w:t>
      </w:r>
      <w:r>
        <w:rPr>
          <w:rStyle w:val="a7"/>
          <w:color w:val="000000" w:themeColor="text1"/>
          <w:sz w:val="28"/>
          <w:szCs w:val="28"/>
          <w:lang w:val="ru-RU"/>
        </w:rPr>
        <w:footnoteReference w:id="180"/>
      </w:r>
      <w:r w:rsidRPr="008E4760">
        <w:rPr>
          <w:color w:val="000000" w:themeColor="text1"/>
          <w:sz w:val="28"/>
          <w:szCs w:val="28"/>
          <w:lang w:val="ru-RU"/>
        </w:rPr>
        <w:t>.</w:t>
      </w:r>
    </w:p>
    <w:p w14:paraId="03972265" w14:textId="20CE4F67" w:rsidR="008E4760" w:rsidRPr="008E4760" w:rsidRDefault="008E4760" w:rsidP="008E4760">
      <w:pPr>
        <w:pBdr>
          <w:top w:val="nil"/>
          <w:left w:val="nil"/>
          <w:bottom w:val="nil"/>
          <w:right w:val="nil"/>
          <w:between w:val="nil"/>
        </w:pBdr>
        <w:spacing w:before="2" w:line="360" w:lineRule="auto"/>
        <w:ind w:left="140" w:right="145" w:firstLine="708"/>
        <w:jc w:val="both"/>
        <w:rPr>
          <w:color w:val="000000" w:themeColor="text1"/>
          <w:sz w:val="28"/>
          <w:szCs w:val="28"/>
          <w:lang w:val="ru-RU"/>
        </w:rPr>
      </w:pPr>
      <w:r w:rsidRPr="008E4760">
        <w:rPr>
          <w:color w:val="000000" w:themeColor="text1"/>
          <w:sz w:val="28"/>
          <w:szCs w:val="28"/>
          <w:lang w:val="ru-RU"/>
        </w:rPr>
        <w:t>Показательно и то, чего в этом перечне нет. Классические факторы специфического риска описывают операционную устойчивость бизнеса — его размер, диверсификацию, зависимость от отдельных лиц и контрагентов, стабильность финансовых результатов. Ни прозрачность структуры владения, ни характер операций со связанными сторонами, ни зрелость аудированной отчётности в них не входят. Иначе говоря, традиционная премия измеряет риски самого бизнеса, но не риски достоверности сведений о нём — то самое различие, которое было положено в основу пяти факторов в §1.3. Три из них — К1, К2 и К3 — относятся именно к достоверности информации и в классическом перечне отсутствуют.</w:t>
      </w:r>
      <w:r w:rsidR="004C0719">
        <w:rPr>
          <w:color w:val="000000" w:themeColor="text1"/>
          <w:sz w:val="28"/>
          <w:szCs w:val="28"/>
          <w:lang w:val="ru-RU"/>
        </w:rPr>
        <w:t xml:space="preserve"> </w:t>
      </w:r>
      <w:r w:rsidR="004C0719" w:rsidRPr="004C0719">
        <w:rPr>
          <w:color w:val="000000" w:themeColor="text1"/>
          <w:sz w:val="28"/>
          <w:szCs w:val="28"/>
        </w:rPr>
        <w:t xml:space="preserve">Впрочем, несовершенство премии за специфический риск осознаётся и внутри самой оценочной традиции, безотносительно задачи диагностики </w:t>
      </w:r>
      <w:r w:rsidR="004C0719" w:rsidRPr="004C0719">
        <w:rPr>
          <w:color w:val="000000" w:themeColor="text1"/>
          <w:sz w:val="28"/>
          <w:szCs w:val="28"/>
        </w:rPr>
        <w:lastRenderedPageBreak/>
        <w:t>готовности.</w:t>
      </w:r>
    </w:p>
    <w:p w14:paraId="1F7034CE" w14:textId="77777777"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b/>
          <w:bCs/>
          <w:sz w:val="28"/>
          <w:szCs w:val="28"/>
          <w:lang w:val="ru-RU"/>
        </w:rPr>
        <w:t>Критика экспертных премий внутри оценочной традиции</w:t>
      </w:r>
    </w:p>
    <w:p w14:paraId="2EA695A2" w14:textId="1DB1C990"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t xml:space="preserve">А. Дамодаран последовательно отказывается от экспертно присваиваемых надбавок, включая премию за размер, указывая на отсутствие устойчивого эмпирического обоснования такой практики (§1.1). Его собственный ответ на проблему </w:t>
      </w:r>
      <w:r w:rsidR="00EB4566">
        <w:rPr>
          <w:sz w:val="28"/>
          <w:szCs w:val="28"/>
          <w:lang w:val="ru-RU"/>
        </w:rPr>
        <w:t>заключается</w:t>
      </w:r>
      <w:r w:rsidRPr="00F03050">
        <w:rPr>
          <w:sz w:val="28"/>
          <w:szCs w:val="28"/>
          <w:lang w:val="ru-RU"/>
        </w:rPr>
        <w:t xml:space="preserve"> не</w:t>
      </w:r>
      <w:r w:rsidR="00EB4566">
        <w:rPr>
          <w:sz w:val="28"/>
          <w:szCs w:val="28"/>
          <w:lang w:val="ru-RU"/>
        </w:rPr>
        <w:t xml:space="preserve"> в том, чтобы</w:t>
      </w:r>
      <w:r w:rsidRPr="00F03050">
        <w:rPr>
          <w:sz w:val="28"/>
          <w:szCs w:val="28"/>
          <w:lang w:val="ru-RU"/>
        </w:rPr>
        <w:t xml:space="preserve"> улучшать процедуру присвоения премии, а вовсе исключить её, реконструируя весь риск через </w:t>
      </w:r>
      <w:r w:rsidRPr="00F03050">
        <w:rPr>
          <w:sz w:val="28"/>
          <w:szCs w:val="28"/>
          <w:lang w:val="en-US"/>
        </w:rPr>
        <w:t>bottom</w:t>
      </w:r>
      <w:r w:rsidRPr="00F03050">
        <w:rPr>
          <w:sz w:val="28"/>
          <w:szCs w:val="28"/>
          <w:lang w:val="ru-RU"/>
        </w:rPr>
        <w:t>-</w:t>
      </w:r>
      <w:r w:rsidRPr="00F03050">
        <w:rPr>
          <w:sz w:val="28"/>
          <w:szCs w:val="28"/>
          <w:lang w:val="en-US"/>
        </w:rPr>
        <w:t>up</w:t>
      </w:r>
      <w:r w:rsidRPr="00F03050">
        <w:rPr>
          <w:sz w:val="28"/>
          <w:szCs w:val="28"/>
          <w:lang w:val="ru-RU"/>
        </w:rPr>
        <w:t xml:space="preserve"> бету. </w:t>
      </w:r>
      <w:r w:rsidR="004D5B9B">
        <w:rPr>
          <w:sz w:val="28"/>
          <w:szCs w:val="28"/>
          <w:lang w:val="ru-RU"/>
        </w:rPr>
        <w:t>О</w:t>
      </w:r>
      <w:r w:rsidR="004D5B9B" w:rsidRPr="00F03050">
        <w:rPr>
          <w:sz w:val="28"/>
          <w:szCs w:val="28"/>
          <w:lang w:val="ru-RU"/>
        </w:rPr>
        <w:t xml:space="preserve">днако, </w:t>
      </w:r>
      <w:r w:rsidR="004D5B9B">
        <w:rPr>
          <w:sz w:val="28"/>
          <w:szCs w:val="28"/>
          <w:lang w:val="ru-RU"/>
        </w:rPr>
        <w:t>д</w:t>
      </w:r>
      <w:r w:rsidRPr="00F03050">
        <w:rPr>
          <w:sz w:val="28"/>
          <w:szCs w:val="28"/>
          <w:lang w:val="ru-RU"/>
        </w:rPr>
        <w:t>ля непубличной компании такое решение оставляет незакрытым именно то, что бета по построению не улавливает</w:t>
      </w:r>
      <w:r w:rsidR="004D5B9B">
        <w:rPr>
          <w:sz w:val="28"/>
          <w:szCs w:val="28"/>
          <w:lang w:val="ru-RU"/>
        </w:rPr>
        <w:t>, а именно</w:t>
      </w:r>
      <w:r w:rsidRPr="00F03050">
        <w:rPr>
          <w:sz w:val="28"/>
          <w:szCs w:val="28"/>
          <w:lang w:val="ru-RU"/>
        </w:rPr>
        <w:t xml:space="preserve"> индивидуальные характеристики бизнеса, не связанные с рынком.</w:t>
      </w:r>
    </w:p>
    <w:p w14:paraId="47C736AD" w14:textId="6479A788"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t>Отечественные исследования подошли к той же проблеме с другой стороны — через адаптацию метода оценки к типу компании. В.В. Дубровин, Я.В. Мочалина и Ю.А. Лукина предлагают модификации оценочного инструментария применительно к компаниям определённой стадии или отраслевого профиля. Общая черта этих работ в том, что меняется метод, подстраиваясь под тип компании, тогда как сама премия за индивидуальный риск остаётся предметом экспертного суждения. О.Д. Ксенофонтова эмпирически связывает качество корпоративного управления с премией к стоимости акций, то есть подтверждает саму зависимость, но на материале публичных компаний и без формализованной процедуры расчёта надбавки для непубличной. И.И. Гулевич предлагает авторскую шкалу риска в той же логике кумулятивного построения, применённую к иной природе риска</w:t>
      </w:r>
      <w:r w:rsidR="00C85EE0">
        <w:rPr>
          <w:sz w:val="28"/>
          <w:szCs w:val="28"/>
          <w:lang w:val="ru-RU"/>
        </w:rPr>
        <w:t xml:space="preserve"> </w:t>
      </w:r>
      <w:r w:rsidR="00C85EE0" w:rsidRPr="00C85EE0">
        <w:rPr>
          <w:sz w:val="28"/>
          <w:szCs w:val="28"/>
        </w:rPr>
        <w:t>— санкционному, то есть внешнему по отношению к компании и не поддающемуся устранению её собственными управленческими решениями. Веса в его шкале определяются экспертно, а сама она построена на материале публичных компаний.</w:t>
      </w:r>
    </w:p>
    <w:p w14:paraId="408967FC" w14:textId="77777777" w:rsidR="00F03050" w:rsidRP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t>Отдельного упоминания заслуживает работа С.В. Гвардина, предложившего ещё в 2008 году критерии оценки уровня готовности компании к размещению акций и ранжирование рисков подготовки по степени воздействия. Это наиболее ранняя попытка формализовать саму категорию готовности, однако и критерии, и ранжирование остаются экспертными: весов у факторов нет, воспроизводимой процедуры нет, результат не выражается в стоимости.</w:t>
      </w:r>
    </w:p>
    <w:p w14:paraId="7266FFEB" w14:textId="77777777" w:rsidR="00F03050" w:rsidRDefault="00F03050" w:rsidP="00F03050">
      <w:pPr>
        <w:pBdr>
          <w:top w:val="nil"/>
          <w:left w:val="nil"/>
          <w:bottom w:val="nil"/>
          <w:right w:val="nil"/>
          <w:between w:val="nil"/>
        </w:pBdr>
        <w:spacing w:before="2" w:line="360" w:lineRule="auto"/>
        <w:ind w:left="140" w:right="145" w:firstLine="708"/>
        <w:jc w:val="both"/>
        <w:rPr>
          <w:sz w:val="28"/>
          <w:szCs w:val="28"/>
          <w:lang w:val="ru-RU"/>
        </w:rPr>
      </w:pPr>
      <w:r w:rsidRPr="00F03050">
        <w:rPr>
          <w:sz w:val="28"/>
          <w:szCs w:val="28"/>
          <w:lang w:val="ru-RU"/>
        </w:rPr>
        <w:lastRenderedPageBreak/>
        <w:t>Таким образом, ни одно из направлений не закрывает проблему. Одни отказываются от премии за специфический риск, оставляя индивидуальные характеристики компании неучтёнными. Другие подтверждают их влияние на стоимость, но не дают процедуры расчёта. Третьи формализуют перечень факторов готовности, но не связывают его с оценкой. Премия за специфический риск компании по-прежнему определяется волевым решением.</w:t>
      </w:r>
    </w:p>
    <w:p w14:paraId="71062F8E" w14:textId="5EE4647A" w:rsidR="00061AEB" w:rsidRPr="00061AEB" w:rsidRDefault="00061AEB" w:rsidP="00F03050">
      <w:pPr>
        <w:pBdr>
          <w:top w:val="nil"/>
          <w:left w:val="nil"/>
          <w:bottom w:val="nil"/>
          <w:right w:val="nil"/>
          <w:between w:val="nil"/>
        </w:pBdr>
        <w:spacing w:before="2" w:line="360" w:lineRule="auto"/>
        <w:ind w:left="140" w:right="145" w:firstLine="708"/>
        <w:jc w:val="both"/>
        <w:rPr>
          <w:sz w:val="28"/>
          <w:szCs w:val="28"/>
          <w:lang w:val="ru-RU"/>
        </w:rPr>
      </w:pPr>
      <w:r w:rsidRPr="00061AEB">
        <w:rPr>
          <w:sz w:val="28"/>
          <w:szCs w:val="28"/>
        </w:rPr>
        <w:t>Из этой критики следует не выбор одной из существующих моделей, а иной методический шаг: сохранить в конструкции ставки те компоненты, которые уже обоснованы и не создают задвоения с CAPM, и заменить формализованной процедурой единственное слагаемое, остающееся источником неустранённого произвола.</w:t>
      </w:r>
      <w:r>
        <w:rPr>
          <w:sz w:val="28"/>
          <w:szCs w:val="28"/>
          <w:lang w:val="ru-RU"/>
        </w:rPr>
        <w:t xml:space="preserve"> </w:t>
      </w:r>
    </w:p>
    <w:p w14:paraId="689D3E76" w14:textId="4C25FE07" w:rsidR="00DC603F" w:rsidRPr="00FA29A8" w:rsidRDefault="00061AEB" w:rsidP="00F03050">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Рассмотрим более подробно</w:t>
      </w:r>
      <w:r w:rsidR="00DC603F" w:rsidRPr="00DC603F">
        <w:rPr>
          <w:sz w:val="28"/>
          <w:szCs w:val="28"/>
        </w:rPr>
        <w:t xml:space="preserve">, что именно из модели кумулятивного построения переносится в гибридную конструкцию ставки, обоснованную в §1.4, а что остаётся за её пределами. Премия за рыночный риск не переносится, поскольку уже присутствует в CAPM-части как выражение (rm − rf). Отраслевая премия не переносится по той же причине задвоения: в справочных источниках она рассчитывается методом полноинформационной беты и предназначена для замены бета-коэффициента там, где оценщик его не определяет, тогда как в предлагаемом подходе bottom-up бета строится по компаниям-аналогам соответствующей отрасли и отраслевой риск учитывает напрямую. Премия за размер исключается по иным основаниям: задвоения при её добавлении не возникало бы, поскольку она рассчитывается как разность между фактической доходностью и доходностью, предсказанной CAPM, — то есть представляет собой именно ту часть риска, которую бета не объясняет. Однако её эмпирическая устойчивость оспаривается внутри самой оценочной традиции (§1.1), а публикуемые значения выведены на данных американского рынка, и их перенос на российскую непубличную компанию потребовал бы отдельного обоснования, которого существующая практика не предлагает. Единственным компонентом, </w:t>
      </w:r>
      <w:r w:rsidR="00FA29A8">
        <w:rPr>
          <w:sz w:val="28"/>
          <w:szCs w:val="28"/>
          <w:lang w:val="ru-RU"/>
        </w:rPr>
        <w:t xml:space="preserve">который переносится в предлагемую формулу и </w:t>
      </w:r>
      <w:r w:rsidR="00DC603F" w:rsidRPr="00DC603F">
        <w:rPr>
          <w:sz w:val="28"/>
          <w:szCs w:val="28"/>
        </w:rPr>
        <w:t>для которого требуется собственная процедура расчёта, остаётся премия за специфический риск компании.</w:t>
      </w:r>
    </w:p>
    <w:p w14:paraId="462AD243" w14:textId="77777777" w:rsidR="00C85EE0" w:rsidRPr="00C85EE0" w:rsidRDefault="00C85EE0" w:rsidP="00C85EE0">
      <w:pPr>
        <w:pBdr>
          <w:top w:val="nil"/>
          <w:left w:val="nil"/>
          <w:bottom w:val="nil"/>
          <w:right w:val="nil"/>
          <w:between w:val="nil"/>
        </w:pBdr>
        <w:spacing w:before="2" w:line="360" w:lineRule="auto"/>
        <w:ind w:left="140" w:right="145" w:firstLine="708"/>
        <w:jc w:val="both"/>
        <w:rPr>
          <w:sz w:val="28"/>
          <w:szCs w:val="28"/>
          <w:lang w:val="ru-RU"/>
        </w:rPr>
      </w:pPr>
      <w:r w:rsidRPr="00C85EE0">
        <w:rPr>
          <w:b/>
          <w:bCs/>
          <w:sz w:val="28"/>
          <w:szCs w:val="28"/>
          <w:lang w:val="ru-RU"/>
        </w:rPr>
        <w:t>Метод анализа иерархий</w:t>
      </w:r>
    </w:p>
    <w:p w14:paraId="73D1226A" w14:textId="6970139C" w:rsidR="00C85EE0" w:rsidRPr="00E346C6" w:rsidRDefault="00FA29A8" w:rsidP="00C85EE0">
      <w:pPr>
        <w:pBdr>
          <w:top w:val="nil"/>
          <w:left w:val="nil"/>
          <w:bottom w:val="nil"/>
          <w:right w:val="nil"/>
          <w:between w:val="nil"/>
        </w:pBdr>
        <w:spacing w:before="2" w:line="360" w:lineRule="auto"/>
        <w:ind w:left="140" w:right="145" w:firstLine="708"/>
        <w:jc w:val="both"/>
        <w:rPr>
          <w:sz w:val="28"/>
          <w:szCs w:val="28"/>
          <w:lang w:val="ru-RU"/>
        </w:rPr>
      </w:pPr>
      <w:r w:rsidRPr="00FA29A8">
        <w:rPr>
          <w:sz w:val="28"/>
          <w:szCs w:val="28"/>
        </w:rPr>
        <w:lastRenderedPageBreak/>
        <w:t>Поскольку ни один из разобранных выше подходов внутри самой оценочной традиции не предложил процедуры для расчёта этой премии, а лишь констатировал проблему или подстраивал под неё метод оценки в целом, необходимый инструмент следует искать за пределами этой традиции</w:t>
      </w:r>
      <w:r>
        <w:rPr>
          <w:sz w:val="28"/>
          <w:szCs w:val="28"/>
          <w:lang w:val="ru-RU"/>
        </w:rPr>
        <w:t>, а именно</w:t>
      </w:r>
      <w:r w:rsidRPr="00FA29A8">
        <w:rPr>
          <w:sz w:val="28"/>
          <w:szCs w:val="28"/>
        </w:rPr>
        <w:t xml:space="preserve"> среди методов, изначально разработанных для формализации именно экспертного суждения, а не для отказа от него.</w:t>
      </w:r>
      <w:r>
        <w:rPr>
          <w:sz w:val="28"/>
          <w:szCs w:val="28"/>
          <w:lang w:val="ru-RU"/>
        </w:rPr>
        <w:t xml:space="preserve"> Таким методом является м</w:t>
      </w:r>
      <w:r w:rsidR="00C85EE0" w:rsidRPr="00C85EE0">
        <w:rPr>
          <w:sz w:val="28"/>
          <w:szCs w:val="28"/>
          <w:lang w:val="ru-RU"/>
        </w:rPr>
        <w:t>етод анализа иерархий, предложенный Т. Саати</w:t>
      </w:r>
      <w:r w:rsidR="00AF48E8">
        <w:rPr>
          <w:rStyle w:val="a7"/>
          <w:sz w:val="28"/>
          <w:szCs w:val="28"/>
          <w:lang w:val="ru-RU"/>
        </w:rPr>
        <w:footnoteReference w:id="181"/>
      </w:r>
      <w:r>
        <w:rPr>
          <w:sz w:val="28"/>
          <w:szCs w:val="28"/>
          <w:lang w:val="ru-RU"/>
        </w:rPr>
        <w:t>. Он</w:t>
      </w:r>
      <w:r w:rsidR="00C85EE0" w:rsidRPr="00C85EE0">
        <w:rPr>
          <w:sz w:val="28"/>
          <w:szCs w:val="28"/>
          <w:lang w:val="ru-RU"/>
        </w:rPr>
        <w:t xml:space="preserve"> разработан для задач, где решение зависит от нескольких разнородных критериев, не поддающихся прямому измерению в общих единицах. Вместо того чтобы требовать от эксперта сразу назвать вес каждого критерия, метод разбивает задачу на попарные сравнения: эксперт последовательно отвечает, какой из двух факторов важнее и во сколько раз, по шкале от единицы до девяти. Из матрицы таких сравнений веса вычисляются математически, как компоненты собственного вектора матрицы.</w:t>
      </w:r>
      <w:r w:rsidR="00E346C6">
        <w:rPr>
          <w:sz w:val="28"/>
          <w:szCs w:val="28"/>
          <w:lang w:val="ru-RU"/>
        </w:rPr>
        <w:t xml:space="preserve"> Ниже приведен пример использования данного метода с формулами.</w:t>
      </w:r>
      <w:r w:rsidR="00DD12CB">
        <w:rPr>
          <w:sz w:val="28"/>
          <w:szCs w:val="28"/>
          <w:lang w:val="ru-RU"/>
        </w:rPr>
        <w:t xml:space="preserve"> </w:t>
      </w:r>
    </w:p>
    <w:p w14:paraId="4AE9EE28" w14:textId="0032A0C4" w:rsidR="00E346C6" w:rsidRPr="00E346C6" w:rsidRDefault="00ED3E2D" w:rsidP="00E346C6">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Примем за правило, что з</w:t>
      </w:r>
      <w:r w:rsidRPr="00ED3E2D">
        <w:rPr>
          <w:sz w:val="28"/>
          <w:szCs w:val="28"/>
        </w:rPr>
        <w:t>начения элементов матрицы ограничены девятибалльной шкалой, где 1 означает равную важность сравниваемых факторов, 3 — умеренное превосходство одного над другим, 5 — существенное превосходство, 7 — значительное, 9 — абсолютно</w:t>
      </w:r>
      <w:r>
        <w:rPr>
          <w:sz w:val="28"/>
          <w:szCs w:val="28"/>
          <w:lang w:val="ru-RU"/>
        </w:rPr>
        <w:t>. Ч</w:t>
      </w:r>
      <w:r w:rsidRPr="00ED3E2D">
        <w:rPr>
          <w:sz w:val="28"/>
          <w:szCs w:val="28"/>
        </w:rPr>
        <w:t>ётные значения используются как промежуточные градации. Диагональ матрицы всегда равна единице, а элемент ниже диагонали восстанавливается по правилу обратности: если фактор i признан в k раз важнее фактора j, то фактор j составляет от фактора i ровно 1/k. Механику метода показывает простейший случай — сравнение двух факторов</w:t>
      </w:r>
      <w:r>
        <w:rPr>
          <w:sz w:val="28"/>
          <w:szCs w:val="28"/>
          <w:lang w:val="ru-RU"/>
        </w:rPr>
        <w:t xml:space="preserve"> </w:t>
      </w:r>
      <w:r w:rsidR="00E346C6" w:rsidRPr="00E346C6">
        <w:rPr>
          <w:sz w:val="28"/>
          <w:szCs w:val="28"/>
          <w:lang w:val="ru-RU"/>
        </w:rPr>
        <w:t xml:space="preserve">К1 и К2. Эксперт сравнивает их однократно: пусть К1 признан </w:t>
      </w:r>
      <w:r>
        <w:rPr>
          <w:sz w:val="28"/>
          <w:szCs w:val="28"/>
          <w:lang w:val="ru-RU"/>
        </w:rPr>
        <w:t>в 3 раза</w:t>
      </w:r>
      <w:r w:rsidR="00E346C6" w:rsidRPr="00E346C6">
        <w:rPr>
          <w:sz w:val="28"/>
          <w:szCs w:val="28"/>
          <w:lang w:val="ru-RU"/>
        </w:rPr>
        <w:t xml:space="preserve"> важнее К2.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411"/>
        <w:gridCol w:w="1412"/>
      </w:tblGrid>
      <w:tr w:rsidR="00E346C6" w:rsidRPr="00E346C6" w14:paraId="2AC1782D" w14:textId="77777777">
        <w:trPr>
          <w:tblHeader/>
          <w:tblCellSpacing w:w="15" w:type="dxa"/>
        </w:trPr>
        <w:tc>
          <w:tcPr>
            <w:tcW w:w="0" w:type="auto"/>
            <w:vAlign w:val="center"/>
            <w:hideMark/>
          </w:tcPr>
          <w:p w14:paraId="0B624156"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sz w:val="28"/>
                <w:szCs w:val="28"/>
                <w:lang w:val="ru-RU"/>
              </w:rPr>
            </w:pPr>
          </w:p>
        </w:tc>
        <w:tc>
          <w:tcPr>
            <w:tcW w:w="0" w:type="auto"/>
            <w:vAlign w:val="center"/>
            <w:hideMark/>
          </w:tcPr>
          <w:p w14:paraId="53713AAF"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b/>
                <w:bCs/>
                <w:sz w:val="28"/>
                <w:szCs w:val="28"/>
                <w:lang w:val="en-US"/>
              </w:rPr>
            </w:pPr>
            <w:r w:rsidRPr="00E346C6">
              <w:rPr>
                <w:b/>
                <w:bCs/>
                <w:sz w:val="28"/>
                <w:szCs w:val="28"/>
                <w:lang w:val="en-US"/>
              </w:rPr>
              <w:t>К1</w:t>
            </w:r>
          </w:p>
        </w:tc>
        <w:tc>
          <w:tcPr>
            <w:tcW w:w="0" w:type="auto"/>
            <w:vAlign w:val="center"/>
            <w:hideMark/>
          </w:tcPr>
          <w:p w14:paraId="39E53F7D"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b/>
                <w:bCs/>
                <w:sz w:val="28"/>
                <w:szCs w:val="28"/>
                <w:lang w:val="en-US"/>
              </w:rPr>
            </w:pPr>
            <w:r w:rsidRPr="00E346C6">
              <w:rPr>
                <w:b/>
                <w:bCs/>
                <w:sz w:val="28"/>
                <w:szCs w:val="28"/>
                <w:lang w:val="en-US"/>
              </w:rPr>
              <w:t>К2</w:t>
            </w:r>
          </w:p>
        </w:tc>
      </w:tr>
      <w:tr w:rsidR="00E346C6" w:rsidRPr="00E346C6" w14:paraId="01086395" w14:textId="77777777">
        <w:trPr>
          <w:tblCellSpacing w:w="15" w:type="dxa"/>
        </w:trPr>
        <w:tc>
          <w:tcPr>
            <w:tcW w:w="0" w:type="auto"/>
            <w:vAlign w:val="center"/>
            <w:hideMark/>
          </w:tcPr>
          <w:p w14:paraId="5B2C210D" w14:textId="77777777" w:rsidR="00E346C6" w:rsidRPr="00ED3E2D"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D3E2D">
              <w:rPr>
                <w:sz w:val="28"/>
                <w:szCs w:val="28"/>
                <w:lang w:val="en-US"/>
              </w:rPr>
              <w:t>К1</w:t>
            </w:r>
          </w:p>
        </w:tc>
        <w:tc>
          <w:tcPr>
            <w:tcW w:w="0" w:type="auto"/>
            <w:vAlign w:val="center"/>
            <w:hideMark/>
          </w:tcPr>
          <w:p w14:paraId="46FCCD3C"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346C6">
              <w:rPr>
                <w:sz w:val="28"/>
                <w:szCs w:val="28"/>
                <w:lang w:val="en-US"/>
              </w:rPr>
              <w:t>1</w:t>
            </w:r>
          </w:p>
        </w:tc>
        <w:tc>
          <w:tcPr>
            <w:tcW w:w="0" w:type="auto"/>
            <w:vAlign w:val="center"/>
            <w:hideMark/>
          </w:tcPr>
          <w:p w14:paraId="6B5A44A5"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346C6">
              <w:rPr>
                <w:sz w:val="28"/>
                <w:szCs w:val="28"/>
                <w:lang w:val="en-US"/>
              </w:rPr>
              <w:t>3</w:t>
            </w:r>
          </w:p>
        </w:tc>
      </w:tr>
      <w:tr w:rsidR="00E346C6" w:rsidRPr="00E346C6" w14:paraId="0D60EB80" w14:textId="77777777">
        <w:trPr>
          <w:tblCellSpacing w:w="15" w:type="dxa"/>
        </w:trPr>
        <w:tc>
          <w:tcPr>
            <w:tcW w:w="0" w:type="auto"/>
            <w:vAlign w:val="center"/>
            <w:hideMark/>
          </w:tcPr>
          <w:p w14:paraId="39E10580" w14:textId="77777777" w:rsidR="00E346C6" w:rsidRPr="00ED3E2D"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D3E2D">
              <w:rPr>
                <w:sz w:val="28"/>
                <w:szCs w:val="28"/>
                <w:lang w:val="en-US"/>
              </w:rPr>
              <w:t>К2</w:t>
            </w:r>
          </w:p>
        </w:tc>
        <w:tc>
          <w:tcPr>
            <w:tcW w:w="0" w:type="auto"/>
            <w:vAlign w:val="center"/>
            <w:hideMark/>
          </w:tcPr>
          <w:p w14:paraId="089CC616"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346C6">
              <w:rPr>
                <w:sz w:val="28"/>
                <w:szCs w:val="28"/>
                <w:lang w:val="en-US"/>
              </w:rPr>
              <w:t>1/3</w:t>
            </w:r>
          </w:p>
        </w:tc>
        <w:tc>
          <w:tcPr>
            <w:tcW w:w="0" w:type="auto"/>
            <w:vAlign w:val="center"/>
            <w:hideMark/>
          </w:tcPr>
          <w:p w14:paraId="0167FCFB" w14:textId="77777777" w:rsidR="00E346C6" w:rsidRPr="00E346C6" w:rsidRDefault="00E346C6" w:rsidP="00ED3E2D">
            <w:pPr>
              <w:pBdr>
                <w:top w:val="nil"/>
                <w:left w:val="nil"/>
                <w:bottom w:val="nil"/>
                <w:right w:val="nil"/>
                <w:between w:val="nil"/>
              </w:pBdr>
              <w:spacing w:before="2" w:line="360" w:lineRule="auto"/>
              <w:ind w:left="140" w:right="145" w:firstLine="708"/>
              <w:jc w:val="center"/>
              <w:rPr>
                <w:sz w:val="28"/>
                <w:szCs w:val="28"/>
                <w:lang w:val="en-US"/>
              </w:rPr>
            </w:pPr>
            <w:r w:rsidRPr="00E346C6">
              <w:rPr>
                <w:sz w:val="28"/>
                <w:szCs w:val="28"/>
                <w:lang w:val="en-US"/>
              </w:rPr>
              <w:t>1</w:t>
            </w:r>
          </w:p>
        </w:tc>
      </w:tr>
    </w:tbl>
    <w:p w14:paraId="5A373776"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ru-RU"/>
        </w:rPr>
      </w:pPr>
      <w:r w:rsidRPr="00E346C6">
        <w:rPr>
          <w:sz w:val="28"/>
          <w:szCs w:val="28"/>
          <w:lang w:val="ru-RU"/>
        </w:rPr>
        <w:t>Нижний левый элемент восстановлен по правилу обратности — раз К1 в три раза важнее К2, то К2 составляет от К1 ровно 1/3.</w:t>
      </w:r>
    </w:p>
    <w:p w14:paraId="0670F4E3" w14:textId="3B6DCB7C" w:rsidR="00E346C6" w:rsidRPr="00ED3E2D" w:rsidRDefault="00ED3E2D" w:rsidP="00E346C6">
      <w:pPr>
        <w:pBdr>
          <w:top w:val="nil"/>
          <w:left w:val="nil"/>
          <w:bottom w:val="nil"/>
          <w:right w:val="nil"/>
          <w:between w:val="nil"/>
        </w:pBdr>
        <w:spacing w:before="2" w:line="360" w:lineRule="auto"/>
        <w:ind w:left="140" w:right="145" w:firstLine="708"/>
        <w:jc w:val="both"/>
        <w:rPr>
          <w:sz w:val="28"/>
          <w:szCs w:val="28"/>
          <w:lang w:val="ru-RU"/>
        </w:rPr>
      </w:pPr>
      <w:r w:rsidRPr="00ED3E2D">
        <w:rPr>
          <w:sz w:val="28"/>
          <w:szCs w:val="28"/>
        </w:rPr>
        <w:lastRenderedPageBreak/>
        <w:t>Из матрицы попарных сравнений веса вычисляются в два действия: сначала каждый столбец нормируется</w:t>
      </w:r>
      <w:r>
        <w:rPr>
          <w:sz w:val="28"/>
          <w:szCs w:val="28"/>
          <w:lang w:val="ru-RU"/>
        </w:rPr>
        <w:t>, т.е.</w:t>
      </w:r>
      <w:r w:rsidRPr="00ED3E2D">
        <w:rPr>
          <w:sz w:val="28"/>
          <w:szCs w:val="28"/>
        </w:rPr>
        <w:t xml:space="preserve"> все его элементы делятся на сумму столбца, затем для каждого фактора берётся среднее по строке уже нормированной матрицы. Сумма столбца К1: 1 + 1/3 = 1,333. Сумма столбца К2: 3 + 1 = 4. После деления каждого элемента на сумму своего столбца получается: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543"/>
        <w:gridCol w:w="1558"/>
      </w:tblGrid>
      <w:tr w:rsidR="00E346C6" w:rsidRPr="00E346C6" w14:paraId="08E337D8" w14:textId="77777777">
        <w:trPr>
          <w:tblHeader/>
          <w:tblCellSpacing w:w="15" w:type="dxa"/>
        </w:trPr>
        <w:tc>
          <w:tcPr>
            <w:tcW w:w="0" w:type="auto"/>
            <w:vAlign w:val="center"/>
            <w:hideMark/>
          </w:tcPr>
          <w:p w14:paraId="366F6502" w14:textId="77777777" w:rsidR="00E346C6" w:rsidRPr="00ED3E2D" w:rsidRDefault="00E346C6" w:rsidP="00E346C6">
            <w:pPr>
              <w:pBdr>
                <w:top w:val="nil"/>
                <w:left w:val="nil"/>
                <w:bottom w:val="nil"/>
                <w:right w:val="nil"/>
                <w:between w:val="nil"/>
              </w:pBdr>
              <w:spacing w:before="2" w:line="360" w:lineRule="auto"/>
              <w:ind w:left="140" w:right="145" w:firstLine="708"/>
              <w:jc w:val="both"/>
              <w:rPr>
                <w:sz w:val="28"/>
                <w:szCs w:val="28"/>
                <w:lang w:val="ru-RU"/>
              </w:rPr>
            </w:pPr>
          </w:p>
        </w:tc>
        <w:tc>
          <w:tcPr>
            <w:tcW w:w="0" w:type="auto"/>
            <w:vAlign w:val="center"/>
            <w:hideMark/>
          </w:tcPr>
          <w:p w14:paraId="6A82CE92" w14:textId="77777777" w:rsidR="00E346C6" w:rsidRPr="00E346C6" w:rsidRDefault="00E346C6" w:rsidP="00E346C6">
            <w:pPr>
              <w:pBdr>
                <w:top w:val="nil"/>
                <w:left w:val="nil"/>
                <w:bottom w:val="nil"/>
                <w:right w:val="nil"/>
                <w:between w:val="nil"/>
              </w:pBdr>
              <w:spacing w:before="2" w:line="360" w:lineRule="auto"/>
              <w:ind w:left="140" w:right="145" w:firstLine="708"/>
              <w:jc w:val="both"/>
              <w:rPr>
                <w:b/>
                <w:bCs/>
                <w:sz w:val="28"/>
                <w:szCs w:val="28"/>
                <w:lang w:val="en-US"/>
              </w:rPr>
            </w:pPr>
            <w:r w:rsidRPr="00E346C6">
              <w:rPr>
                <w:b/>
                <w:bCs/>
                <w:sz w:val="28"/>
                <w:szCs w:val="28"/>
                <w:lang w:val="en-US"/>
              </w:rPr>
              <w:t>К1</w:t>
            </w:r>
          </w:p>
        </w:tc>
        <w:tc>
          <w:tcPr>
            <w:tcW w:w="0" w:type="auto"/>
            <w:vAlign w:val="center"/>
            <w:hideMark/>
          </w:tcPr>
          <w:p w14:paraId="373BB6DE" w14:textId="77777777" w:rsidR="00E346C6" w:rsidRPr="00E346C6" w:rsidRDefault="00E346C6" w:rsidP="00E346C6">
            <w:pPr>
              <w:pBdr>
                <w:top w:val="nil"/>
                <w:left w:val="nil"/>
                <w:bottom w:val="nil"/>
                <w:right w:val="nil"/>
                <w:between w:val="nil"/>
              </w:pBdr>
              <w:spacing w:before="2" w:line="360" w:lineRule="auto"/>
              <w:ind w:left="140" w:right="145" w:firstLine="708"/>
              <w:jc w:val="both"/>
              <w:rPr>
                <w:b/>
                <w:bCs/>
                <w:sz w:val="28"/>
                <w:szCs w:val="28"/>
                <w:lang w:val="en-US"/>
              </w:rPr>
            </w:pPr>
            <w:r w:rsidRPr="00E346C6">
              <w:rPr>
                <w:b/>
                <w:bCs/>
                <w:sz w:val="28"/>
                <w:szCs w:val="28"/>
                <w:lang w:val="en-US"/>
              </w:rPr>
              <w:t>К2</w:t>
            </w:r>
          </w:p>
        </w:tc>
      </w:tr>
      <w:tr w:rsidR="00E346C6" w:rsidRPr="00E346C6" w14:paraId="3A5AD305" w14:textId="77777777">
        <w:trPr>
          <w:tblCellSpacing w:w="15" w:type="dxa"/>
        </w:trPr>
        <w:tc>
          <w:tcPr>
            <w:tcW w:w="0" w:type="auto"/>
            <w:vAlign w:val="center"/>
            <w:hideMark/>
          </w:tcPr>
          <w:p w14:paraId="0FE2211A"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К1</w:t>
            </w:r>
          </w:p>
        </w:tc>
        <w:tc>
          <w:tcPr>
            <w:tcW w:w="0" w:type="auto"/>
            <w:vAlign w:val="center"/>
            <w:hideMark/>
          </w:tcPr>
          <w:p w14:paraId="711CAECB"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0,75</w:t>
            </w:r>
          </w:p>
        </w:tc>
        <w:tc>
          <w:tcPr>
            <w:tcW w:w="0" w:type="auto"/>
            <w:vAlign w:val="center"/>
            <w:hideMark/>
          </w:tcPr>
          <w:p w14:paraId="746AA578"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0,75</w:t>
            </w:r>
          </w:p>
        </w:tc>
      </w:tr>
      <w:tr w:rsidR="00E346C6" w:rsidRPr="00E346C6" w14:paraId="14809E84" w14:textId="77777777">
        <w:trPr>
          <w:tblCellSpacing w:w="15" w:type="dxa"/>
        </w:trPr>
        <w:tc>
          <w:tcPr>
            <w:tcW w:w="0" w:type="auto"/>
            <w:vAlign w:val="center"/>
            <w:hideMark/>
          </w:tcPr>
          <w:p w14:paraId="495E4C58"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К2</w:t>
            </w:r>
          </w:p>
        </w:tc>
        <w:tc>
          <w:tcPr>
            <w:tcW w:w="0" w:type="auto"/>
            <w:vAlign w:val="center"/>
            <w:hideMark/>
          </w:tcPr>
          <w:p w14:paraId="41A3AA87"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0,25</w:t>
            </w:r>
          </w:p>
        </w:tc>
        <w:tc>
          <w:tcPr>
            <w:tcW w:w="0" w:type="auto"/>
            <w:vAlign w:val="center"/>
            <w:hideMark/>
          </w:tcPr>
          <w:p w14:paraId="3ED1DFB9" w14:textId="77777777" w:rsidR="00E346C6" w:rsidRPr="00E346C6" w:rsidRDefault="00E346C6" w:rsidP="00E346C6">
            <w:pPr>
              <w:pBdr>
                <w:top w:val="nil"/>
                <w:left w:val="nil"/>
                <w:bottom w:val="nil"/>
                <w:right w:val="nil"/>
                <w:between w:val="nil"/>
              </w:pBdr>
              <w:spacing w:before="2" w:line="360" w:lineRule="auto"/>
              <w:ind w:left="140" w:right="145" w:firstLine="708"/>
              <w:jc w:val="both"/>
              <w:rPr>
                <w:sz w:val="28"/>
                <w:szCs w:val="28"/>
                <w:lang w:val="en-US"/>
              </w:rPr>
            </w:pPr>
            <w:r w:rsidRPr="00E346C6">
              <w:rPr>
                <w:sz w:val="28"/>
                <w:szCs w:val="28"/>
                <w:lang w:val="en-US"/>
              </w:rPr>
              <w:t>0,25</w:t>
            </w:r>
          </w:p>
        </w:tc>
      </w:tr>
    </w:tbl>
    <w:p w14:paraId="3999F5F1" w14:textId="7176570B" w:rsidR="00E346C6" w:rsidRPr="00ED3E2D" w:rsidRDefault="00E346C6" w:rsidP="00ED3E2D">
      <w:pPr>
        <w:pBdr>
          <w:top w:val="nil"/>
          <w:left w:val="nil"/>
          <w:bottom w:val="nil"/>
          <w:right w:val="nil"/>
          <w:between w:val="nil"/>
        </w:pBdr>
        <w:spacing w:before="2" w:line="360" w:lineRule="auto"/>
        <w:ind w:left="140" w:right="145" w:firstLine="708"/>
        <w:jc w:val="both"/>
        <w:rPr>
          <w:sz w:val="28"/>
          <w:szCs w:val="28"/>
          <w:lang w:val="ru-RU"/>
        </w:rPr>
      </w:pPr>
      <w:r w:rsidRPr="00E346C6">
        <w:rPr>
          <w:sz w:val="28"/>
          <w:szCs w:val="28"/>
          <w:lang w:val="ru-RU"/>
        </w:rPr>
        <w:t>Вес каждого фактора — среднее по строке, и поскольку строки уже одинаковы, среднее совпадает с самим значением:</w:t>
      </w:r>
      <w:r w:rsidR="00ED3E2D">
        <w:rPr>
          <w:sz w:val="28"/>
          <w:szCs w:val="28"/>
          <w:lang w:val="ru-RU"/>
        </w:rPr>
        <w:t xml:space="preserve"> </w:t>
      </w:r>
      <w:r w:rsidRPr="00E346C6">
        <w:rPr>
          <w:sz w:val="28"/>
          <w:szCs w:val="28"/>
          <w:lang w:val="en-US"/>
        </w:rPr>
        <w:t>w</w:t>
      </w:r>
      <w:r w:rsidRPr="00ED3E2D">
        <w:rPr>
          <w:sz w:val="28"/>
          <w:szCs w:val="28"/>
          <w:lang w:val="ru-RU"/>
        </w:rPr>
        <w:t xml:space="preserve">(К1) = 0,75, </w:t>
      </w:r>
      <w:r w:rsidRPr="00E346C6">
        <w:rPr>
          <w:sz w:val="28"/>
          <w:szCs w:val="28"/>
          <w:lang w:val="en-US"/>
        </w:rPr>
        <w:t>w</w:t>
      </w:r>
      <w:r w:rsidRPr="00ED3E2D">
        <w:rPr>
          <w:sz w:val="28"/>
          <w:szCs w:val="28"/>
          <w:lang w:val="ru-RU"/>
        </w:rPr>
        <w:t>(К2) = 0,25</w:t>
      </w:r>
      <w:r w:rsidR="00ED3E2D">
        <w:rPr>
          <w:sz w:val="28"/>
          <w:szCs w:val="28"/>
          <w:lang w:val="ru-RU"/>
        </w:rPr>
        <w:t>.</w:t>
      </w:r>
    </w:p>
    <w:p w14:paraId="0D0DC800" w14:textId="5CFE35D7" w:rsidR="00ED3E2D" w:rsidRPr="00ED3E2D" w:rsidRDefault="00ED3E2D" w:rsidP="00ED3E2D">
      <w:pPr>
        <w:pBdr>
          <w:top w:val="nil"/>
          <w:left w:val="nil"/>
          <w:bottom w:val="nil"/>
          <w:right w:val="nil"/>
          <w:between w:val="nil"/>
        </w:pBdr>
        <w:spacing w:before="2" w:line="360" w:lineRule="auto"/>
        <w:ind w:left="140" w:right="145" w:firstLine="708"/>
        <w:jc w:val="both"/>
        <w:rPr>
          <w:sz w:val="28"/>
          <w:szCs w:val="28"/>
          <w:lang w:val="ru-RU"/>
        </w:rPr>
      </w:pPr>
      <w:r w:rsidRPr="00ED3E2D">
        <w:rPr>
          <w:sz w:val="28"/>
          <w:szCs w:val="28"/>
          <w:lang w:val="ru-RU"/>
        </w:rPr>
        <w:t xml:space="preserve">Полученные веса проверяются на логическую совместимость с исходными суждениями эксперта: для этого матрицу </w:t>
      </w:r>
      <w:r w:rsidRPr="00ED3E2D">
        <w:rPr>
          <w:sz w:val="28"/>
          <w:szCs w:val="28"/>
          <w:lang w:val="en-US"/>
        </w:rPr>
        <w:t>A</w:t>
      </w:r>
      <w:r w:rsidRPr="00ED3E2D">
        <w:rPr>
          <w:sz w:val="28"/>
          <w:szCs w:val="28"/>
          <w:lang w:val="ru-RU"/>
        </w:rPr>
        <w:t xml:space="preserve"> умножают на вектор весов </w:t>
      </w:r>
      <w:r w:rsidRPr="00ED3E2D">
        <w:rPr>
          <w:sz w:val="28"/>
          <w:szCs w:val="28"/>
          <w:lang w:val="en-US"/>
        </w:rPr>
        <w:t>w</w:t>
      </w:r>
      <w:r w:rsidRPr="00ED3E2D">
        <w:rPr>
          <w:sz w:val="28"/>
          <w:szCs w:val="28"/>
          <w:lang w:val="ru-RU"/>
        </w:rPr>
        <w:t xml:space="preserve"> и сравнивают результат с самими весами</w:t>
      </w:r>
      <w:r w:rsidR="006612A1" w:rsidRPr="006612A1">
        <w:rPr>
          <w:sz w:val="28"/>
          <w:szCs w:val="28"/>
          <w:lang w:val="ru-RU"/>
        </w:rPr>
        <w:t>.</w:t>
      </w:r>
      <w:r w:rsidR="006612A1">
        <w:rPr>
          <w:sz w:val="28"/>
          <w:szCs w:val="28"/>
          <w:lang w:val="ru-RU"/>
        </w:rPr>
        <w:t xml:space="preserve"> П</w:t>
      </w:r>
      <w:r w:rsidRPr="00ED3E2D">
        <w:rPr>
          <w:sz w:val="28"/>
          <w:szCs w:val="28"/>
          <w:lang w:val="ru-RU"/>
        </w:rPr>
        <w:t xml:space="preserve">ри полностью согласованных суждениях они должны совпасть с точностью до одного и того же множителя. Строка К1: 1×0,75 + 3×0,25 = 1,5. Строка К2: 0,333×0,75 + 1×0,25 = 0,5. Каждый результат делится на соответствующий вес: 1,5 / 0,75 = 2; 0,5 / 0,25 = 2. Оба значения совпали и равны 2 — это и есть </w:t>
      </w:r>
      <w:r w:rsidRPr="00ED3E2D">
        <w:rPr>
          <w:sz w:val="28"/>
          <w:szCs w:val="28"/>
          <w:lang w:val="en-US"/>
        </w:rPr>
        <w:t>λmax</w:t>
      </w:r>
      <w:r w:rsidRPr="00ED3E2D">
        <w:rPr>
          <w:sz w:val="28"/>
          <w:szCs w:val="28"/>
          <w:lang w:val="ru-RU"/>
        </w:rPr>
        <w:t>, наибольшее собственное значение матрицы.</w:t>
      </w:r>
    </w:p>
    <w:p w14:paraId="64BE6178" w14:textId="5D14E272" w:rsidR="00ED3E2D" w:rsidRPr="00ED3E2D" w:rsidRDefault="00ED3E2D" w:rsidP="00ED3E2D">
      <w:pPr>
        <w:pBdr>
          <w:top w:val="nil"/>
          <w:left w:val="nil"/>
          <w:bottom w:val="nil"/>
          <w:right w:val="nil"/>
          <w:between w:val="nil"/>
        </w:pBdr>
        <w:spacing w:before="2" w:line="360" w:lineRule="auto"/>
        <w:ind w:left="140" w:right="145" w:firstLine="708"/>
        <w:jc w:val="both"/>
        <w:rPr>
          <w:sz w:val="28"/>
          <w:szCs w:val="28"/>
          <w:lang w:val="ru-RU"/>
        </w:rPr>
      </w:pPr>
      <w:r w:rsidRPr="00ED3E2D">
        <w:rPr>
          <w:sz w:val="28"/>
          <w:szCs w:val="28"/>
          <w:lang w:val="ru-RU"/>
        </w:rPr>
        <w:t xml:space="preserve">Отклонение </w:t>
      </w:r>
      <w:r w:rsidRPr="00ED3E2D">
        <w:rPr>
          <w:sz w:val="28"/>
          <w:szCs w:val="28"/>
          <w:lang w:val="en-US"/>
        </w:rPr>
        <w:t>λmax</w:t>
      </w:r>
      <w:r w:rsidRPr="00ED3E2D">
        <w:rPr>
          <w:sz w:val="28"/>
          <w:szCs w:val="28"/>
          <w:lang w:val="ru-RU"/>
        </w:rPr>
        <w:t xml:space="preserve"> от размера матрицы </w:t>
      </w:r>
      <w:r w:rsidRPr="00ED3E2D">
        <w:rPr>
          <w:sz w:val="28"/>
          <w:szCs w:val="28"/>
          <w:lang w:val="en-US"/>
        </w:rPr>
        <w:t>n</w:t>
      </w:r>
      <w:r w:rsidRPr="00ED3E2D">
        <w:rPr>
          <w:sz w:val="28"/>
          <w:szCs w:val="28"/>
          <w:lang w:val="ru-RU"/>
        </w:rPr>
        <w:t xml:space="preserve"> показывает степень несогласованности суждений и выражается индексом согласованности: </w:t>
      </w:r>
      <w:r w:rsidRPr="00ED3E2D">
        <w:rPr>
          <w:sz w:val="28"/>
          <w:szCs w:val="28"/>
          <w:lang w:val="en-US"/>
        </w:rPr>
        <w:t>CI</w:t>
      </w:r>
      <w:r w:rsidR="006612A1">
        <w:rPr>
          <w:sz w:val="28"/>
          <w:szCs w:val="28"/>
          <w:lang w:val="ru-RU"/>
        </w:rPr>
        <w:t xml:space="preserve"> (</w:t>
      </w:r>
      <w:r w:rsidR="006612A1" w:rsidRPr="006612A1">
        <w:rPr>
          <w:sz w:val="28"/>
          <w:szCs w:val="28"/>
        </w:rPr>
        <w:t>consistency index</w:t>
      </w:r>
      <w:r w:rsidR="006612A1">
        <w:rPr>
          <w:sz w:val="28"/>
          <w:szCs w:val="28"/>
          <w:lang w:val="ru-RU"/>
        </w:rPr>
        <w:t>)</w:t>
      </w:r>
      <w:r w:rsidRPr="00ED3E2D">
        <w:rPr>
          <w:sz w:val="28"/>
          <w:szCs w:val="28"/>
          <w:lang w:val="ru-RU"/>
        </w:rPr>
        <w:t xml:space="preserve"> = (</w:t>
      </w:r>
      <w:r w:rsidRPr="00ED3E2D">
        <w:rPr>
          <w:sz w:val="28"/>
          <w:szCs w:val="28"/>
          <w:lang w:val="en-US"/>
        </w:rPr>
        <w:t>λmax</w:t>
      </w:r>
      <w:r w:rsidRPr="00ED3E2D">
        <w:rPr>
          <w:sz w:val="28"/>
          <w:szCs w:val="28"/>
          <w:lang w:val="ru-RU"/>
        </w:rPr>
        <w:t xml:space="preserve"> − </w:t>
      </w:r>
      <w:r w:rsidRPr="00ED3E2D">
        <w:rPr>
          <w:sz w:val="28"/>
          <w:szCs w:val="28"/>
          <w:lang w:val="en-US"/>
        </w:rPr>
        <w:t>n</w:t>
      </w:r>
      <w:r w:rsidRPr="00ED3E2D">
        <w:rPr>
          <w:sz w:val="28"/>
          <w:szCs w:val="28"/>
          <w:lang w:val="ru-RU"/>
        </w:rPr>
        <w:t>) / (</w:t>
      </w:r>
      <w:r w:rsidRPr="00ED3E2D">
        <w:rPr>
          <w:sz w:val="28"/>
          <w:szCs w:val="28"/>
          <w:lang w:val="en-US"/>
        </w:rPr>
        <w:t>n</w:t>
      </w:r>
      <w:r w:rsidRPr="00ED3E2D">
        <w:rPr>
          <w:sz w:val="28"/>
          <w:szCs w:val="28"/>
          <w:lang w:val="ru-RU"/>
        </w:rPr>
        <w:t xml:space="preserve"> − 1) = (2 − 2) / (2 − 1) = 0. Для матрицы размера 2×2 случайный индекс по определению равен нулю, поэтому итоговое отношение </w:t>
      </w:r>
      <w:r w:rsidRPr="00ED3E2D">
        <w:rPr>
          <w:sz w:val="28"/>
          <w:szCs w:val="28"/>
          <w:lang w:val="en-US"/>
        </w:rPr>
        <w:t>CR</w:t>
      </w:r>
      <w:r w:rsidR="006612A1">
        <w:rPr>
          <w:sz w:val="28"/>
          <w:szCs w:val="28"/>
          <w:lang w:val="ru-RU"/>
        </w:rPr>
        <w:t xml:space="preserve"> (</w:t>
      </w:r>
      <w:r w:rsidR="006612A1" w:rsidRPr="006612A1">
        <w:rPr>
          <w:sz w:val="28"/>
          <w:szCs w:val="28"/>
        </w:rPr>
        <w:t>consistency ratio</w:t>
      </w:r>
      <w:r w:rsidR="006612A1">
        <w:rPr>
          <w:sz w:val="28"/>
          <w:szCs w:val="28"/>
          <w:lang w:val="ru-RU"/>
        </w:rPr>
        <w:t>)</w:t>
      </w:r>
      <w:r w:rsidRPr="00ED3E2D">
        <w:rPr>
          <w:sz w:val="28"/>
          <w:szCs w:val="28"/>
          <w:lang w:val="ru-RU"/>
        </w:rPr>
        <w:t xml:space="preserve"> не рассчитывается вовсе: при двух факторах суждение не может противоречить самому себе, несогласованность становится математически возможной лишь начиная с трёх факторов, когда попарные суждения способны образовать логический цикл.</w:t>
      </w:r>
    </w:p>
    <w:p w14:paraId="76AE1EA5" w14:textId="36851132" w:rsidR="00ED3E2D" w:rsidRPr="00ED3E2D" w:rsidRDefault="00ED3E2D" w:rsidP="00ED3E2D">
      <w:pPr>
        <w:pBdr>
          <w:top w:val="nil"/>
          <w:left w:val="nil"/>
          <w:bottom w:val="nil"/>
          <w:right w:val="nil"/>
          <w:between w:val="nil"/>
        </w:pBdr>
        <w:spacing w:before="2" w:line="360" w:lineRule="auto"/>
        <w:ind w:left="140" w:right="145" w:firstLine="708"/>
        <w:jc w:val="both"/>
        <w:rPr>
          <w:sz w:val="28"/>
          <w:szCs w:val="28"/>
          <w:lang w:val="ru-RU"/>
        </w:rPr>
      </w:pPr>
      <w:r w:rsidRPr="00ED3E2D">
        <w:rPr>
          <w:sz w:val="28"/>
          <w:szCs w:val="28"/>
          <w:lang w:val="ru-RU"/>
        </w:rPr>
        <w:t>Применительно к пяти факторам готовности, обоснованным в §1.3, процедура сохраняется без изменений</w:t>
      </w:r>
      <w:r w:rsidR="006612A1">
        <w:rPr>
          <w:sz w:val="28"/>
          <w:szCs w:val="28"/>
          <w:lang w:val="ru-RU"/>
        </w:rPr>
        <w:t>.</w:t>
      </w:r>
      <w:r w:rsidRPr="00ED3E2D">
        <w:rPr>
          <w:sz w:val="28"/>
          <w:szCs w:val="28"/>
          <w:lang w:val="ru-RU"/>
        </w:rPr>
        <w:t xml:space="preserve"> </w:t>
      </w:r>
      <w:r w:rsidR="006612A1">
        <w:rPr>
          <w:sz w:val="28"/>
          <w:szCs w:val="28"/>
          <w:lang w:val="ru-RU"/>
        </w:rPr>
        <w:t>М</w:t>
      </w:r>
      <w:r w:rsidRPr="00ED3E2D">
        <w:rPr>
          <w:sz w:val="28"/>
          <w:szCs w:val="28"/>
          <w:lang w:val="ru-RU"/>
        </w:rPr>
        <w:t>еняется только размер матрицы, до 5×5, и именно на этом уровне проверка согласованности приобретает практическое значение</w:t>
      </w:r>
      <w:r w:rsidR="00DD12CB" w:rsidRPr="00DD12CB">
        <w:rPr>
          <w:sz w:val="28"/>
          <w:szCs w:val="28"/>
          <w:lang w:val="ru-RU"/>
        </w:rPr>
        <w:t xml:space="preserve"> (</w:t>
      </w:r>
      <w:r w:rsidR="00DD12CB">
        <w:rPr>
          <w:sz w:val="28"/>
          <w:szCs w:val="28"/>
          <w:lang w:val="ru-RU"/>
        </w:rPr>
        <w:t xml:space="preserve">пример см. в </w:t>
      </w:r>
      <w:r w:rsidR="00DD12CB" w:rsidRPr="00DD12CB">
        <w:rPr>
          <w:sz w:val="28"/>
          <w:szCs w:val="28"/>
        </w:rPr>
        <w:t>§3.3</w:t>
      </w:r>
      <w:r w:rsidR="00DD12CB">
        <w:rPr>
          <w:sz w:val="28"/>
          <w:szCs w:val="28"/>
          <w:lang w:val="ru-RU"/>
        </w:rPr>
        <w:t>)</w:t>
      </w:r>
      <w:r w:rsidRPr="00ED3E2D">
        <w:rPr>
          <w:sz w:val="28"/>
          <w:szCs w:val="28"/>
          <w:lang w:val="ru-RU"/>
        </w:rPr>
        <w:t>.</w:t>
      </w:r>
    </w:p>
    <w:p w14:paraId="392220B0" w14:textId="00BF7308" w:rsidR="00C85EE0" w:rsidRPr="00C85EE0" w:rsidRDefault="00E346C6" w:rsidP="00C85EE0">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 xml:space="preserve">Как видно из </w:t>
      </w:r>
      <w:r w:rsidR="00DD12CB">
        <w:rPr>
          <w:sz w:val="28"/>
          <w:szCs w:val="28"/>
          <w:lang w:val="ru-RU"/>
        </w:rPr>
        <w:t>примера</w:t>
      </w:r>
      <w:r>
        <w:rPr>
          <w:sz w:val="28"/>
          <w:szCs w:val="28"/>
          <w:lang w:val="ru-RU"/>
        </w:rPr>
        <w:t xml:space="preserve"> расчета,</w:t>
      </w:r>
      <w:r w:rsidR="00DD12CB">
        <w:rPr>
          <w:sz w:val="28"/>
          <w:szCs w:val="28"/>
          <w:lang w:val="ru-RU"/>
        </w:rPr>
        <w:t xml:space="preserve"> иллюстрирующего общий принцип,</w:t>
      </w:r>
      <w:r>
        <w:rPr>
          <w:sz w:val="28"/>
          <w:szCs w:val="28"/>
          <w:lang w:val="ru-RU"/>
        </w:rPr>
        <w:t xml:space="preserve"> </w:t>
      </w:r>
      <w:r w:rsidR="00DD12CB">
        <w:rPr>
          <w:sz w:val="28"/>
          <w:szCs w:val="28"/>
          <w:lang w:val="ru-RU"/>
        </w:rPr>
        <w:t>главное</w:t>
      </w:r>
      <w:r w:rsidR="00C85EE0" w:rsidRPr="00C85EE0">
        <w:rPr>
          <w:sz w:val="28"/>
          <w:szCs w:val="28"/>
          <w:lang w:val="ru-RU"/>
        </w:rPr>
        <w:t xml:space="preserve"> </w:t>
      </w:r>
      <w:r w:rsidR="00C85EE0" w:rsidRPr="00C85EE0">
        <w:rPr>
          <w:sz w:val="28"/>
          <w:szCs w:val="28"/>
          <w:lang w:val="ru-RU"/>
        </w:rPr>
        <w:lastRenderedPageBreak/>
        <w:t>отличие от прямого экспертного назначения состоит не в устранении суждения, а в его структурировании. Эксперт по-прежнему высказывает суждения, но каждое из них локально, касается только двух факторов и потому проверяемо</w:t>
      </w:r>
      <w:r w:rsidR="00AF48E8" w:rsidRPr="00AF48E8">
        <w:rPr>
          <w:sz w:val="28"/>
          <w:szCs w:val="28"/>
          <w:lang w:val="ru-RU"/>
        </w:rPr>
        <w:t>.</w:t>
      </w:r>
      <w:r w:rsidR="00C85EE0" w:rsidRPr="00C85EE0">
        <w:rPr>
          <w:sz w:val="28"/>
          <w:szCs w:val="28"/>
          <w:lang w:val="ru-RU"/>
        </w:rPr>
        <w:t xml:space="preserve"> </w:t>
      </w:r>
      <w:r w:rsidR="00AF48E8">
        <w:rPr>
          <w:sz w:val="28"/>
          <w:szCs w:val="28"/>
          <w:lang w:val="ru-RU"/>
        </w:rPr>
        <w:t>И</w:t>
      </w:r>
      <w:r w:rsidR="00C85EE0" w:rsidRPr="00C85EE0">
        <w:rPr>
          <w:sz w:val="28"/>
          <w:szCs w:val="28"/>
          <w:lang w:val="ru-RU"/>
        </w:rPr>
        <w:t>тоговые же веса он не назначает, а получает расчётом. Дополнительно метод содержит встроенный контроль качества — отношение согласованности, показывающее, насколько высказанные суждения логически совместимы между собой: если эксперт признал первый фактор важнее второго, а второй важнее третьего, но третий важнее первого, показатель это обнаружит. При превышении порогового значения суждения подлежат пересмотру.</w:t>
      </w:r>
    </w:p>
    <w:p w14:paraId="6D4CD43B" w14:textId="70DFF506" w:rsidR="00C85EE0" w:rsidRPr="00C85EE0" w:rsidRDefault="00C85EE0" w:rsidP="00C85EE0">
      <w:pPr>
        <w:pBdr>
          <w:top w:val="nil"/>
          <w:left w:val="nil"/>
          <w:bottom w:val="nil"/>
          <w:right w:val="nil"/>
          <w:between w:val="nil"/>
        </w:pBdr>
        <w:spacing w:before="2" w:line="360" w:lineRule="auto"/>
        <w:ind w:left="140" w:right="145" w:firstLine="708"/>
        <w:jc w:val="both"/>
        <w:rPr>
          <w:sz w:val="28"/>
          <w:szCs w:val="28"/>
          <w:lang w:val="ru-RU"/>
        </w:rPr>
      </w:pPr>
      <w:r w:rsidRPr="00C85EE0">
        <w:rPr>
          <w:sz w:val="28"/>
          <w:szCs w:val="28"/>
          <w:lang w:val="ru-RU"/>
        </w:rPr>
        <w:t>Метод широко применяется в экономических исследованиях, включая финансовую сферу</w:t>
      </w:r>
      <w:r w:rsidR="00FA29A8">
        <w:rPr>
          <w:sz w:val="28"/>
          <w:szCs w:val="28"/>
          <w:lang w:val="ru-RU"/>
        </w:rPr>
        <w:t>,</w:t>
      </w:r>
      <w:r w:rsidRPr="00C85EE0">
        <w:rPr>
          <w:sz w:val="28"/>
          <w:szCs w:val="28"/>
          <w:lang w:val="ru-RU"/>
        </w:rPr>
        <w:t xml:space="preserve"> например, при оценке кредитного риска коммерческих банков. Однако адаптации к задаче расчёта премии за специфический риск компании в оценочной литературе не обнаружено: инструмент структурирования экспертных суждений и задача, страдающая именно от неструктурированности таких суждений, до сих пор существовали порознь.</w:t>
      </w:r>
    </w:p>
    <w:p w14:paraId="3776C289" w14:textId="77777777" w:rsidR="00C85EE0" w:rsidRPr="00C85EE0" w:rsidRDefault="00C85EE0" w:rsidP="00C85EE0">
      <w:pPr>
        <w:pBdr>
          <w:top w:val="nil"/>
          <w:left w:val="nil"/>
          <w:bottom w:val="nil"/>
          <w:right w:val="nil"/>
          <w:between w:val="nil"/>
        </w:pBdr>
        <w:spacing w:before="2" w:line="360" w:lineRule="auto"/>
        <w:ind w:left="140" w:right="145" w:firstLine="708"/>
        <w:jc w:val="both"/>
        <w:rPr>
          <w:sz w:val="28"/>
          <w:szCs w:val="28"/>
          <w:lang w:val="ru-RU"/>
        </w:rPr>
      </w:pPr>
      <w:r w:rsidRPr="00C85EE0">
        <w:rPr>
          <w:b/>
          <w:bCs/>
          <w:sz w:val="28"/>
          <w:szCs w:val="28"/>
          <w:lang w:val="ru-RU"/>
        </w:rPr>
        <w:t>Дисконт за недостаточную ликвидность</w:t>
      </w:r>
    </w:p>
    <w:p w14:paraId="0326B2E8" w14:textId="52582D29" w:rsidR="001C5DF6" w:rsidRDefault="0005103E" w:rsidP="00C85EE0">
      <w:pPr>
        <w:pBdr>
          <w:top w:val="nil"/>
          <w:left w:val="nil"/>
          <w:bottom w:val="nil"/>
          <w:right w:val="nil"/>
          <w:between w:val="nil"/>
        </w:pBdr>
        <w:spacing w:before="2" w:line="360" w:lineRule="auto"/>
        <w:ind w:left="140" w:right="145" w:firstLine="708"/>
        <w:jc w:val="both"/>
        <w:rPr>
          <w:sz w:val="28"/>
          <w:szCs w:val="28"/>
          <w:lang w:val="ru-RU"/>
        </w:rPr>
      </w:pPr>
      <w:r w:rsidRPr="0005103E">
        <w:rPr>
          <w:sz w:val="28"/>
          <w:szCs w:val="28"/>
        </w:rPr>
        <w:t>Премия за специфический риск — не единственный корректирующий элемент, привносимый в оценку непубличной компании оценочной традицией. Второй применяется не к ставке, а к результату расчёта</w:t>
      </w:r>
      <w:r>
        <w:rPr>
          <w:sz w:val="28"/>
          <w:szCs w:val="28"/>
          <w:lang w:val="ru-RU"/>
        </w:rPr>
        <w:t xml:space="preserve">, и им </w:t>
      </w:r>
      <w:r w:rsidR="00C85EE0" w:rsidRPr="00C85EE0">
        <w:rPr>
          <w:sz w:val="28"/>
          <w:szCs w:val="28"/>
          <w:lang w:val="ru-RU"/>
        </w:rPr>
        <w:t>выступает дисконт за недостаточную ликвидность (</w:t>
      </w:r>
      <w:r w:rsidR="00C85EE0" w:rsidRPr="00C85EE0">
        <w:rPr>
          <w:sz w:val="28"/>
          <w:szCs w:val="28"/>
          <w:lang w:val="en-US"/>
        </w:rPr>
        <w:t>DLOM</w:t>
      </w:r>
      <w:r w:rsidR="00C85EE0" w:rsidRPr="00C85EE0">
        <w:rPr>
          <w:sz w:val="28"/>
          <w:szCs w:val="28"/>
          <w:lang w:val="ru-RU"/>
        </w:rPr>
        <w:t xml:space="preserve">). </w:t>
      </w:r>
      <w:r w:rsidR="00297FA2" w:rsidRPr="00297FA2">
        <w:rPr>
          <w:sz w:val="28"/>
          <w:szCs w:val="28"/>
        </w:rPr>
        <w:t>Его нередко отождествляют с показателем free-float — долей акций в свободном обращении. Между тем free-float — лишь поздний и наиболее измеримый частный случай более широкого понятия: срока до горизонта ликвидности доли. Классический DLOM восходит к исследованиям неликвидности акций именно непубличных компаний, а не биржевого free-float. В этом смысле доля венчурного или PE-инвестора неликвидна не менее, а зачастую более выраженно, чем акция эмитента с низким free-float — у неё отсутствует сама биржа как канал выхода, срок до ликвидности не определён и типично составляет пять-семь лет, а передача доли ограничена договорными условиями: правом первого отказа</w:t>
      </w:r>
      <w:r w:rsidR="00B900BF">
        <w:rPr>
          <w:sz w:val="28"/>
          <w:szCs w:val="28"/>
          <w:lang w:val="ru-RU"/>
        </w:rPr>
        <w:t xml:space="preserve"> (</w:t>
      </w:r>
      <w:r w:rsidR="00B900BF" w:rsidRPr="00B900BF">
        <w:rPr>
          <w:sz w:val="28"/>
          <w:szCs w:val="28"/>
        </w:rPr>
        <w:t>правом акционера выкупить долю прежде третьего лица</w:t>
      </w:r>
      <w:r w:rsidR="00B900BF">
        <w:rPr>
          <w:sz w:val="28"/>
          <w:szCs w:val="28"/>
          <w:lang w:val="ru-RU"/>
        </w:rPr>
        <w:t>)</w:t>
      </w:r>
      <w:r w:rsidR="00297FA2" w:rsidRPr="00297FA2">
        <w:rPr>
          <w:sz w:val="28"/>
          <w:szCs w:val="28"/>
        </w:rPr>
        <w:t>, механизмами drag-along</w:t>
      </w:r>
      <w:r w:rsidR="00B900BF">
        <w:rPr>
          <w:sz w:val="28"/>
          <w:szCs w:val="28"/>
          <w:lang w:val="ru-RU"/>
        </w:rPr>
        <w:t xml:space="preserve"> </w:t>
      </w:r>
      <w:r w:rsidR="00B900BF" w:rsidRPr="00B900BF">
        <w:rPr>
          <w:sz w:val="28"/>
          <w:szCs w:val="28"/>
        </w:rPr>
        <w:t>(правом мажоритария принудить к продаже)</w:t>
      </w:r>
      <w:r w:rsidR="00297FA2" w:rsidRPr="00297FA2">
        <w:rPr>
          <w:sz w:val="28"/>
          <w:szCs w:val="28"/>
        </w:rPr>
        <w:t xml:space="preserve"> и tag-along</w:t>
      </w:r>
      <w:r w:rsidR="00387A70" w:rsidRPr="00387A70">
        <w:t xml:space="preserve"> </w:t>
      </w:r>
      <w:r w:rsidR="00387A70" w:rsidRPr="00387A70">
        <w:rPr>
          <w:sz w:val="28"/>
          <w:szCs w:val="28"/>
        </w:rPr>
        <w:t>(правом миноритария присоединиться к сделке)</w:t>
      </w:r>
      <w:r w:rsidR="00297FA2" w:rsidRPr="00297FA2">
        <w:rPr>
          <w:sz w:val="28"/>
          <w:szCs w:val="28"/>
        </w:rPr>
        <w:t>.</w:t>
      </w:r>
    </w:p>
    <w:p w14:paraId="1185C6E3" w14:textId="77777777" w:rsidR="001C5DF6" w:rsidRDefault="001C5DF6" w:rsidP="00C85EE0">
      <w:pPr>
        <w:pBdr>
          <w:top w:val="nil"/>
          <w:left w:val="nil"/>
          <w:bottom w:val="nil"/>
          <w:right w:val="nil"/>
          <w:between w:val="nil"/>
        </w:pBdr>
        <w:spacing w:before="2" w:line="360" w:lineRule="auto"/>
        <w:ind w:left="140" w:right="145" w:firstLine="708"/>
        <w:jc w:val="both"/>
        <w:rPr>
          <w:sz w:val="28"/>
          <w:szCs w:val="28"/>
          <w:lang w:val="ru-RU"/>
        </w:rPr>
      </w:pPr>
      <w:r w:rsidRPr="001C5DF6">
        <w:rPr>
          <w:sz w:val="28"/>
          <w:szCs w:val="28"/>
        </w:rPr>
        <w:lastRenderedPageBreak/>
        <w:t xml:space="preserve">Оценочная практика выработала три различных подхода к его определению, каждый со своей мерой и своим источником данных: </w:t>
      </w:r>
    </w:p>
    <w:p w14:paraId="464D3569" w14:textId="77777777" w:rsidR="001C5DF6" w:rsidRDefault="001C5DF6" w:rsidP="001C5DF6">
      <w:pPr>
        <w:pStyle w:val="a9"/>
        <w:numPr>
          <w:ilvl w:val="0"/>
          <w:numId w:val="9"/>
        </w:numPr>
        <w:pBdr>
          <w:top w:val="nil"/>
          <w:left w:val="nil"/>
          <w:bottom w:val="nil"/>
          <w:right w:val="nil"/>
          <w:between w:val="nil"/>
        </w:pBdr>
        <w:spacing w:before="2" w:line="360" w:lineRule="auto"/>
        <w:ind w:right="145"/>
        <w:jc w:val="both"/>
        <w:rPr>
          <w:sz w:val="28"/>
          <w:szCs w:val="28"/>
          <w:lang w:val="ru-RU"/>
        </w:rPr>
      </w:pPr>
      <w:r w:rsidRPr="001C5DF6">
        <w:rPr>
          <w:sz w:val="28"/>
          <w:szCs w:val="28"/>
        </w:rPr>
        <w:t xml:space="preserve">эмпирические benchmark-исследования, опирающиеся на статистику реальных сделок; </w:t>
      </w:r>
    </w:p>
    <w:p w14:paraId="201625E5" w14:textId="77777777" w:rsidR="001C5DF6" w:rsidRDefault="001C5DF6" w:rsidP="001C5DF6">
      <w:pPr>
        <w:pStyle w:val="a9"/>
        <w:numPr>
          <w:ilvl w:val="0"/>
          <w:numId w:val="9"/>
        </w:numPr>
        <w:pBdr>
          <w:top w:val="nil"/>
          <w:left w:val="nil"/>
          <w:bottom w:val="nil"/>
          <w:right w:val="nil"/>
          <w:between w:val="nil"/>
        </w:pBdr>
        <w:spacing w:before="2" w:line="360" w:lineRule="auto"/>
        <w:ind w:right="145"/>
        <w:jc w:val="both"/>
        <w:rPr>
          <w:sz w:val="28"/>
          <w:szCs w:val="28"/>
          <w:lang w:val="ru-RU"/>
        </w:rPr>
      </w:pPr>
      <w:r w:rsidRPr="001C5DF6">
        <w:rPr>
          <w:sz w:val="28"/>
          <w:szCs w:val="28"/>
        </w:rPr>
        <w:t xml:space="preserve">модели денежного потока, рассчитывающие дисконт через ожидания конкретного держателя доли; </w:t>
      </w:r>
    </w:p>
    <w:p w14:paraId="63595098" w14:textId="70BD0FDB" w:rsidR="001C5DF6" w:rsidRPr="001C5DF6" w:rsidRDefault="001C5DF6" w:rsidP="001C5DF6">
      <w:pPr>
        <w:pStyle w:val="a9"/>
        <w:numPr>
          <w:ilvl w:val="0"/>
          <w:numId w:val="9"/>
        </w:numPr>
        <w:pBdr>
          <w:top w:val="nil"/>
          <w:left w:val="nil"/>
          <w:bottom w:val="nil"/>
          <w:right w:val="nil"/>
          <w:between w:val="nil"/>
        </w:pBdr>
        <w:spacing w:before="2" w:line="360" w:lineRule="auto"/>
        <w:ind w:right="145"/>
        <w:jc w:val="both"/>
        <w:rPr>
          <w:sz w:val="28"/>
          <w:szCs w:val="28"/>
          <w:lang w:val="ru-RU"/>
        </w:rPr>
      </w:pPr>
      <w:r w:rsidRPr="001C5DF6">
        <w:rPr>
          <w:sz w:val="28"/>
          <w:szCs w:val="28"/>
        </w:rPr>
        <w:t>опционные модели, выводящие дисконт теоретически, через цену условной страховки от неблагоприятного изменения стоимости.</w:t>
      </w:r>
    </w:p>
    <w:p w14:paraId="61C6C57B" w14:textId="2236506B" w:rsidR="00C85EE0" w:rsidRDefault="00C85EE0" w:rsidP="001C5DF6">
      <w:pPr>
        <w:pBdr>
          <w:top w:val="nil"/>
          <w:left w:val="nil"/>
          <w:bottom w:val="nil"/>
          <w:right w:val="nil"/>
          <w:between w:val="nil"/>
        </w:pBdr>
        <w:spacing w:before="2" w:line="360" w:lineRule="auto"/>
        <w:ind w:left="140" w:right="145" w:firstLine="708"/>
        <w:jc w:val="both"/>
        <w:rPr>
          <w:sz w:val="28"/>
          <w:szCs w:val="28"/>
          <w:lang w:val="ru-RU"/>
        </w:rPr>
      </w:pPr>
      <w:r w:rsidRPr="00C85EE0">
        <w:rPr>
          <w:sz w:val="28"/>
          <w:szCs w:val="28"/>
          <w:lang w:val="ru-RU"/>
        </w:rPr>
        <w:t xml:space="preserve">Классическая методология определения </w:t>
      </w:r>
      <w:r w:rsidR="00AD5FD5">
        <w:rPr>
          <w:sz w:val="28"/>
          <w:szCs w:val="28"/>
          <w:lang w:val="en-US"/>
        </w:rPr>
        <w:t>DLOM</w:t>
      </w:r>
      <w:r w:rsidR="00AD5FD5" w:rsidRPr="00AD5FD5">
        <w:rPr>
          <w:sz w:val="28"/>
          <w:szCs w:val="28"/>
          <w:lang w:val="ru-RU"/>
        </w:rPr>
        <w:t xml:space="preserve"> </w:t>
      </w:r>
      <w:r w:rsidRPr="00C85EE0">
        <w:rPr>
          <w:sz w:val="28"/>
          <w:szCs w:val="28"/>
          <w:lang w:val="ru-RU"/>
        </w:rPr>
        <w:t xml:space="preserve">восходит </w:t>
      </w:r>
      <w:r w:rsidRPr="001C5DF6">
        <w:rPr>
          <w:b/>
          <w:bCs/>
          <w:sz w:val="28"/>
          <w:szCs w:val="28"/>
          <w:lang w:val="ru-RU"/>
        </w:rPr>
        <w:t xml:space="preserve">к </w:t>
      </w:r>
      <w:r w:rsidRPr="001C5DF6">
        <w:rPr>
          <w:b/>
          <w:bCs/>
          <w:sz w:val="28"/>
          <w:szCs w:val="28"/>
          <w:lang w:val="en-US"/>
        </w:rPr>
        <w:t>restricted</w:t>
      </w:r>
      <w:r w:rsidRPr="001C5DF6">
        <w:rPr>
          <w:b/>
          <w:bCs/>
          <w:sz w:val="28"/>
          <w:szCs w:val="28"/>
          <w:lang w:val="ru-RU"/>
        </w:rPr>
        <w:t xml:space="preserve"> </w:t>
      </w:r>
      <w:r w:rsidRPr="001C5DF6">
        <w:rPr>
          <w:b/>
          <w:bCs/>
          <w:sz w:val="28"/>
          <w:szCs w:val="28"/>
          <w:lang w:val="en-US"/>
        </w:rPr>
        <w:t>stock</w:t>
      </w:r>
      <w:r w:rsidRPr="001C5DF6">
        <w:rPr>
          <w:b/>
          <w:bCs/>
          <w:sz w:val="28"/>
          <w:szCs w:val="28"/>
          <w:lang w:val="ru-RU"/>
        </w:rPr>
        <w:t xml:space="preserve"> </w:t>
      </w:r>
      <w:r w:rsidRPr="001C5DF6">
        <w:rPr>
          <w:b/>
          <w:bCs/>
          <w:sz w:val="28"/>
          <w:szCs w:val="28"/>
          <w:lang w:val="en-US"/>
        </w:rPr>
        <w:t>studies</w:t>
      </w:r>
      <w:r w:rsidRPr="00C85EE0">
        <w:rPr>
          <w:sz w:val="28"/>
          <w:szCs w:val="28"/>
          <w:lang w:val="ru-RU"/>
        </w:rPr>
        <w:t xml:space="preserve"> — исследованиям сделок с акциями, ограниченными в свободном обращении, где наблюдаемая скидка к цене свободно обращающихся бумаг той же компании принималась за меру неликвидности</w:t>
      </w:r>
      <w:r w:rsidR="00AF48E8">
        <w:rPr>
          <w:rStyle w:val="a7"/>
          <w:sz w:val="28"/>
          <w:szCs w:val="28"/>
          <w:lang w:val="ru-RU"/>
        </w:rPr>
        <w:footnoteReference w:id="182"/>
      </w:r>
      <w:r w:rsidRPr="00C85EE0">
        <w:rPr>
          <w:sz w:val="28"/>
          <w:szCs w:val="28"/>
          <w:lang w:val="ru-RU"/>
        </w:rPr>
        <w:t>.</w:t>
      </w:r>
      <w:r w:rsidR="001C5DF6">
        <w:rPr>
          <w:sz w:val="28"/>
          <w:szCs w:val="28"/>
          <w:lang w:val="ru-RU"/>
        </w:rPr>
        <w:t xml:space="preserve"> </w:t>
      </w:r>
      <w:r w:rsidRPr="00C85EE0">
        <w:rPr>
          <w:sz w:val="28"/>
          <w:szCs w:val="28"/>
          <w:lang w:val="ru-RU"/>
        </w:rPr>
        <w:t xml:space="preserve">Такой подход обладает двумя ограничениями. Полученный коэффициент статичен: он усредняет наблюдения за длительный период и не реагирует на изменение положения конкретной компании. </w:t>
      </w:r>
      <w:r w:rsidR="001C5DF6">
        <w:rPr>
          <w:sz w:val="28"/>
          <w:szCs w:val="28"/>
          <w:lang w:val="ru-RU"/>
        </w:rPr>
        <w:t>Также</w:t>
      </w:r>
      <w:r w:rsidRPr="00C85EE0">
        <w:rPr>
          <w:sz w:val="28"/>
          <w:szCs w:val="28"/>
          <w:lang w:val="ru-RU"/>
        </w:rPr>
        <w:t xml:space="preserve"> он нечувствителен к регуляторной среде конкретного рынка</w:t>
      </w:r>
      <w:r w:rsidR="00FA29A8">
        <w:rPr>
          <w:sz w:val="28"/>
          <w:szCs w:val="28"/>
          <w:lang w:val="ru-RU"/>
        </w:rPr>
        <w:t>, поскольку</w:t>
      </w:r>
      <w:r w:rsidRPr="00C85EE0">
        <w:rPr>
          <w:sz w:val="28"/>
          <w:szCs w:val="28"/>
          <w:lang w:val="ru-RU"/>
        </w:rPr>
        <w:t xml:space="preserve"> американские исследования отражают правила обращения ограниченных бумаг, действовавшие в США, тогда как условия выхода из доли на российском рынке определяются иными нормами.</w:t>
      </w:r>
    </w:p>
    <w:p w14:paraId="362E328F" w14:textId="6BB4C187" w:rsidR="001C5DF6" w:rsidRPr="00C85EE0" w:rsidRDefault="001C5DF6" w:rsidP="001C5DF6">
      <w:pPr>
        <w:pBdr>
          <w:top w:val="nil"/>
          <w:left w:val="nil"/>
          <w:bottom w:val="nil"/>
          <w:right w:val="nil"/>
          <w:between w:val="nil"/>
        </w:pBdr>
        <w:spacing w:before="2" w:line="360" w:lineRule="auto"/>
        <w:ind w:left="140" w:right="145" w:firstLine="708"/>
        <w:jc w:val="both"/>
        <w:rPr>
          <w:sz w:val="28"/>
          <w:szCs w:val="28"/>
          <w:lang w:val="ru-RU"/>
        </w:rPr>
      </w:pPr>
      <w:r w:rsidRPr="001C5DF6">
        <w:rPr>
          <w:sz w:val="28"/>
          <w:szCs w:val="28"/>
        </w:rPr>
        <w:t xml:space="preserve">Второй тип — </w:t>
      </w:r>
      <w:r w:rsidRPr="00297FA2">
        <w:rPr>
          <w:b/>
          <w:bCs/>
          <w:sz w:val="28"/>
          <w:szCs w:val="28"/>
        </w:rPr>
        <w:t>модели денежного потока</w:t>
      </w:r>
      <w:r w:rsidRPr="001C5DF6">
        <w:rPr>
          <w:sz w:val="28"/>
          <w:szCs w:val="28"/>
        </w:rPr>
        <w:t xml:space="preserve">, из которых наиболее известна </w:t>
      </w:r>
      <w:r w:rsidRPr="00297FA2">
        <w:rPr>
          <w:color w:val="000000" w:themeColor="text1"/>
          <w:sz w:val="28"/>
          <w:szCs w:val="28"/>
        </w:rPr>
        <w:t>Quantitative Marketability Discount Model</w:t>
      </w:r>
      <w:r w:rsidRPr="001C5DF6">
        <w:rPr>
          <w:sz w:val="28"/>
          <w:szCs w:val="28"/>
        </w:rPr>
        <w:t>. Она рассчитывает стоимость доли для конкретного держателя через приведённую стоимость ожидаемых именно ему выплат за ожидаемый им срок владения</w:t>
      </w:r>
      <w:r w:rsidR="00B900BF">
        <w:rPr>
          <w:rStyle w:val="a7"/>
          <w:sz w:val="28"/>
          <w:szCs w:val="28"/>
        </w:rPr>
        <w:footnoteReference w:id="183"/>
      </w:r>
      <w:r w:rsidRPr="001C5DF6">
        <w:rPr>
          <w:sz w:val="28"/>
          <w:szCs w:val="28"/>
        </w:rPr>
        <w:t xml:space="preserve">. Для задачи диагностики готовности компании в целом эта модель непригодна: все её входные параметры </w:t>
      </w:r>
      <w:r w:rsidR="00DF6EAE">
        <w:rPr>
          <w:sz w:val="28"/>
          <w:szCs w:val="28"/>
          <w:lang w:val="ru-RU"/>
        </w:rPr>
        <w:t>(</w:t>
      </w:r>
      <w:r w:rsidRPr="001C5DF6">
        <w:rPr>
          <w:sz w:val="28"/>
          <w:szCs w:val="28"/>
        </w:rPr>
        <w:t>ожидаемые дивиденды, срок владения, требуемая доходность</w:t>
      </w:r>
      <w:r w:rsidR="00DF6EAE">
        <w:rPr>
          <w:sz w:val="28"/>
          <w:szCs w:val="28"/>
          <w:lang w:val="ru-RU"/>
        </w:rPr>
        <w:t>)</w:t>
      </w:r>
      <w:r w:rsidRPr="001C5DF6">
        <w:rPr>
          <w:sz w:val="28"/>
          <w:szCs w:val="28"/>
        </w:rPr>
        <w:t xml:space="preserve"> характеризуют конкретную сделку конкретного инвестора, а не саму компанию, тогда как объект настоящего исследования — готовность компании привлекать капитал независимо от того, кто именно окажется инвестором.</w:t>
      </w:r>
    </w:p>
    <w:p w14:paraId="151B4B78" w14:textId="77777777" w:rsidR="00AD5FD5" w:rsidRDefault="00297FA2" w:rsidP="00574EE6">
      <w:pPr>
        <w:pBdr>
          <w:top w:val="nil"/>
          <w:left w:val="nil"/>
          <w:bottom w:val="nil"/>
          <w:right w:val="nil"/>
          <w:between w:val="nil"/>
        </w:pBdr>
        <w:spacing w:before="2" w:line="360" w:lineRule="auto"/>
        <w:ind w:left="140" w:right="145" w:firstLine="708"/>
        <w:jc w:val="both"/>
        <w:rPr>
          <w:sz w:val="28"/>
          <w:szCs w:val="28"/>
          <w:lang w:val="ru-RU"/>
        </w:rPr>
      </w:pPr>
      <w:r w:rsidRPr="00297FA2">
        <w:rPr>
          <w:sz w:val="28"/>
          <w:szCs w:val="28"/>
        </w:rPr>
        <w:t xml:space="preserve">Третий тип, </w:t>
      </w:r>
      <w:r w:rsidRPr="00297FA2">
        <w:rPr>
          <w:b/>
          <w:bCs/>
          <w:sz w:val="28"/>
          <w:szCs w:val="28"/>
        </w:rPr>
        <w:t>опционные модели</w:t>
      </w:r>
      <w:r w:rsidRPr="00297FA2">
        <w:rPr>
          <w:sz w:val="28"/>
          <w:szCs w:val="28"/>
        </w:rPr>
        <w:t xml:space="preserve">, устраняет оба ограничения первых двух: не </w:t>
      </w:r>
      <w:r w:rsidRPr="00297FA2">
        <w:rPr>
          <w:sz w:val="28"/>
          <w:szCs w:val="28"/>
        </w:rPr>
        <w:lastRenderedPageBreak/>
        <w:t xml:space="preserve">требует ни исторической базы чужих сделок, ни допущения о конкретном инвесторе. Именно поэтому на венчурном и PE-этапах базой калибровки дисконта в настоящем исследовании служат опционные модели неликвидности. </w:t>
      </w:r>
    </w:p>
    <w:p w14:paraId="43DDA9E3" w14:textId="39B7688B" w:rsidR="00D05112" w:rsidRDefault="00AD5FD5" w:rsidP="00D05112">
      <w:pPr>
        <w:pBdr>
          <w:top w:val="nil"/>
          <w:left w:val="nil"/>
          <w:bottom w:val="nil"/>
          <w:right w:val="nil"/>
          <w:between w:val="nil"/>
        </w:pBdr>
        <w:spacing w:before="2" w:line="360" w:lineRule="auto"/>
        <w:ind w:left="140" w:right="145" w:firstLine="708"/>
        <w:jc w:val="both"/>
        <w:rPr>
          <w:sz w:val="28"/>
          <w:szCs w:val="28"/>
          <w:lang w:val="ru-RU"/>
        </w:rPr>
      </w:pPr>
      <w:r w:rsidRPr="00AD5FD5">
        <w:rPr>
          <w:sz w:val="28"/>
          <w:szCs w:val="28"/>
        </w:rPr>
        <w:t>Их принцип состоит в том, чтобы не искать готовую скидку в статистике чужих сделок и не привязываться к характеристикам конкретного инвестора, а рассчитать дисконт теоретически: стоимость неликвидности приравнивается к стоимости страховки</w:t>
      </w:r>
      <w:r w:rsidR="00D05112">
        <w:rPr>
          <w:sz w:val="28"/>
          <w:szCs w:val="28"/>
          <w:lang w:val="ru-RU"/>
        </w:rPr>
        <w:t xml:space="preserve"> (опциона)</w:t>
      </w:r>
      <w:r w:rsidRPr="00AD5FD5">
        <w:rPr>
          <w:sz w:val="28"/>
          <w:szCs w:val="28"/>
        </w:rPr>
        <w:t xml:space="preserve"> от неблагоприятного изменения цены за время вынужденного ожидания. </w:t>
      </w:r>
      <w:r w:rsidR="00D05112">
        <w:rPr>
          <w:sz w:val="28"/>
          <w:szCs w:val="28"/>
          <w:lang w:val="ru-RU"/>
        </w:rPr>
        <w:t>Поскольку в</w:t>
      </w:r>
      <w:r w:rsidR="00D05112" w:rsidRPr="00AD5FD5">
        <w:rPr>
          <w:sz w:val="28"/>
          <w:szCs w:val="28"/>
        </w:rPr>
        <w:t>ладелец неликвидной доли фактически лишён такого защитного опциона, его расчётная цена и есть искомый дисконт.</w:t>
      </w:r>
    </w:p>
    <w:p w14:paraId="38F1AEFA" w14:textId="29CB4C12" w:rsidR="00D05112" w:rsidRPr="00D05112" w:rsidRDefault="00D05112" w:rsidP="00D05112">
      <w:pPr>
        <w:pBdr>
          <w:top w:val="nil"/>
          <w:left w:val="nil"/>
          <w:bottom w:val="nil"/>
          <w:right w:val="nil"/>
          <w:between w:val="nil"/>
        </w:pBdr>
        <w:spacing w:before="2" w:line="360" w:lineRule="auto"/>
        <w:ind w:left="140" w:right="145" w:firstLine="708"/>
        <w:jc w:val="both"/>
        <w:rPr>
          <w:sz w:val="28"/>
          <w:szCs w:val="28"/>
          <w:lang w:val="ru-RU"/>
        </w:rPr>
      </w:pPr>
      <w:r w:rsidRPr="00D05112">
        <w:rPr>
          <w:sz w:val="28"/>
          <w:szCs w:val="28"/>
          <w:lang w:val="ru-RU"/>
        </w:rPr>
        <w:t>Общая логика всех моделей этой группы выражается формулой:</w:t>
      </w:r>
    </w:p>
    <w:p w14:paraId="2AD283E3" w14:textId="77777777" w:rsidR="00D05112" w:rsidRPr="00D05112" w:rsidRDefault="00D05112" w:rsidP="00D05112">
      <w:pPr>
        <w:pBdr>
          <w:top w:val="nil"/>
          <w:left w:val="nil"/>
          <w:bottom w:val="nil"/>
          <w:right w:val="nil"/>
          <w:between w:val="nil"/>
        </w:pBdr>
        <w:spacing w:before="2" w:line="360" w:lineRule="auto"/>
        <w:ind w:left="140" w:right="145" w:firstLine="708"/>
        <w:jc w:val="center"/>
        <w:rPr>
          <w:sz w:val="28"/>
          <w:szCs w:val="28"/>
          <w:lang w:val="ru-RU"/>
        </w:rPr>
      </w:pPr>
      <w:r w:rsidRPr="00D05112">
        <w:rPr>
          <w:sz w:val="28"/>
          <w:szCs w:val="28"/>
          <w:lang w:val="en-US"/>
        </w:rPr>
        <w:t>DLOM</w:t>
      </w:r>
      <w:r w:rsidRPr="00D05112">
        <w:rPr>
          <w:sz w:val="28"/>
          <w:szCs w:val="28"/>
          <w:lang w:val="ru-RU"/>
        </w:rPr>
        <w:t xml:space="preserve"> = </w:t>
      </w:r>
      <w:r w:rsidRPr="00D05112">
        <w:rPr>
          <w:sz w:val="28"/>
          <w:szCs w:val="28"/>
          <w:lang w:val="en-US"/>
        </w:rPr>
        <w:t>P</w:t>
      </w:r>
      <w:r w:rsidRPr="00D05112">
        <w:rPr>
          <w:sz w:val="28"/>
          <w:szCs w:val="28"/>
          <w:lang w:val="ru-RU"/>
        </w:rPr>
        <w:t xml:space="preserve"> / </w:t>
      </w:r>
      <w:r w:rsidRPr="00D05112">
        <w:rPr>
          <w:sz w:val="28"/>
          <w:szCs w:val="28"/>
          <w:lang w:val="en-US"/>
        </w:rPr>
        <w:t>S</w:t>
      </w:r>
    </w:p>
    <w:p w14:paraId="31EC6B79" w14:textId="77777777" w:rsidR="00D05112" w:rsidRPr="00A648EF" w:rsidRDefault="00D05112" w:rsidP="00D05112">
      <w:pPr>
        <w:pBdr>
          <w:top w:val="nil"/>
          <w:left w:val="nil"/>
          <w:bottom w:val="nil"/>
          <w:right w:val="nil"/>
          <w:between w:val="nil"/>
        </w:pBdr>
        <w:spacing w:before="2" w:line="360" w:lineRule="auto"/>
        <w:ind w:left="140" w:right="145" w:firstLine="708"/>
        <w:jc w:val="both"/>
        <w:rPr>
          <w:sz w:val="28"/>
          <w:szCs w:val="28"/>
          <w:lang w:val="ru-RU"/>
        </w:rPr>
      </w:pPr>
      <w:r w:rsidRPr="00D05112">
        <w:rPr>
          <w:sz w:val="28"/>
          <w:szCs w:val="28"/>
          <w:lang w:val="ru-RU"/>
        </w:rPr>
        <w:t xml:space="preserve">где </w:t>
      </w:r>
      <w:r w:rsidRPr="00D05112">
        <w:rPr>
          <w:sz w:val="28"/>
          <w:szCs w:val="28"/>
          <w:lang w:val="en-US"/>
        </w:rPr>
        <w:t>P</w:t>
      </w:r>
      <w:r w:rsidRPr="00D05112">
        <w:rPr>
          <w:sz w:val="28"/>
          <w:szCs w:val="28"/>
          <w:lang w:val="ru-RU"/>
        </w:rPr>
        <w:t xml:space="preserve"> — расчётная цена условного защитного опциона пут; </w:t>
      </w:r>
    </w:p>
    <w:p w14:paraId="691A77D9" w14:textId="3E508433" w:rsidR="00D05112" w:rsidRPr="00D05112" w:rsidRDefault="00D05112" w:rsidP="00D05112">
      <w:pPr>
        <w:pBdr>
          <w:top w:val="nil"/>
          <w:left w:val="nil"/>
          <w:bottom w:val="nil"/>
          <w:right w:val="nil"/>
          <w:between w:val="nil"/>
        </w:pBdr>
        <w:spacing w:before="2" w:line="360" w:lineRule="auto"/>
        <w:ind w:left="140" w:right="145" w:firstLine="708"/>
        <w:jc w:val="both"/>
        <w:rPr>
          <w:sz w:val="28"/>
          <w:szCs w:val="28"/>
          <w:lang w:val="ru-RU"/>
        </w:rPr>
      </w:pPr>
      <w:r w:rsidRPr="00D05112">
        <w:rPr>
          <w:sz w:val="28"/>
          <w:szCs w:val="28"/>
          <w:lang w:val="en-US"/>
        </w:rPr>
        <w:t>S</w:t>
      </w:r>
      <w:r w:rsidRPr="00D05112">
        <w:rPr>
          <w:sz w:val="28"/>
          <w:szCs w:val="28"/>
          <w:lang w:val="ru-RU"/>
        </w:rPr>
        <w:t xml:space="preserve"> — стоимость доли на дату оценки, за которую в настоящем исследовании принимается стоимость компании </w:t>
      </w:r>
      <w:r w:rsidRPr="00D05112">
        <w:rPr>
          <w:sz w:val="28"/>
          <w:szCs w:val="28"/>
          <w:lang w:val="en-US"/>
        </w:rPr>
        <w:t>EV</w:t>
      </w:r>
      <w:r w:rsidRPr="00D05112">
        <w:rPr>
          <w:sz w:val="28"/>
          <w:szCs w:val="28"/>
          <w:lang w:val="ru-RU"/>
        </w:rPr>
        <w:t xml:space="preserve">, полученная по формуле </w:t>
      </w:r>
      <w:r w:rsidRPr="00D05112">
        <w:rPr>
          <w:sz w:val="28"/>
          <w:szCs w:val="28"/>
          <w:lang w:val="en-US"/>
        </w:rPr>
        <w:t>DCF</w:t>
      </w:r>
      <w:r w:rsidRPr="00D05112">
        <w:rPr>
          <w:sz w:val="28"/>
          <w:szCs w:val="28"/>
          <w:lang w:val="ru-RU"/>
        </w:rPr>
        <w:t>, обоснованной в §1.4.</w:t>
      </w:r>
    </w:p>
    <w:p w14:paraId="13F84BBA" w14:textId="22611619" w:rsidR="009102C9" w:rsidRDefault="009A5850" w:rsidP="00574EE6">
      <w:pPr>
        <w:pBdr>
          <w:top w:val="nil"/>
          <w:left w:val="nil"/>
          <w:bottom w:val="nil"/>
          <w:right w:val="nil"/>
          <w:between w:val="nil"/>
        </w:pBdr>
        <w:spacing w:before="2" w:line="360" w:lineRule="auto"/>
        <w:ind w:left="140" w:right="145" w:firstLine="708"/>
        <w:jc w:val="both"/>
        <w:rPr>
          <w:sz w:val="28"/>
          <w:szCs w:val="28"/>
          <w:lang w:val="ru-RU"/>
        </w:rPr>
      </w:pPr>
      <w:r w:rsidRPr="009A5850">
        <w:rPr>
          <w:sz w:val="28"/>
          <w:szCs w:val="28"/>
        </w:rPr>
        <w:t>Простейшую реализацию этой идеи предложил Д. Шаффе</w:t>
      </w:r>
      <w:r>
        <w:rPr>
          <w:rStyle w:val="a7"/>
          <w:sz w:val="28"/>
          <w:szCs w:val="28"/>
        </w:rPr>
        <w:footnoteReference w:id="184"/>
      </w:r>
      <w:r w:rsidRPr="009A5850">
        <w:rPr>
          <w:sz w:val="28"/>
          <w:szCs w:val="28"/>
        </w:rPr>
        <w:t>, применив формулу Блэка-Шоулза для европейского опциона пут, выведенную через соотношение паритета пут-колл</w:t>
      </w:r>
      <w:r w:rsidR="007C3415">
        <w:rPr>
          <w:rStyle w:val="a7"/>
          <w:sz w:val="28"/>
          <w:szCs w:val="28"/>
          <w:lang w:val="ru-RU"/>
        </w:rPr>
        <w:footnoteReference w:id="185"/>
      </w:r>
      <w:r w:rsidR="009102C9" w:rsidRPr="009102C9">
        <w:rPr>
          <w:sz w:val="28"/>
          <w:szCs w:val="28"/>
          <w:lang w:val="ru-RU"/>
        </w:rPr>
        <w:t>:</w:t>
      </w:r>
    </w:p>
    <w:p w14:paraId="0BB1F388" w14:textId="2C8A9C35" w:rsidR="00297FA2" w:rsidRPr="00590180" w:rsidRDefault="00184424" w:rsidP="00590180">
      <w:pPr>
        <w:pBdr>
          <w:top w:val="nil"/>
          <w:left w:val="nil"/>
          <w:bottom w:val="nil"/>
          <w:right w:val="nil"/>
          <w:between w:val="nil"/>
        </w:pBdr>
        <w:spacing w:before="2" w:line="360" w:lineRule="auto"/>
        <w:ind w:left="140" w:right="145" w:firstLine="708"/>
        <w:jc w:val="center"/>
        <w:rPr>
          <w:sz w:val="28"/>
          <w:szCs w:val="28"/>
          <w:lang w:val="ru-RU"/>
        </w:rPr>
      </w:pPr>
      <m:oMath>
        <m:r>
          <w:rPr>
            <w:rFonts w:ascii="Cambria Math" w:hAnsi="Cambria Math"/>
            <w:sz w:val="28"/>
            <w:szCs w:val="28"/>
            <w:lang w:val="en-US"/>
          </w:rPr>
          <m:t>P</m:t>
        </m:r>
        <m:r>
          <w:rPr>
            <w:rFonts w:ascii="Cambria Math" w:hAnsi="Cambria Math"/>
            <w:sz w:val="28"/>
            <w:szCs w:val="28"/>
            <w:lang w:val="ru-RU"/>
          </w:rPr>
          <m:t>=</m:t>
        </m:r>
        <m:r>
          <w:rPr>
            <w:rFonts w:ascii="Cambria Math" w:hAnsi="Cambria Math"/>
            <w:sz w:val="28"/>
            <w:szCs w:val="28"/>
            <w:lang w:val="en-US"/>
          </w:rPr>
          <m:t>X</m:t>
        </m:r>
        <m:r>
          <w:rPr>
            <w:rFonts w:ascii="Cambria Math" w:hAnsi="Cambria Math"/>
            <w:sz w:val="28"/>
            <w:szCs w:val="28"/>
            <w:lang w:val="ru-RU"/>
          </w:rPr>
          <m:t>×</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r>
              <w:rPr>
                <w:rFonts w:ascii="Cambria Math" w:hAnsi="Cambria Math"/>
                <w:sz w:val="28"/>
                <w:szCs w:val="28"/>
                <w:lang w:val="ru-RU"/>
              </w:rPr>
              <m:t>×</m:t>
            </m:r>
            <m:r>
              <w:rPr>
                <w:rFonts w:ascii="Cambria Math" w:hAnsi="Cambria Math"/>
                <w:sz w:val="28"/>
                <w:szCs w:val="28"/>
                <w:lang w:val="en-US"/>
              </w:rPr>
              <m:t>T</m:t>
            </m:r>
            <m:r>
              <w:rPr>
                <w:rFonts w:ascii="Cambria Math" w:hAnsi="Cambria Math"/>
                <w:sz w:val="28"/>
                <w:szCs w:val="28"/>
                <w:lang w:val="ru-RU"/>
              </w:rPr>
              <m:t>)</m:t>
            </m:r>
          </m:sup>
        </m:sSup>
        <m:r>
          <w:rPr>
            <w:rFonts w:ascii="Cambria Math" w:hAnsi="Cambria Math"/>
            <w:sz w:val="28"/>
            <w:szCs w:val="28"/>
            <w:lang w:val="ru-RU"/>
          </w:rPr>
          <m:t>×</m:t>
        </m:r>
        <m:r>
          <w:rPr>
            <w:rFonts w:ascii="Cambria Math" w:hAnsi="Cambria Math"/>
            <w:sz w:val="28"/>
            <w:szCs w:val="28"/>
            <w:lang w:val="en-US"/>
          </w:rPr>
          <m:t>N</m:t>
        </m:r>
        <m:d>
          <m:dPr>
            <m:ctrlPr>
              <w:rPr>
                <w:rFonts w:ascii="Cambria Math" w:hAnsi="Cambria Math"/>
                <w:i/>
                <w:sz w:val="28"/>
                <w:szCs w:val="28"/>
                <w:lang w:val="en-US"/>
              </w:rPr>
            </m:ctrlPr>
          </m:dPr>
          <m:e>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ru-RU"/>
                  </w:rPr>
                  <m:t>2</m:t>
                </m:r>
              </m:sub>
            </m:sSub>
          </m:e>
        </m:d>
        <m:r>
          <w:rPr>
            <w:rFonts w:ascii="Cambria Math" w:hAnsi="Cambria Math"/>
            <w:sz w:val="28"/>
            <w:szCs w:val="28"/>
            <w:lang w:val="ru-RU"/>
          </w:rPr>
          <m:t>-</m:t>
        </m:r>
        <m:r>
          <w:rPr>
            <w:rFonts w:ascii="Cambria Math" w:hAnsi="Cambria Math"/>
            <w:sz w:val="28"/>
            <w:szCs w:val="28"/>
            <w:lang w:val="en-US"/>
          </w:rPr>
          <m:t>S</m:t>
        </m:r>
        <m:r>
          <w:rPr>
            <w:rFonts w:ascii="Cambria Math" w:hAnsi="Cambria Math"/>
            <w:sz w:val="28"/>
            <w:szCs w:val="28"/>
            <w:lang w:val="ru-RU"/>
          </w:rPr>
          <m:t>×</m:t>
        </m:r>
        <m:r>
          <w:rPr>
            <w:rFonts w:ascii="Cambria Math" w:hAnsi="Cambria Math"/>
            <w:sz w:val="28"/>
            <w:szCs w:val="28"/>
            <w:lang w:val="en-US"/>
          </w:rPr>
          <m:t>N</m:t>
        </m:r>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ru-RU"/>
              </w:rPr>
              <m:t>1</m:t>
            </m:r>
          </m:sub>
        </m:sSub>
      </m:oMath>
      <w:r w:rsidR="00590180" w:rsidRPr="00590180">
        <w:rPr>
          <w:sz w:val="28"/>
          <w:szCs w:val="28"/>
          <w:lang w:val="ru-RU"/>
        </w:rPr>
        <w:t>)</w:t>
      </w:r>
    </w:p>
    <w:p w14:paraId="16F7DA1C" w14:textId="15C5F3EC" w:rsidR="009102C9" w:rsidRPr="003F3940" w:rsidRDefault="00081AC0" w:rsidP="009102C9">
      <w:pPr>
        <w:pBdr>
          <w:top w:val="nil"/>
          <w:left w:val="nil"/>
          <w:bottom w:val="nil"/>
          <w:right w:val="nil"/>
          <w:between w:val="nil"/>
        </w:pBdr>
        <w:spacing w:before="2" w:line="360" w:lineRule="auto"/>
        <w:ind w:left="140" w:right="145" w:firstLine="708"/>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ru-RU"/>
                </w:rPr>
                <m:t>1</m:t>
              </m:r>
            </m:sub>
          </m:sSub>
          <m:r>
            <w:rPr>
              <w:rFonts w:ascii="Cambria Math" w:hAnsi="Cambria Math"/>
              <w:sz w:val="28"/>
              <w:szCs w:val="28"/>
              <w:lang w:val="ru-RU"/>
            </w:rPr>
            <m:t>=</m:t>
          </m:r>
          <m:f>
            <m:fPr>
              <m:ctrlPr>
                <w:rPr>
                  <w:rFonts w:ascii="Cambria Math" w:hAnsi="Cambria Math"/>
                  <w:i/>
                  <w:sz w:val="28"/>
                  <w:szCs w:val="28"/>
                  <w:lang w:val="en-US"/>
                </w:rPr>
              </m:ctrlPr>
            </m:fPr>
            <m:num>
              <m:func>
                <m:funcPr>
                  <m:ctrlPr>
                    <w:rPr>
                      <w:rFonts w:ascii="Cambria Math" w:hAnsi="Cambria Math"/>
                      <w:sz w:val="28"/>
                      <w:szCs w:val="28"/>
                      <w:lang w:val="en-US"/>
                    </w:rPr>
                  </m:ctrlPr>
                </m:funcPr>
                <m:fName>
                  <m:r>
                    <m:rPr>
                      <m:sty m:val="p"/>
                    </m:rPr>
                    <w:rPr>
                      <w:rFonts w:ascii="Cambria Math" w:hAnsi="Cambria Math"/>
                      <w:sz w:val="28"/>
                      <w:szCs w:val="28"/>
                      <w:lang w:val="en-US"/>
                    </w:rPr>
                    <m:t>ln</m:t>
                  </m:r>
                </m:fName>
                <m:e>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S</m:t>
                          </m:r>
                        </m:num>
                        <m:den>
                          <m:r>
                            <w:rPr>
                              <w:rFonts w:ascii="Cambria Math" w:hAnsi="Cambria Math"/>
                              <w:sz w:val="28"/>
                              <w:szCs w:val="28"/>
                              <w:lang w:val="en-US"/>
                            </w:rPr>
                            <m:t>X</m:t>
                          </m:r>
                        </m:den>
                      </m:f>
                    </m:e>
                  </m:d>
                </m:e>
              </m:func>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r>
                <w:rPr>
                  <w:rFonts w:ascii="Cambria Math" w:hAnsi="Cambria Math"/>
                  <w:sz w:val="28"/>
                  <w:szCs w:val="28"/>
                  <w:lang w:val="ru-RU"/>
                </w:rPr>
                <m:t>+</m:t>
              </m:r>
              <m:f>
                <m:fPr>
                  <m:ctrlPr>
                    <w:rPr>
                      <w:rFonts w:ascii="Cambria Math" w:hAnsi="Cambria Math"/>
                      <w:sz w:val="28"/>
                      <w:szCs w:val="28"/>
                      <w:lang w:val="en-US"/>
                    </w:rPr>
                  </m:ctrlPr>
                </m:fPr>
                <m:num>
                  <m:sSup>
                    <m:sSupPr>
                      <m:ctrlPr>
                        <w:rPr>
                          <w:rFonts w:ascii="Cambria Math" w:hAnsi="Cambria Math"/>
                          <w:sz w:val="28"/>
                          <w:szCs w:val="28"/>
                          <w:lang w:val="en-US"/>
                        </w:rPr>
                      </m:ctrlPr>
                    </m:sSupPr>
                    <m:e>
                      <m:r>
                        <m:rPr>
                          <m:sty m:val="p"/>
                        </m:rPr>
                        <w:rPr>
                          <w:rFonts w:ascii="Cambria Math" w:hAnsi="Cambria Math"/>
                          <w:sz w:val="28"/>
                          <w:szCs w:val="28"/>
                          <w:lang w:val="en-US"/>
                        </w:rPr>
                        <m:t>σ</m:t>
                      </m:r>
                      <m:ctrlPr>
                        <w:rPr>
                          <w:rFonts w:ascii="Cambria Math" w:hAnsi="Cambria Math"/>
                          <w:i/>
                          <w:sz w:val="28"/>
                          <w:szCs w:val="28"/>
                          <w:lang w:val="en-US"/>
                        </w:rPr>
                      </m:ctrlPr>
                    </m:e>
                    <m:sup>
                      <m:r>
                        <m:rPr>
                          <m:sty m:val="p"/>
                        </m:rPr>
                        <w:rPr>
                          <w:rFonts w:ascii="Cambria Math" w:hAnsi="Cambria Math"/>
                          <w:sz w:val="28"/>
                          <w:szCs w:val="28"/>
                          <w:lang w:val="ru-RU"/>
                        </w:rPr>
                        <m:t>2</m:t>
                      </m:r>
                    </m:sup>
                  </m:sSup>
                  <m:ctrlPr>
                    <w:rPr>
                      <w:rFonts w:ascii="Cambria Math" w:hAnsi="Cambria Math"/>
                      <w:i/>
                      <w:sz w:val="28"/>
                      <w:szCs w:val="28"/>
                      <w:lang w:val="en-US"/>
                    </w:rPr>
                  </m:ctrlPr>
                </m:num>
                <m:den>
                  <m:r>
                    <m:rPr>
                      <m:sty m:val="p"/>
                    </m:rPr>
                    <w:rPr>
                      <w:rFonts w:ascii="Cambria Math" w:hAnsi="Cambria Math"/>
                      <w:sz w:val="28"/>
                      <w:szCs w:val="28"/>
                      <w:lang w:val="ru-RU"/>
                    </w:rPr>
                    <m:t>2</m:t>
                  </m:r>
                </m:den>
              </m:f>
              <m:r>
                <m:rPr>
                  <m:sty m:val="p"/>
                </m:rPr>
                <w:rPr>
                  <w:rFonts w:ascii="Cambria Math"/>
                  <w:sz w:val="28"/>
                  <w:szCs w:val="28"/>
                  <w:lang w:val="ru-RU"/>
                </w:rPr>
                <m:t>)</m:t>
              </m:r>
              <m:r>
                <m:rPr>
                  <m:sty m:val="p"/>
                </m:rPr>
                <w:rPr>
                  <w:rFonts w:ascii="Cambria Math" w:hAnsi="Cambria Math"/>
                  <w:sz w:val="28"/>
                  <w:szCs w:val="28"/>
                  <w:lang w:val="ru-RU"/>
                </w:rPr>
                <m:t>×</m:t>
              </m:r>
              <m:r>
                <m:rPr>
                  <m:sty m:val="p"/>
                </m:rPr>
                <w:rPr>
                  <w:rFonts w:ascii="Cambria Math"/>
                  <w:sz w:val="28"/>
                  <w:szCs w:val="28"/>
                  <w:lang w:val="en-US"/>
                </w:rPr>
                <m:t>T</m:t>
              </m:r>
            </m:num>
            <m:den>
              <m:r>
                <m:rPr>
                  <m:sty m:val="p"/>
                </m:rPr>
                <w:rPr>
                  <w:rFonts w:ascii="Cambria Math" w:hAnsi="Cambria Math"/>
                  <w:sz w:val="28"/>
                  <w:szCs w:val="28"/>
                  <w:lang w:val="en-US"/>
                </w:rPr>
                <m:t>σ</m:t>
              </m:r>
              <m:r>
                <m:rPr>
                  <m:sty m:val="p"/>
                </m:rPr>
                <w:rPr>
                  <w:rFonts w:ascii="Cambria Math" w:hAnsi="Cambria Math"/>
                  <w:sz w:val="28"/>
                  <w:szCs w:val="28"/>
                  <w:lang w:val="ru-RU"/>
                </w:rPr>
                <m:t>·√</m:t>
              </m:r>
              <m:r>
                <m:rPr>
                  <m:sty m:val="p"/>
                </m:rPr>
                <w:rPr>
                  <w:rFonts w:ascii="Cambria Math" w:hAnsi="Cambria Math"/>
                  <w:sz w:val="28"/>
                  <w:szCs w:val="28"/>
                  <w:lang w:val="en-US"/>
                </w:rPr>
                <m:t>T</m:t>
              </m:r>
            </m:den>
          </m:f>
        </m:oMath>
      </m:oMathPara>
    </w:p>
    <w:p w14:paraId="5E94CB8C" w14:textId="3CD30F52" w:rsidR="003F3940" w:rsidRDefault="00081AC0" w:rsidP="009102C9">
      <w:pPr>
        <w:pBdr>
          <w:top w:val="nil"/>
          <w:left w:val="nil"/>
          <w:bottom w:val="nil"/>
          <w:right w:val="nil"/>
          <w:between w:val="nil"/>
        </w:pBdr>
        <w:spacing w:before="2" w:line="360" w:lineRule="auto"/>
        <w:ind w:left="140" w:right="145" w:firstLine="708"/>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1</m:t>
              </m:r>
            </m:sub>
          </m:sSub>
          <m:r>
            <w:rPr>
              <w:rFonts w:ascii="Cambria Math" w:hAnsi="Cambria Math"/>
              <w:sz w:val="28"/>
              <w:szCs w:val="28"/>
              <w:lang w:val="en-US"/>
            </w:rPr>
            <m:t>-</m:t>
          </m:r>
          <m:r>
            <m:rPr>
              <m:sty m:val="p"/>
            </m:rPr>
            <w:rPr>
              <w:rFonts w:ascii="Cambria Math" w:hAnsi="Cambria Math"/>
              <w:sz w:val="28"/>
              <w:szCs w:val="28"/>
              <w:lang w:val="en-US"/>
            </w:rPr>
            <m:t>σ·√T</m:t>
          </m:r>
        </m:oMath>
      </m:oMathPara>
    </w:p>
    <w:p w14:paraId="62144D36" w14:textId="77777777" w:rsidR="009102C9" w:rsidRPr="003F3940"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ru-RU"/>
        </w:rPr>
        <w:t xml:space="preserve">где </w:t>
      </w:r>
      <w:r w:rsidRPr="009102C9">
        <w:rPr>
          <w:sz w:val="28"/>
          <w:szCs w:val="28"/>
          <w:lang w:val="en-US"/>
        </w:rPr>
        <w:t>P</w:t>
      </w:r>
      <w:r w:rsidRPr="009102C9">
        <w:rPr>
          <w:sz w:val="28"/>
          <w:szCs w:val="28"/>
          <w:lang w:val="ru-RU"/>
        </w:rPr>
        <w:t xml:space="preserve"> — цена опциона пут, выражающая величину дисконта; </w:t>
      </w:r>
    </w:p>
    <w:p w14:paraId="03964AA6" w14:textId="77777777" w:rsidR="009102C9" w:rsidRPr="00A648EF"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t>S</w:t>
      </w:r>
      <w:r w:rsidRPr="009102C9">
        <w:rPr>
          <w:sz w:val="28"/>
          <w:szCs w:val="28"/>
          <w:lang w:val="ru-RU"/>
        </w:rPr>
        <w:t xml:space="preserve"> — стоимость доли на дату оценки; </w:t>
      </w:r>
    </w:p>
    <w:p w14:paraId="0662358C" w14:textId="77777777" w:rsidR="009102C9" w:rsidRPr="00A648EF"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t>X</w:t>
      </w:r>
      <w:r w:rsidRPr="009102C9">
        <w:rPr>
          <w:sz w:val="28"/>
          <w:szCs w:val="28"/>
          <w:lang w:val="ru-RU"/>
        </w:rPr>
        <w:t xml:space="preserve"> — цена исполнения; </w:t>
      </w:r>
    </w:p>
    <w:p w14:paraId="0821087E" w14:textId="77777777" w:rsidR="009102C9" w:rsidRPr="00A648EF"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t>T</w:t>
      </w:r>
      <w:r w:rsidRPr="009102C9">
        <w:rPr>
          <w:sz w:val="28"/>
          <w:szCs w:val="28"/>
          <w:lang w:val="ru-RU"/>
        </w:rPr>
        <w:t xml:space="preserve"> — ожидаемый срок до горизонта ликвидности; </w:t>
      </w:r>
    </w:p>
    <w:p w14:paraId="61DB450D" w14:textId="15E23C41" w:rsidR="009102C9" w:rsidRPr="00A648EF"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t>r</w:t>
      </w:r>
      <w:r w:rsidR="003F3940">
        <w:rPr>
          <w:sz w:val="28"/>
          <w:szCs w:val="28"/>
          <w:lang w:val="en-US"/>
        </w:rPr>
        <w:t>f</w:t>
      </w:r>
      <w:r w:rsidRPr="009102C9">
        <w:rPr>
          <w:sz w:val="28"/>
          <w:szCs w:val="28"/>
          <w:lang w:val="ru-RU"/>
        </w:rPr>
        <w:t xml:space="preserve"> — безрисковая ставка; </w:t>
      </w:r>
    </w:p>
    <w:p w14:paraId="57FAFFE9" w14:textId="77777777" w:rsidR="009102C9" w:rsidRPr="00A648EF"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lastRenderedPageBreak/>
        <w:t>σ</w:t>
      </w:r>
      <w:r w:rsidRPr="009102C9">
        <w:rPr>
          <w:sz w:val="28"/>
          <w:szCs w:val="28"/>
          <w:lang w:val="ru-RU"/>
        </w:rPr>
        <w:t xml:space="preserve"> — волатильность стоимости компании; </w:t>
      </w:r>
    </w:p>
    <w:p w14:paraId="6BAD3CB5" w14:textId="77777777" w:rsidR="005778E5" w:rsidRPr="005778E5" w:rsidRDefault="009102C9" w:rsidP="009102C9">
      <w:pPr>
        <w:pBdr>
          <w:top w:val="nil"/>
          <w:left w:val="nil"/>
          <w:bottom w:val="nil"/>
          <w:right w:val="nil"/>
          <w:between w:val="nil"/>
        </w:pBdr>
        <w:spacing w:before="2" w:line="360" w:lineRule="auto"/>
        <w:ind w:left="140" w:right="145" w:firstLine="708"/>
        <w:jc w:val="both"/>
        <w:rPr>
          <w:sz w:val="28"/>
          <w:szCs w:val="28"/>
          <w:lang w:val="ru-RU"/>
        </w:rPr>
      </w:pPr>
      <w:r w:rsidRPr="009102C9">
        <w:rPr>
          <w:sz w:val="28"/>
          <w:szCs w:val="28"/>
          <w:lang w:val="en-US"/>
        </w:rPr>
        <w:t>N</w:t>
      </w:r>
      <w:r w:rsidRPr="009102C9">
        <w:rPr>
          <w:sz w:val="28"/>
          <w:szCs w:val="28"/>
          <w:lang w:val="ru-RU"/>
        </w:rPr>
        <w:t>(·) — функция стандартного нормального распределения</w:t>
      </w:r>
      <w:r w:rsidR="005778E5" w:rsidRPr="005778E5">
        <w:rPr>
          <w:sz w:val="28"/>
          <w:szCs w:val="28"/>
          <w:lang w:val="ru-RU"/>
        </w:rPr>
        <w:t>;</w:t>
      </w:r>
    </w:p>
    <w:p w14:paraId="35401938" w14:textId="60E302A0" w:rsidR="009102C9" w:rsidRPr="005778E5" w:rsidRDefault="005778E5" w:rsidP="009102C9">
      <w:pPr>
        <w:pBdr>
          <w:top w:val="nil"/>
          <w:left w:val="nil"/>
          <w:bottom w:val="nil"/>
          <w:right w:val="nil"/>
          <w:between w:val="nil"/>
        </w:pBdr>
        <w:spacing w:before="2" w:line="360" w:lineRule="auto"/>
        <w:ind w:left="140" w:right="145" w:firstLine="708"/>
        <w:jc w:val="both"/>
        <w:rPr>
          <w:sz w:val="28"/>
          <w:szCs w:val="28"/>
          <w:lang w:val="ru-RU"/>
        </w:rPr>
      </w:pPr>
      <w:r w:rsidRPr="005778E5">
        <w:rPr>
          <w:sz w:val="28"/>
          <w:szCs w:val="28"/>
        </w:rPr>
        <w:t>d1 и d2 — вспомогательные величины, переводящие срок T, ставку r и волатильность σ в вероятностные веса N(d1) и N(d2)</w:t>
      </w:r>
      <w:r w:rsidRPr="005778E5">
        <w:rPr>
          <w:sz w:val="28"/>
          <w:szCs w:val="28"/>
          <w:lang w:val="ru-RU"/>
        </w:rPr>
        <w:t>.</w:t>
      </w:r>
      <w:r w:rsidR="009102C9" w:rsidRPr="009102C9">
        <w:rPr>
          <w:sz w:val="28"/>
          <w:szCs w:val="28"/>
          <w:lang w:val="ru-RU"/>
        </w:rPr>
        <w:t xml:space="preserve"> </w:t>
      </w:r>
    </w:p>
    <w:p w14:paraId="792ED2CF" w14:textId="28240433" w:rsidR="006D5BCA" w:rsidRPr="00C27719" w:rsidRDefault="007C3415" w:rsidP="00D751ED">
      <w:pPr>
        <w:pBdr>
          <w:top w:val="nil"/>
          <w:left w:val="nil"/>
          <w:bottom w:val="nil"/>
          <w:right w:val="nil"/>
          <w:between w:val="nil"/>
        </w:pBdr>
        <w:spacing w:before="2" w:line="360" w:lineRule="auto"/>
        <w:ind w:left="140" w:right="145" w:firstLine="708"/>
        <w:jc w:val="both"/>
        <w:rPr>
          <w:sz w:val="28"/>
          <w:szCs w:val="28"/>
          <w:lang w:val="ru-RU"/>
        </w:rPr>
      </w:pPr>
      <w:r w:rsidRPr="009A5850">
        <w:rPr>
          <w:sz w:val="28"/>
          <w:szCs w:val="28"/>
          <w:lang w:val="ru-RU"/>
        </w:rPr>
        <w:t xml:space="preserve">Модель </w:t>
      </w:r>
      <w:r w:rsidR="00574EE6" w:rsidRPr="009A5850">
        <w:rPr>
          <w:sz w:val="28"/>
          <w:szCs w:val="28"/>
          <w:lang w:val="ru-RU"/>
        </w:rPr>
        <w:t xml:space="preserve">Д. Шаффе </w:t>
      </w:r>
      <w:r w:rsidR="009102C9" w:rsidRPr="009A5850">
        <w:rPr>
          <w:sz w:val="28"/>
          <w:szCs w:val="28"/>
        </w:rPr>
        <w:t>приравнивает цену исполнения к стоимости доли на дату оценки</w:t>
      </w:r>
      <w:r w:rsidR="00AD5FD5" w:rsidRPr="009A5850">
        <w:rPr>
          <w:sz w:val="28"/>
          <w:szCs w:val="28"/>
          <w:lang w:val="ru-RU"/>
        </w:rPr>
        <w:t xml:space="preserve"> (</w:t>
      </w:r>
      <w:r w:rsidR="009102C9" w:rsidRPr="009A5850">
        <w:rPr>
          <w:sz w:val="28"/>
          <w:szCs w:val="28"/>
        </w:rPr>
        <w:t>X = S</w:t>
      </w:r>
      <w:r w:rsidR="00AD5FD5" w:rsidRPr="009A5850">
        <w:rPr>
          <w:sz w:val="28"/>
          <w:szCs w:val="28"/>
          <w:lang w:val="ru-RU"/>
        </w:rPr>
        <w:t xml:space="preserve">). </w:t>
      </w:r>
      <w:r w:rsidR="006D5BCA">
        <w:rPr>
          <w:sz w:val="28"/>
          <w:szCs w:val="28"/>
          <w:lang w:val="ru-RU"/>
        </w:rPr>
        <w:t xml:space="preserve">Тогда формула </w:t>
      </w:r>
      <w:r w:rsidR="00C27719">
        <w:rPr>
          <w:sz w:val="28"/>
          <w:szCs w:val="28"/>
          <w:lang w:val="en-US"/>
        </w:rPr>
        <w:t>DLOM</w:t>
      </w:r>
      <w:r w:rsidR="00C27719" w:rsidRPr="00C27719">
        <w:rPr>
          <w:sz w:val="28"/>
          <w:szCs w:val="28"/>
          <w:lang w:val="ru-RU"/>
        </w:rPr>
        <w:t xml:space="preserve"> </w:t>
      </w:r>
      <w:r w:rsidR="00C27719">
        <w:rPr>
          <w:sz w:val="28"/>
          <w:szCs w:val="28"/>
          <w:lang w:val="ru-RU"/>
        </w:rPr>
        <w:t xml:space="preserve">на базе этого опциона </w:t>
      </w:r>
      <w:r w:rsidR="006D5BCA">
        <w:rPr>
          <w:sz w:val="28"/>
          <w:szCs w:val="28"/>
          <w:lang w:val="ru-RU"/>
        </w:rPr>
        <w:t>приобретает следующий вид</w:t>
      </w:r>
      <w:r w:rsidR="006D5BCA" w:rsidRPr="00C27719">
        <w:rPr>
          <w:sz w:val="28"/>
          <w:szCs w:val="28"/>
          <w:lang w:val="ru-RU"/>
        </w:rPr>
        <w:t>:</w:t>
      </w:r>
    </w:p>
    <w:p w14:paraId="0E9C2358" w14:textId="4B935432" w:rsidR="006D5BCA" w:rsidRPr="00C27719" w:rsidRDefault="00C27719" w:rsidP="006D5BCA">
      <w:pPr>
        <w:pBdr>
          <w:top w:val="nil"/>
          <w:left w:val="nil"/>
          <w:bottom w:val="nil"/>
          <w:right w:val="nil"/>
          <w:between w:val="nil"/>
        </w:pBdr>
        <w:spacing w:before="2" w:line="360" w:lineRule="auto"/>
        <w:ind w:left="140" w:right="145" w:firstLine="708"/>
        <w:jc w:val="center"/>
        <w:rPr>
          <w:sz w:val="28"/>
          <w:szCs w:val="28"/>
          <w:lang w:val="ru-RU"/>
        </w:rPr>
      </w:pPr>
      <m:oMath>
        <m:r>
          <w:rPr>
            <w:rFonts w:ascii="Cambria Math" w:hAnsi="Cambria Math"/>
            <w:sz w:val="28"/>
            <w:szCs w:val="28"/>
            <w:lang w:val="en-US"/>
          </w:rPr>
          <m:t>DLOM</m:t>
        </m:r>
        <m:r>
          <w:rPr>
            <w:rFonts w:ascii="Cambria Math" w:hAnsi="Cambria Math"/>
            <w:sz w:val="28"/>
            <w:szCs w:val="28"/>
            <w:lang w:val="ru-RU"/>
          </w:rPr>
          <m:t>=</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r>
              <w:rPr>
                <w:rFonts w:ascii="Cambria Math" w:hAnsi="Cambria Math"/>
                <w:sz w:val="28"/>
                <w:szCs w:val="28"/>
                <w:lang w:val="ru-RU"/>
              </w:rPr>
              <m:t>×</m:t>
            </m:r>
            <m:r>
              <w:rPr>
                <w:rFonts w:ascii="Cambria Math" w:hAnsi="Cambria Math"/>
                <w:sz w:val="28"/>
                <w:szCs w:val="28"/>
                <w:lang w:val="en-US"/>
              </w:rPr>
              <m:t>T</m:t>
            </m:r>
            <m:r>
              <w:rPr>
                <w:rFonts w:ascii="Cambria Math" w:hAnsi="Cambria Math"/>
                <w:sz w:val="28"/>
                <w:szCs w:val="28"/>
                <w:lang w:val="ru-RU"/>
              </w:rPr>
              <m:t>)</m:t>
            </m:r>
          </m:sup>
        </m:sSup>
        <m:r>
          <w:rPr>
            <w:rFonts w:ascii="Cambria Math" w:hAnsi="Cambria Math"/>
            <w:sz w:val="28"/>
            <w:szCs w:val="28"/>
            <w:lang w:val="ru-RU"/>
          </w:rPr>
          <m:t>×</m:t>
        </m:r>
        <m:r>
          <w:rPr>
            <w:rFonts w:ascii="Cambria Math" w:hAnsi="Cambria Math"/>
            <w:sz w:val="28"/>
            <w:szCs w:val="28"/>
            <w:lang w:val="en-US"/>
          </w:rPr>
          <m:t>N</m:t>
        </m:r>
        <m:d>
          <m:dPr>
            <m:ctrlPr>
              <w:rPr>
                <w:rFonts w:ascii="Cambria Math" w:hAnsi="Cambria Math"/>
                <w:i/>
                <w:sz w:val="28"/>
                <w:szCs w:val="28"/>
                <w:lang w:val="en-US"/>
              </w:rPr>
            </m:ctrlPr>
          </m:dPr>
          <m:e>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ru-RU"/>
                  </w:rPr>
                  <m:t>2</m:t>
                </m:r>
              </m:sub>
            </m:sSub>
          </m:e>
        </m:d>
        <m:r>
          <w:rPr>
            <w:rFonts w:ascii="Cambria Math" w:hAnsi="Cambria Math"/>
            <w:sz w:val="28"/>
            <w:szCs w:val="28"/>
            <w:lang w:val="ru-RU"/>
          </w:rPr>
          <m:t>-</m:t>
        </m:r>
        <m:r>
          <w:rPr>
            <w:rFonts w:ascii="Cambria Math" w:hAnsi="Cambria Math"/>
            <w:sz w:val="28"/>
            <w:szCs w:val="28"/>
            <w:lang w:val="en-US"/>
          </w:rPr>
          <m:t>N</m:t>
        </m:r>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ru-RU"/>
              </w:rPr>
              <m:t>1</m:t>
            </m:r>
          </m:sub>
        </m:sSub>
      </m:oMath>
      <w:r w:rsidR="006D5BCA" w:rsidRPr="00C27719">
        <w:rPr>
          <w:sz w:val="28"/>
          <w:szCs w:val="28"/>
          <w:lang w:val="ru-RU"/>
        </w:rPr>
        <w:t>)</w:t>
      </w:r>
    </w:p>
    <w:p w14:paraId="43371588" w14:textId="145A45F7" w:rsidR="00D751ED" w:rsidRDefault="00AD5FD5" w:rsidP="00D751ED">
      <w:pPr>
        <w:pBdr>
          <w:top w:val="nil"/>
          <w:left w:val="nil"/>
          <w:bottom w:val="nil"/>
          <w:right w:val="nil"/>
          <w:between w:val="nil"/>
        </w:pBdr>
        <w:spacing w:before="2" w:line="360" w:lineRule="auto"/>
        <w:ind w:left="140" w:right="145" w:firstLine="708"/>
        <w:jc w:val="both"/>
        <w:rPr>
          <w:sz w:val="28"/>
          <w:szCs w:val="28"/>
          <w:lang w:val="ru-RU"/>
        </w:rPr>
      </w:pPr>
      <w:r w:rsidRPr="009A5850">
        <w:rPr>
          <w:sz w:val="28"/>
          <w:szCs w:val="28"/>
          <w:lang w:val="ru-RU"/>
        </w:rPr>
        <w:t>Такой</w:t>
      </w:r>
      <w:r w:rsidR="009102C9" w:rsidRPr="009A5850">
        <w:rPr>
          <w:sz w:val="28"/>
          <w:szCs w:val="28"/>
        </w:rPr>
        <w:t xml:space="preserve"> опцион «при своих» защища</w:t>
      </w:r>
      <w:r w:rsidRPr="009A5850">
        <w:rPr>
          <w:sz w:val="28"/>
          <w:szCs w:val="28"/>
          <w:lang w:val="ru-RU"/>
        </w:rPr>
        <w:t>ет</w:t>
      </w:r>
      <w:r w:rsidR="009102C9" w:rsidRPr="009A5850">
        <w:rPr>
          <w:sz w:val="28"/>
          <w:szCs w:val="28"/>
        </w:rPr>
        <w:t xml:space="preserve"> только от падения стоимости ниже текущего уровня</w:t>
      </w:r>
      <w:r w:rsidR="00D751ED">
        <w:rPr>
          <w:sz w:val="28"/>
          <w:szCs w:val="28"/>
          <w:lang w:val="ru-RU"/>
        </w:rPr>
        <w:t xml:space="preserve"> и </w:t>
      </w:r>
      <w:r w:rsidR="009102C9" w:rsidRPr="009A5850">
        <w:rPr>
          <w:sz w:val="28"/>
          <w:szCs w:val="28"/>
        </w:rPr>
        <w:t>даёт наиболее консервативную из всех оценку дисконта</w:t>
      </w:r>
      <w:r w:rsidR="00D751ED">
        <w:rPr>
          <w:sz w:val="28"/>
          <w:szCs w:val="28"/>
          <w:lang w:val="ru-RU"/>
        </w:rPr>
        <w:t>.</w:t>
      </w:r>
    </w:p>
    <w:p w14:paraId="27F918D5" w14:textId="77777777" w:rsidR="00D751ED" w:rsidRDefault="007C3415" w:rsidP="00D751ED">
      <w:pPr>
        <w:pBdr>
          <w:top w:val="nil"/>
          <w:left w:val="nil"/>
          <w:bottom w:val="nil"/>
          <w:right w:val="nil"/>
          <w:between w:val="nil"/>
        </w:pBdr>
        <w:spacing w:before="2" w:line="360" w:lineRule="auto"/>
        <w:ind w:left="140" w:right="145" w:firstLine="708"/>
        <w:jc w:val="both"/>
        <w:rPr>
          <w:sz w:val="28"/>
          <w:szCs w:val="28"/>
          <w:lang w:val="ru-RU"/>
        </w:rPr>
      </w:pPr>
      <w:r w:rsidRPr="00D751ED">
        <w:rPr>
          <w:sz w:val="28"/>
          <w:szCs w:val="28"/>
          <w:lang w:val="ru-RU"/>
        </w:rPr>
        <w:t xml:space="preserve">Модель </w:t>
      </w:r>
      <w:r w:rsidR="00574EE6" w:rsidRPr="00D751ED">
        <w:rPr>
          <w:sz w:val="28"/>
          <w:szCs w:val="28"/>
          <w:lang w:val="ru-RU"/>
        </w:rPr>
        <w:t>Ф. Лонгстафф</w:t>
      </w:r>
      <w:r>
        <w:rPr>
          <w:rStyle w:val="a7"/>
          <w:sz w:val="28"/>
          <w:szCs w:val="28"/>
          <w:lang w:val="ru-RU"/>
        </w:rPr>
        <w:footnoteReference w:id="186"/>
      </w:r>
      <w:r w:rsidR="00574EE6" w:rsidRPr="00D751ED">
        <w:rPr>
          <w:sz w:val="28"/>
          <w:szCs w:val="28"/>
          <w:lang w:val="ru-RU"/>
        </w:rPr>
        <w:t xml:space="preserve"> </w:t>
      </w:r>
      <w:r w:rsidR="00DB5B02" w:rsidRPr="00D751ED">
        <w:rPr>
          <w:sz w:val="28"/>
          <w:szCs w:val="28"/>
        </w:rPr>
        <w:t>заменяет фиксированную цену исполнения на максимальную стоимость доли за период ожидания</w:t>
      </w:r>
      <w:r w:rsidR="00AD5FD5" w:rsidRPr="00D751ED">
        <w:rPr>
          <w:sz w:val="28"/>
          <w:szCs w:val="28"/>
          <w:lang w:val="ru-RU"/>
        </w:rPr>
        <w:t xml:space="preserve"> (</w:t>
      </w:r>
      <w:r w:rsidR="00DB5B02" w:rsidRPr="00D751ED">
        <w:rPr>
          <w:sz w:val="28"/>
          <w:szCs w:val="28"/>
        </w:rPr>
        <w:t>X = Smax</w:t>
      </w:r>
      <w:r w:rsidR="00AD5FD5" w:rsidRPr="00D751ED">
        <w:rPr>
          <w:sz w:val="28"/>
          <w:szCs w:val="28"/>
          <w:lang w:val="ru-RU"/>
        </w:rPr>
        <w:t>).</w:t>
      </w:r>
      <w:r w:rsidR="00DB5B02" w:rsidRPr="00D751ED">
        <w:rPr>
          <w:sz w:val="28"/>
          <w:szCs w:val="28"/>
        </w:rPr>
        <w:t xml:space="preserve"> </w:t>
      </w:r>
      <w:r w:rsidR="00AD5FD5" w:rsidRPr="00D751ED">
        <w:rPr>
          <w:sz w:val="28"/>
          <w:szCs w:val="28"/>
          <w:lang w:val="ru-RU"/>
        </w:rPr>
        <w:t>Расчет</w:t>
      </w:r>
      <w:r w:rsidR="00DB5B02" w:rsidRPr="00D751ED">
        <w:rPr>
          <w:sz w:val="28"/>
          <w:szCs w:val="28"/>
        </w:rPr>
        <w:t xml:space="preserve"> требует уже не базовой формулы Блэка-Шоулза, а модели ценообразования опциона с плавающим страйком (lookback put). Опцион компенсирует упущенную выгоду от невозможности продать актив в момент его максимальной стоимости, и результат трактуется как верхняя граница дисконта</w:t>
      </w:r>
      <w:r w:rsidR="00D751ED">
        <w:rPr>
          <w:sz w:val="28"/>
          <w:szCs w:val="28"/>
          <w:lang w:val="ru-RU"/>
        </w:rPr>
        <w:t>.</w:t>
      </w:r>
    </w:p>
    <w:p w14:paraId="6C8A74FC" w14:textId="57576103" w:rsidR="00574EE6" w:rsidRPr="00D751ED" w:rsidRDefault="00D751ED" w:rsidP="00D751ED">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Последний вид опционной м</w:t>
      </w:r>
      <w:r w:rsidR="007C3415" w:rsidRPr="00D751ED">
        <w:rPr>
          <w:sz w:val="28"/>
          <w:szCs w:val="28"/>
          <w:lang w:val="ru-RU"/>
        </w:rPr>
        <w:t xml:space="preserve">одели </w:t>
      </w:r>
      <w:r w:rsidR="00574EE6" w:rsidRPr="00D751ED">
        <w:rPr>
          <w:sz w:val="28"/>
          <w:szCs w:val="28"/>
          <w:lang w:val="ru-RU"/>
        </w:rPr>
        <w:t>Дж. Финнерти</w:t>
      </w:r>
      <w:r w:rsidR="007C3415">
        <w:rPr>
          <w:rStyle w:val="a7"/>
          <w:sz w:val="28"/>
          <w:szCs w:val="28"/>
          <w:lang w:val="ru-RU"/>
        </w:rPr>
        <w:footnoteReference w:id="187"/>
      </w:r>
      <w:r w:rsidR="00574EE6" w:rsidRPr="00D751ED">
        <w:rPr>
          <w:sz w:val="28"/>
          <w:szCs w:val="28"/>
          <w:lang w:val="ru-RU"/>
        </w:rPr>
        <w:t xml:space="preserve"> и С. Гайдаров</w:t>
      </w:r>
      <w:r w:rsidR="007C3415" w:rsidRPr="00D751ED">
        <w:rPr>
          <w:sz w:val="28"/>
          <w:szCs w:val="28"/>
          <w:lang w:val="ru-RU"/>
        </w:rPr>
        <w:t>а</w:t>
      </w:r>
      <w:r w:rsidR="007C3415">
        <w:rPr>
          <w:rStyle w:val="a7"/>
          <w:sz w:val="28"/>
          <w:szCs w:val="28"/>
          <w:lang w:val="ru-RU"/>
        </w:rPr>
        <w:footnoteReference w:id="188"/>
      </w:r>
      <w:r w:rsidR="007C3415" w:rsidRPr="00D751ED">
        <w:rPr>
          <w:sz w:val="28"/>
          <w:szCs w:val="28"/>
          <w:vertAlign w:val="superscript"/>
          <w:lang w:val="ru-RU"/>
        </w:rPr>
        <w:t xml:space="preserve"> </w:t>
      </w:r>
      <w:r w:rsidR="00DB5B02" w:rsidRPr="00D751ED">
        <w:rPr>
          <w:sz w:val="28"/>
          <w:szCs w:val="28"/>
        </w:rPr>
        <w:t>используют в качестве цены исполнения среднюю стоимость доли за период, X = Sсредн, что также требует отдельного ценообразования (average-strike put), а не прямой подстановки в формулу Блэка-Шоулза. Гайдаров показал, что при длительных сроках ограничения формула Финнерти превышает теоретически возможный верхний предел дисконта, и предложил скорректированную версию расчёта</w:t>
      </w:r>
      <w:r w:rsidR="00574EE6" w:rsidRPr="00D751ED">
        <w:rPr>
          <w:sz w:val="28"/>
          <w:szCs w:val="28"/>
          <w:lang w:val="ru-RU"/>
        </w:rPr>
        <w:t>.</w:t>
      </w:r>
    </w:p>
    <w:p w14:paraId="1BB63919" w14:textId="42E2069F" w:rsidR="00DB5B02" w:rsidRPr="00A648EF" w:rsidRDefault="005A1D33" w:rsidP="005A1D33">
      <w:pPr>
        <w:pBdr>
          <w:top w:val="nil"/>
          <w:left w:val="nil"/>
          <w:bottom w:val="nil"/>
          <w:right w:val="nil"/>
          <w:between w:val="nil"/>
        </w:pBdr>
        <w:spacing w:before="2" w:line="360" w:lineRule="auto"/>
        <w:ind w:left="140" w:right="145" w:firstLine="708"/>
        <w:jc w:val="both"/>
        <w:rPr>
          <w:sz w:val="28"/>
          <w:szCs w:val="28"/>
          <w:lang w:val="ru-RU"/>
        </w:rPr>
      </w:pPr>
      <w:r w:rsidRPr="005A1D33">
        <w:rPr>
          <w:sz w:val="28"/>
          <w:szCs w:val="28"/>
        </w:rPr>
        <w:t xml:space="preserve">Выбор конкретной модели остаётся за оценщиком. Но </w:t>
      </w:r>
      <w:r>
        <w:rPr>
          <w:sz w:val="28"/>
          <w:szCs w:val="28"/>
          <w:lang w:val="ru-RU"/>
        </w:rPr>
        <w:t xml:space="preserve">все модели, </w:t>
      </w:r>
      <w:r w:rsidRPr="005A1D33">
        <w:rPr>
          <w:sz w:val="28"/>
          <w:szCs w:val="28"/>
        </w:rPr>
        <w:t>в отличие от справочных коэффициентов</w:t>
      </w:r>
      <w:r>
        <w:rPr>
          <w:sz w:val="28"/>
          <w:szCs w:val="28"/>
          <w:lang w:val="ru-RU"/>
        </w:rPr>
        <w:t>,</w:t>
      </w:r>
      <w:r w:rsidRPr="005A1D33">
        <w:rPr>
          <w:sz w:val="28"/>
          <w:szCs w:val="28"/>
        </w:rPr>
        <w:t xml:space="preserve"> связывают величину дисконта с одними и теми же наблюдаемыми параметрами: сроком до ликвидности и волатильностью.</w:t>
      </w:r>
      <w:r>
        <w:rPr>
          <w:sz w:val="28"/>
          <w:szCs w:val="28"/>
          <w:lang w:val="ru-RU"/>
        </w:rPr>
        <w:t xml:space="preserve"> </w:t>
      </w:r>
      <w:r w:rsidR="00756AE4">
        <w:rPr>
          <w:sz w:val="28"/>
          <w:szCs w:val="28"/>
          <w:lang w:val="ru-RU"/>
        </w:rPr>
        <w:t>Н</w:t>
      </w:r>
      <w:r>
        <w:rPr>
          <w:sz w:val="28"/>
          <w:szCs w:val="28"/>
          <w:lang w:val="ru-RU"/>
        </w:rPr>
        <w:t>есмотря на</w:t>
      </w:r>
      <w:r w:rsidR="00DB5B02" w:rsidRPr="00DB5B02">
        <w:rPr>
          <w:sz w:val="28"/>
          <w:szCs w:val="28"/>
        </w:rPr>
        <w:t xml:space="preserve"> различи</w:t>
      </w:r>
      <w:r>
        <w:rPr>
          <w:sz w:val="28"/>
          <w:szCs w:val="28"/>
          <w:lang w:val="ru-RU"/>
        </w:rPr>
        <w:t>я</w:t>
      </w:r>
      <w:r w:rsidR="00DB5B02" w:rsidRPr="00DB5B02">
        <w:rPr>
          <w:sz w:val="28"/>
          <w:szCs w:val="28"/>
        </w:rPr>
        <w:t xml:space="preserve"> в конструкции</w:t>
      </w:r>
      <w:r>
        <w:rPr>
          <w:sz w:val="28"/>
          <w:szCs w:val="28"/>
          <w:lang w:val="ru-RU"/>
        </w:rPr>
        <w:t>,</w:t>
      </w:r>
      <w:r w:rsidR="00DB5B02" w:rsidRPr="00DB5B02">
        <w:rPr>
          <w:sz w:val="28"/>
          <w:szCs w:val="28"/>
        </w:rPr>
        <w:t xml:space="preserve"> ни одна из перечисленных моделей не свободна от </w:t>
      </w:r>
      <w:r w:rsidR="00DB5B02" w:rsidRPr="00DB5B02">
        <w:rPr>
          <w:sz w:val="28"/>
          <w:szCs w:val="28"/>
        </w:rPr>
        <w:lastRenderedPageBreak/>
        <w:t>экспертного усмотрения. Волатильность σ, общая для всех четырёх, реконструируется по компаниям-аналогам</w:t>
      </w:r>
      <w:r w:rsidR="00DB5B02">
        <w:rPr>
          <w:sz w:val="28"/>
          <w:szCs w:val="28"/>
          <w:lang w:val="ru-RU"/>
        </w:rPr>
        <w:t>, т.е.</w:t>
      </w:r>
      <w:r w:rsidR="00DB5B02" w:rsidRPr="00DB5B02">
        <w:rPr>
          <w:sz w:val="28"/>
          <w:szCs w:val="28"/>
        </w:rPr>
        <w:t xml:space="preserve"> тем же способом и с теми же ограничениями выбора, что и бета в §1.4</w:t>
      </w:r>
      <w:r w:rsidR="00DB5B02">
        <w:rPr>
          <w:sz w:val="28"/>
          <w:szCs w:val="28"/>
          <w:lang w:val="ru-RU"/>
        </w:rPr>
        <w:t>.</w:t>
      </w:r>
      <w:r w:rsidR="00304DEF">
        <w:rPr>
          <w:sz w:val="28"/>
          <w:szCs w:val="28"/>
          <w:lang w:val="ru-RU"/>
        </w:rPr>
        <w:t xml:space="preserve"> По этой причине</w:t>
      </w:r>
      <w:r w:rsidR="00304DEF" w:rsidRPr="00304DEF">
        <w:rPr>
          <w:sz w:val="28"/>
          <w:szCs w:val="28"/>
        </w:rPr>
        <w:t xml:space="preserve"> применимость всей группы опционных моделей ограничена теми же условиями: отсутствие сопоставимых публичных аналогов делает реконструкцию σ невозможной в принципе, а не только неточной.</w:t>
      </w:r>
      <w:r w:rsidR="00DB5B02">
        <w:rPr>
          <w:sz w:val="28"/>
          <w:szCs w:val="28"/>
          <w:lang w:val="ru-RU"/>
        </w:rPr>
        <w:t xml:space="preserve"> С</w:t>
      </w:r>
      <w:r w:rsidR="00DB5B02" w:rsidRPr="00DB5B02">
        <w:rPr>
          <w:sz w:val="28"/>
          <w:szCs w:val="28"/>
        </w:rPr>
        <w:t>рок T</w:t>
      </w:r>
      <w:r w:rsidR="00DB5B02">
        <w:rPr>
          <w:sz w:val="28"/>
          <w:szCs w:val="28"/>
          <w:lang w:val="ru-RU"/>
        </w:rPr>
        <w:t xml:space="preserve"> в свою очередь</w:t>
      </w:r>
      <w:r w:rsidR="00DB5B02" w:rsidRPr="00DB5B02">
        <w:rPr>
          <w:sz w:val="28"/>
          <w:szCs w:val="28"/>
        </w:rPr>
        <w:t xml:space="preserve"> задаётся оценщиком исходя из типичной практики фондов, поскольку для конкретной доли он документально не зафиксирован. </w:t>
      </w:r>
      <w:r w:rsidR="00DB5B02">
        <w:rPr>
          <w:sz w:val="28"/>
          <w:szCs w:val="28"/>
          <w:lang w:val="ru-RU"/>
        </w:rPr>
        <w:t>К</w:t>
      </w:r>
      <w:r w:rsidR="00DB5B02" w:rsidRPr="00DB5B02">
        <w:rPr>
          <w:sz w:val="28"/>
          <w:szCs w:val="28"/>
        </w:rPr>
        <w:t>роме того</w:t>
      </w:r>
      <w:r w:rsidR="00DB5B02">
        <w:rPr>
          <w:sz w:val="28"/>
          <w:szCs w:val="28"/>
          <w:lang w:val="ru-RU"/>
        </w:rPr>
        <w:t>,</w:t>
      </w:r>
      <w:r w:rsidR="00DB5B02" w:rsidRPr="00DB5B02">
        <w:rPr>
          <w:sz w:val="28"/>
          <w:szCs w:val="28"/>
        </w:rPr>
        <w:t xml:space="preserve"> формула Блэка-Шоулза, лежащая в основе модели Шаффе, предполагает постоянство волатильности на протяжении всего срока и возможность непрерывной торговли базовым активом</w:t>
      </w:r>
      <w:r w:rsidR="00DB5B02">
        <w:rPr>
          <w:sz w:val="28"/>
          <w:szCs w:val="28"/>
          <w:lang w:val="ru-RU"/>
        </w:rPr>
        <w:t>. Но эти</w:t>
      </w:r>
      <w:r w:rsidR="00DB5B02" w:rsidRPr="00DB5B02">
        <w:rPr>
          <w:sz w:val="28"/>
          <w:szCs w:val="28"/>
        </w:rPr>
        <w:t xml:space="preserve"> условия</w:t>
      </w:r>
      <w:r w:rsidR="00DB5B02">
        <w:rPr>
          <w:sz w:val="28"/>
          <w:szCs w:val="28"/>
          <w:lang w:val="ru-RU"/>
        </w:rPr>
        <w:t xml:space="preserve"> </w:t>
      </w:r>
      <w:r w:rsidR="00DB5B02" w:rsidRPr="00DB5B02">
        <w:rPr>
          <w:sz w:val="28"/>
          <w:szCs w:val="28"/>
        </w:rPr>
        <w:t>для доли непубличной компании выполняю</w:t>
      </w:r>
      <w:r w:rsidR="00DB5B02">
        <w:rPr>
          <w:sz w:val="28"/>
          <w:szCs w:val="28"/>
          <w:lang w:val="ru-RU"/>
        </w:rPr>
        <w:t>тся</w:t>
      </w:r>
      <w:r w:rsidR="00DB5B02" w:rsidRPr="00DB5B02">
        <w:rPr>
          <w:sz w:val="28"/>
          <w:szCs w:val="28"/>
        </w:rPr>
        <w:t xml:space="preserve"> лишь условно, поскольку рынка, на котором ею можно было бы торговать, не существует. Формализация</w:t>
      </w:r>
      <w:r w:rsidR="00DB5B02">
        <w:rPr>
          <w:sz w:val="28"/>
          <w:szCs w:val="28"/>
          <w:lang w:val="ru-RU"/>
        </w:rPr>
        <w:t xml:space="preserve"> расчета</w:t>
      </w:r>
      <w:r w:rsidR="00DB5B02" w:rsidRPr="00DB5B02">
        <w:rPr>
          <w:sz w:val="28"/>
          <w:szCs w:val="28"/>
        </w:rPr>
        <w:t xml:space="preserve"> здесь снижает степень произвола, но не устраняет его: место экспертного суждения перемещается с итоговой цифры дисконта на входные параметры расчёта </w:t>
      </w:r>
      <w:r>
        <w:rPr>
          <w:sz w:val="28"/>
          <w:szCs w:val="28"/>
          <w:lang w:val="ru-RU"/>
        </w:rPr>
        <w:t>(</w:t>
      </w:r>
      <w:r w:rsidR="00DB5B02" w:rsidRPr="00DB5B02">
        <w:rPr>
          <w:sz w:val="28"/>
          <w:szCs w:val="28"/>
        </w:rPr>
        <w:t>тот же эффект, что даёт H-модель в отношении терминальной стоимости</w:t>
      </w:r>
      <w:r>
        <w:rPr>
          <w:sz w:val="28"/>
          <w:szCs w:val="28"/>
          <w:lang w:val="ru-RU"/>
        </w:rPr>
        <w:t>)</w:t>
      </w:r>
      <w:r w:rsidR="00DB5B02" w:rsidRPr="00DB5B02">
        <w:rPr>
          <w:sz w:val="28"/>
          <w:szCs w:val="28"/>
        </w:rPr>
        <w:t>.</w:t>
      </w:r>
      <w:r w:rsidR="00AB110A">
        <w:rPr>
          <w:sz w:val="28"/>
          <w:szCs w:val="28"/>
          <w:lang w:val="ru-RU"/>
        </w:rPr>
        <w:t xml:space="preserve"> </w:t>
      </w:r>
    </w:p>
    <w:p w14:paraId="42A7AA73" w14:textId="297F01B2" w:rsidR="005A1D33" w:rsidRPr="005A1D33" w:rsidRDefault="005A1D33" w:rsidP="005A1D33">
      <w:pPr>
        <w:pBdr>
          <w:top w:val="nil"/>
          <w:left w:val="nil"/>
          <w:bottom w:val="nil"/>
          <w:right w:val="nil"/>
          <w:between w:val="nil"/>
        </w:pBdr>
        <w:spacing w:before="2" w:line="360" w:lineRule="auto"/>
        <w:ind w:left="140" w:right="145" w:firstLine="708"/>
        <w:jc w:val="both"/>
        <w:rPr>
          <w:sz w:val="28"/>
          <w:szCs w:val="28"/>
          <w:lang w:val="ru-RU"/>
        </w:rPr>
      </w:pPr>
      <w:r w:rsidRPr="005A1D33">
        <w:rPr>
          <w:sz w:val="28"/>
          <w:szCs w:val="28"/>
        </w:rPr>
        <w:t xml:space="preserve">Из рассмотренных моделей для дальнейших расчётов настоящего исследования выбрана модель Шаффе как наиболее консервативная. Такой выбор оправдан двумя обстоятельствами. Во-первых, эмпирический материал настоящего исследования систематически фиксирует переоценку компаний на этапе </w:t>
      </w:r>
      <w:r w:rsidR="00756AE4">
        <w:rPr>
          <w:sz w:val="28"/>
          <w:szCs w:val="28"/>
          <w:lang w:val="ru-RU"/>
        </w:rPr>
        <w:t xml:space="preserve">первичного </w:t>
      </w:r>
      <w:r w:rsidRPr="005A1D33">
        <w:rPr>
          <w:sz w:val="28"/>
          <w:szCs w:val="28"/>
        </w:rPr>
        <w:t>размещения, а не их занижение</w:t>
      </w:r>
      <w:r w:rsidR="003C666D" w:rsidRPr="003C666D">
        <w:rPr>
          <w:sz w:val="28"/>
          <w:szCs w:val="28"/>
          <w:lang w:val="ru-RU"/>
        </w:rPr>
        <w:t xml:space="preserve">. </w:t>
      </w:r>
      <w:r w:rsidR="003C666D">
        <w:rPr>
          <w:sz w:val="28"/>
          <w:szCs w:val="28"/>
          <w:lang w:val="ru-RU"/>
        </w:rPr>
        <w:t>В</w:t>
      </w:r>
      <w:r w:rsidRPr="005A1D33">
        <w:rPr>
          <w:sz w:val="28"/>
          <w:szCs w:val="28"/>
        </w:rPr>
        <w:t xml:space="preserve"> этих условиях методически последовательно не закладывать в расчёт дополнительный оптимизм и на стороне дисконта за неликвидность. Во-вторых, у непубличной компании нет собственной истории котировок, позволяющей обоснованно выбрать между более широким набором допущений, которые используют альтернативные модели, </w:t>
      </w:r>
      <w:r w:rsidR="003C666D">
        <w:rPr>
          <w:sz w:val="28"/>
          <w:szCs w:val="28"/>
          <w:lang w:val="ru-RU"/>
        </w:rPr>
        <w:t>такие как</w:t>
      </w:r>
      <w:r w:rsidRPr="005A1D33">
        <w:rPr>
          <w:sz w:val="28"/>
          <w:szCs w:val="28"/>
        </w:rPr>
        <w:t xml:space="preserve"> упущенную максимальную либо среднюю стоимость доли за период ожидания</w:t>
      </w:r>
      <w:r w:rsidR="003C666D">
        <w:rPr>
          <w:sz w:val="28"/>
          <w:szCs w:val="28"/>
          <w:lang w:val="ru-RU"/>
        </w:rPr>
        <w:t>.</w:t>
      </w:r>
      <w:r w:rsidRPr="005A1D33">
        <w:rPr>
          <w:sz w:val="28"/>
          <w:szCs w:val="28"/>
        </w:rPr>
        <w:t xml:space="preserve"> </w:t>
      </w:r>
      <w:r w:rsidR="003C666D">
        <w:rPr>
          <w:sz w:val="28"/>
          <w:szCs w:val="28"/>
          <w:lang w:val="ru-RU"/>
        </w:rPr>
        <w:t>П</w:t>
      </w:r>
      <w:r w:rsidRPr="005A1D33">
        <w:rPr>
          <w:sz w:val="28"/>
          <w:szCs w:val="28"/>
        </w:rPr>
        <w:t>ри отсутствии оснований для такого выбора предпочтение консервативной оценке снижает риск занижения дисконта.</w:t>
      </w:r>
    </w:p>
    <w:p w14:paraId="2CEA69C9" w14:textId="5270BCDE" w:rsidR="007F1352" w:rsidRPr="007F1352" w:rsidRDefault="007F1352" w:rsidP="007F1352">
      <w:pPr>
        <w:pBdr>
          <w:top w:val="nil"/>
          <w:left w:val="nil"/>
          <w:bottom w:val="nil"/>
          <w:right w:val="nil"/>
          <w:between w:val="nil"/>
        </w:pBdr>
        <w:spacing w:before="2" w:line="360" w:lineRule="auto"/>
        <w:ind w:left="140" w:right="145" w:firstLine="708"/>
        <w:jc w:val="both"/>
        <w:rPr>
          <w:sz w:val="28"/>
          <w:szCs w:val="28"/>
          <w:lang w:val="ru-RU"/>
        </w:rPr>
      </w:pPr>
      <w:r w:rsidRPr="007F1352">
        <w:rPr>
          <w:sz w:val="28"/>
          <w:szCs w:val="28"/>
          <w:lang w:val="ru-RU"/>
        </w:rPr>
        <w:t>Таким образом, премия за специфический риск и дисконт за неликвидность происходят из одной традиции и страдают дефектом одного типа, но в разной степени: премия присваивается оценщиком напрямую, без процедуры взвешивания, а дисконт в опционных моделях уже рассчитывается формулой</w:t>
      </w:r>
      <w:r>
        <w:rPr>
          <w:sz w:val="28"/>
          <w:szCs w:val="28"/>
          <w:lang w:val="ru-RU"/>
        </w:rPr>
        <w:t>,</w:t>
      </w:r>
      <w:r w:rsidRPr="007F1352">
        <w:rPr>
          <w:sz w:val="28"/>
          <w:szCs w:val="28"/>
          <w:lang w:val="ru-RU"/>
        </w:rPr>
        <w:t xml:space="preserve"> </w:t>
      </w:r>
      <w:r w:rsidRPr="007F1352">
        <w:rPr>
          <w:sz w:val="28"/>
          <w:szCs w:val="28"/>
          <w:lang w:val="ru-RU"/>
        </w:rPr>
        <w:lastRenderedPageBreak/>
        <w:t>однако её входные параметры, волатильность и срок, по-прежнему определяются экспертно, как и бета в §1.4.</w:t>
      </w:r>
    </w:p>
    <w:p w14:paraId="02A76F91" w14:textId="326FC74D" w:rsidR="007F1352" w:rsidRPr="007F1352" w:rsidRDefault="007F1352" w:rsidP="007F1352">
      <w:pPr>
        <w:pBdr>
          <w:top w:val="nil"/>
          <w:left w:val="nil"/>
          <w:bottom w:val="nil"/>
          <w:right w:val="nil"/>
          <w:between w:val="nil"/>
        </w:pBdr>
        <w:spacing w:before="2" w:line="360" w:lineRule="auto"/>
        <w:ind w:left="140" w:right="145" w:firstLine="708"/>
        <w:jc w:val="both"/>
        <w:rPr>
          <w:sz w:val="28"/>
          <w:szCs w:val="28"/>
          <w:lang w:val="ru-RU"/>
        </w:rPr>
      </w:pPr>
      <w:r w:rsidRPr="007F1352">
        <w:rPr>
          <w:sz w:val="28"/>
          <w:szCs w:val="28"/>
          <w:lang w:val="ru-RU"/>
        </w:rPr>
        <w:t xml:space="preserve">Существующие инструменты снижают степень произвола, но не устраняют его и не адаптированы к задаче настоящего исследования: метод анализа иерархий не применялся к премии за специфический риск компании, а опционные модели — к каскаду этапов привлечения капитала с их разным горизонтом ликвидности. Этот остающийся, но сужаемый произвол и закрывается в главе 3: премия переводится в численную величину методом анализа иерархий (§3.3), </w:t>
      </w:r>
      <w:r w:rsidRPr="007F1352">
        <w:rPr>
          <w:sz w:val="28"/>
          <w:szCs w:val="28"/>
        </w:rPr>
        <w:t>а дисконт калибруется по опционным моделям, где на каждой контрольной точке каскада заново оцениваются и срок до горизонта ликвидности, и волатильность стоимости компании</w:t>
      </w:r>
      <w:r>
        <w:rPr>
          <w:sz w:val="28"/>
          <w:szCs w:val="28"/>
          <w:lang w:val="ru-RU"/>
        </w:rPr>
        <w:t>. Ожидается, что</w:t>
      </w:r>
      <w:r w:rsidRPr="007F1352">
        <w:rPr>
          <w:sz w:val="28"/>
          <w:szCs w:val="28"/>
        </w:rPr>
        <w:t xml:space="preserve"> оба параметра снижаются по мере роста готовности компании</w:t>
      </w:r>
      <w:r w:rsidR="00304DEF" w:rsidRPr="00304DEF">
        <w:rPr>
          <w:sz w:val="28"/>
          <w:szCs w:val="28"/>
          <w:lang w:val="ru-RU"/>
        </w:rPr>
        <w:t>:</w:t>
      </w:r>
      <w:r w:rsidRPr="007F1352">
        <w:rPr>
          <w:sz w:val="28"/>
          <w:szCs w:val="28"/>
        </w:rPr>
        <w:t xml:space="preserve"> волатильность в силу большей предсказуемости бизнеса, а срок в силу более быстрого продвижения к следующему этапу привлечения капитала (§3.4).</w:t>
      </w:r>
    </w:p>
    <w:p w14:paraId="4FC9BC9C" w14:textId="77777777" w:rsidR="00A02742" w:rsidRDefault="00A02742" w:rsidP="00C0440A">
      <w:pPr>
        <w:pBdr>
          <w:top w:val="nil"/>
          <w:left w:val="nil"/>
          <w:bottom w:val="nil"/>
          <w:right w:val="nil"/>
          <w:between w:val="nil"/>
        </w:pBdr>
        <w:spacing w:before="2" w:line="360" w:lineRule="auto"/>
        <w:ind w:left="140" w:right="145" w:firstLine="708"/>
        <w:jc w:val="both"/>
        <w:rPr>
          <w:sz w:val="28"/>
          <w:szCs w:val="28"/>
          <w:lang w:val="ru-RU"/>
        </w:rPr>
      </w:pPr>
    </w:p>
    <w:p w14:paraId="6296CA60" w14:textId="2DFBCB6A" w:rsidR="00072933" w:rsidRDefault="003C666D" w:rsidP="00C0440A">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ru-RU"/>
        </w:rPr>
        <w:t>Подводя итог первой главы, стоит отметить, что п</w:t>
      </w:r>
      <w:r w:rsidR="00072933" w:rsidRPr="00072933">
        <w:rPr>
          <w:sz w:val="28"/>
          <w:szCs w:val="28"/>
        </w:rPr>
        <w:t>ять параграфов настоящей главы последовательно формируют теоретическую основу для комплексной диагностики инвестиционной готовности компании на ключевых этапах привлечения капитала методом DCF-оценки: они устанавливают, что именно определяет эту готовность, и строят расчётный аппарат, который не устраняет экспертный произвол существующей оценочной практики, а сужает его до конкретных, названных и потому обсуждаемых допущений.</w:t>
      </w:r>
      <w:r w:rsidR="00072933">
        <w:rPr>
          <w:sz w:val="28"/>
          <w:szCs w:val="28"/>
          <w:lang w:val="ru-RU"/>
        </w:rPr>
        <w:t xml:space="preserve"> </w:t>
      </w:r>
    </w:p>
    <w:p w14:paraId="705C0593" w14:textId="77777777" w:rsidR="00072933"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§1.1 показал, что сама эволюция концепций стоимостно-ориентированного управления оставляла открытым вопрос о заинтересованности стороны, формирующей оценочные допущения</w:t>
      </w:r>
      <w:r w:rsidR="00072933">
        <w:rPr>
          <w:sz w:val="28"/>
          <w:szCs w:val="28"/>
          <w:lang w:val="ru-RU"/>
        </w:rPr>
        <w:t>. Эта заинтересованность продемонстрирована на примере</w:t>
      </w:r>
      <w:r w:rsidRPr="00C0440A">
        <w:rPr>
          <w:sz w:val="28"/>
          <w:szCs w:val="28"/>
          <w:lang w:val="ru-RU"/>
        </w:rPr>
        <w:t xml:space="preserve"> сформулированного конфликта интересов инвестора-архитектора выхода. </w:t>
      </w:r>
    </w:p>
    <w:p w14:paraId="4FEBDA4F" w14:textId="6DE009BD" w:rsidR="00072933"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§1.2 установил, что стадия жизненного цикла компании и тип привлекаемого капитала, при всём многообразии их классификаций, не отвечают на вопрос о готовности компании к оценке</w:t>
      </w:r>
      <w:r w:rsidR="00072933">
        <w:rPr>
          <w:sz w:val="28"/>
          <w:szCs w:val="28"/>
          <w:lang w:val="ru-RU"/>
        </w:rPr>
        <w:t>.</w:t>
      </w:r>
      <w:r w:rsidRPr="00C0440A">
        <w:rPr>
          <w:sz w:val="28"/>
          <w:szCs w:val="28"/>
          <w:lang w:val="ru-RU"/>
        </w:rPr>
        <w:t xml:space="preserve"> </w:t>
      </w:r>
      <w:r w:rsidR="00072933">
        <w:rPr>
          <w:sz w:val="28"/>
          <w:szCs w:val="28"/>
          <w:lang w:val="ru-RU"/>
        </w:rPr>
        <w:t>В</w:t>
      </w:r>
      <w:r w:rsidRPr="00C0440A">
        <w:rPr>
          <w:sz w:val="28"/>
          <w:szCs w:val="28"/>
          <w:lang w:val="ru-RU"/>
        </w:rPr>
        <w:t>замен</w:t>
      </w:r>
      <w:r w:rsidR="00072933">
        <w:rPr>
          <w:sz w:val="28"/>
          <w:szCs w:val="28"/>
          <w:lang w:val="ru-RU"/>
        </w:rPr>
        <w:t xml:space="preserve"> предложено</w:t>
      </w:r>
      <w:r w:rsidRPr="00C0440A">
        <w:rPr>
          <w:sz w:val="28"/>
          <w:szCs w:val="28"/>
          <w:lang w:val="ru-RU"/>
        </w:rPr>
        <w:t xml:space="preserve"> пять факторов </w:t>
      </w:r>
      <w:r w:rsidR="00793519">
        <w:rPr>
          <w:sz w:val="28"/>
          <w:szCs w:val="28"/>
          <w:lang w:val="ru-RU"/>
        </w:rPr>
        <w:t>инвестиционной готовности</w:t>
      </w:r>
      <w:r w:rsidRPr="00C0440A">
        <w:rPr>
          <w:sz w:val="28"/>
          <w:szCs w:val="28"/>
          <w:lang w:val="ru-RU"/>
        </w:rPr>
        <w:t xml:space="preserve">. </w:t>
      </w:r>
    </w:p>
    <w:p w14:paraId="227C43C4" w14:textId="77777777" w:rsidR="00072933"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 xml:space="preserve">§1.3 вывел эти факторы теоретически, показав, что венчур, фонды прямых </w:t>
      </w:r>
      <w:r w:rsidRPr="00C0440A">
        <w:rPr>
          <w:sz w:val="28"/>
          <w:szCs w:val="28"/>
          <w:lang w:val="ru-RU"/>
        </w:rPr>
        <w:lastRenderedPageBreak/>
        <w:t xml:space="preserve">инвестиций и первичное размещение решают одну и ту же проблему доверия к данным компании разными средствами, ни одно из которых не измеряет саму готовность напрямую. </w:t>
      </w:r>
    </w:p>
    <w:p w14:paraId="6CAC0BA8" w14:textId="39E6FDB9" w:rsidR="00793519" w:rsidRDefault="00793519" w:rsidP="00C0440A">
      <w:pPr>
        <w:pBdr>
          <w:top w:val="nil"/>
          <w:left w:val="nil"/>
          <w:bottom w:val="nil"/>
          <w:right w:val="nil"/>
          <w:between w:val="nil"/>
        </w:pBdr>
        <w:spacing w:before="2" w:line="360" w:lineRule="auto"/>
        <w:ind w:left="140" w:right="145" w:firstLine="708"/>
        <w:jc w:val="both"/>
        <w:rPr>
          <w:sz w:val="28"/>
          <w:szCs w:val="28"/>
          <w:lang w:val="ru-RU"/>
        </w:rPr>
      </w:pPr>
      <w:r w:rsidRPr="00793519">
        <w:rPr>
          <w:sz w:val="28"/>
          <w:szCs w:val="28"/>
        </w:rPr>
        <w:t>§1.4 ввёл сам инструмент диагностики инвестиционной готовности — метод оценки стоимости компании дисконтированными денежными потоками</w:t>
      </w:r>
      <w:r>
        <w:rPr>
          <w:sz w:val="28"/>
          <w:szCs w:val="28"/>
          <w:lang w:val="ru-RU"/>
        </w:rPr>
        <w:t>.</w:t>
      </w:r>
      <w:r w:rsidRPr="00793519">
        <w:rPr>
          <w:sz w:val="28"/>
          <w:szCs w:val="28"/>
        </w:rPr>
        <w:t xml:space="preserve"> </w:t>
      </w:r>
      <w:r>
        <w:rPr>
          <w:sz w:val="28"/>
          <w:szCs w:val="28"/>
          <w:lang w:val="ru-RU"/>
        </w:rPr>
        <w:t>Данный метод выбран из-за возможности</w:t>
      </w:r>
      <w:r w:rsidRPr="00793519">
        <w:rPr>
          <w:sz w:val="28"/>
          <w:szCs w:val="28"/>
        </w:rPr>
        <w:t xml:space="preserve"> </w:t>
      </w:r>
      <w:r>
        <w:rPr>
          <w:sz w:val="28"/>
          <w:szCs w:val="28"/>
          <w:lang w:val="ru-RU"/>
        </w:rPr>
        <w:t>выразить эту</w:t>
      </w:r>
      <w:r w:rsidRPr="00793519">
        <w:rPr>
          <w:sz w:val="28"/>
          <w:szCs w:val="28"/>
        </w:rPr>
        <w:t xml:space="preserve"> готовность </w:t>
      </w:r>
      <w:r>
        <w:rPr>
          <w:sz w:val="28"/>
          <w:szCs w:val="28"/>
          <w:lang w:val="ru-RU"/>
        </w:rPr>
        <w:t xml:space="preserve">не через описательное, а </w:t>
      </w:r>
      <w:r w:rsidRPr="00793519">
        <w:rPr>
          <w:sz w:val="28"/>
          <w:szCs w:val="28"/>
        </w:rPr>
        <w:t xml:space="preserve">а денежное, сопоставимое между компаниями и во времени </w:t>
      </w:r>
      <w:r>
        <w:rPr>
          <w:sz w:val="28"/>
          <w:szCs w:val="28"/>
          <w:lang w:val="ru-RU"/>
        </w:rPr>
        <w:t>значение.</w:t>
      </w:r>
      <w:r w:rsidRPr="00793519">
        <w:rPr>
          <w:sz w:val="28"/>
          <w:szCs w:val="28"/>
        </w:rPr>
        <w:t xml:space="preserve"> </w:t>
      </w:r>
      <w:r>
        <w:rPr>
          <w:sz w:val="28"/>
          <w:szCs w:val="28"/>
          <w:lang w:val="ru-RU"/>
        </w:rPr>
        <w:t>П</w:t>
      </w:r>
      <w:r w:rsidRPr="00793519">
        <w:rPr>
          <w:sz w:val="28"/>
          <w:szCs w:val="28"/>
        </w:rPr>
        <w:t xml:space="preserve">араграф </w:t>
      </w:r>
      <w:r>
        <w:rPr>
          <w:sz w:val="28"/>
          <w:szCs w:val="28"/>
          <w:lang w:val="ru-RU"/>
        </w:rPr>
        <w:t>последовательно</w:t>
      </w:r>
      <w:r w:rsidRPr="00793519">
        <w:rPr>
          <w:sz w:val="28"/>
          <w:szCs w:val="28"/>
        </w:rPr>
        <w:t xml:space="preserve"> указал на структурные ограничения этого инструмента и показал, что граница его применимости определяется не возрастом компании, а наличием измеримой истории относительно конкретной прогнозируемой стратегии. В этом инструменте пять факторов встраиваются в оценку не напрямую, а через премию за специфический риск компании внутри ставки дисконтирования, природа и способ расчёта которой раскрыты в </w:t>
      </w:r>
      <w:r>
        <w:rPr>
          <w:sz w:val="28"/>
          <w:szCs w:val="28"/>
          <w:lang w:val="ru-RU"/>
        </w:rPr>
        <w:t>последнем параграфе</w:t>
      </w:r>
      <w:r w:rsidRPr="00793519">
        <w:rPr>
          <w:sz w:val="28"/>
          <w:szCs w:val="28"/>
        </w:rPr>
        <w:t>.</w:t>
      </w:r>
    </w:p>
    <w:p w14:paraId="5E7E9B83" w14:textId="3FD81D9E" w:rsidR="00C0440A" w:rsidRPr="00C0440A"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 xml:space="preserve">§1.5 раскрыл природу двух корректирующих элементов оценки, унаследованных из традиции, альтернативной </w:t>
      </w:r>
      <w:r w:rsidRPr="00C0440A">
        <w:rPr>
          <w:sz w:val="28"/>
          <w:szCs w:val="28"/>
          <w:lang w:val="en-US"/>
        </w:rPr>
        <w:t>CAPM</w:t>
      </w:r>
      <w:r w:rsidRPr="00C0440A">
        <w:rPr>
          <w:sz w:val="28"/>
          <w:szCs w:val="28"/>
          <w:lang w:val="ru-RU"/>
        </w:rPr>
        <w:t xml:space="preserve">, </w:t>
      </w:r>
      <w:r w:rsidR="00793519">
        <w:rPr>
          <w:sz w:val="28"/>
          <w:szCs w:val="28"/>
          <w:lang w:val="ru-RU"/>
        </w:rPr>
        <w:t>а именно</w:t>
      </w:r>
      <w:r w:rsidRPr="00C0440A">
        <w:rPr>
          <w:sz w:val="28"/>
          <w:szCs w:val="28"/>
          <w:lang w:val="ru-RU"/>
        </w:rPr>
        <w:t xml:space="preserve"> премии за специфический риск и дисконта за недостаточную ликвидность</w:t>
      </w:r>
      <w:r w:rsidR="00793519">
        <w:rPr>
          <w:sz w:val="28"/>
          <w:szCs w:val="28"/>
          <w:lang w:val="ru-RU"/>
        </w:rPr>
        <w:t>. Он</w:t>
      </w:r>
      <w:r w:rsidRPr="00C0440A">
        <w:rPr>
          <w:sz w:val="28"/>
          <w:szCs w:val="28"/>
          <w:lang w:val="ru-RU"/>
        </w:rPr>
        <w:t xml:space="preserve"> показал, что оба </w:t>
      </w:r>
      <w:r w:rsidR="00793519" w:rsidRPr="00793519">
        <w:rPr>
          <w:sz w:val="28"/>
          <w:szCs w:val="28"/>
        </w:rPr>
        <w:t>поддаются формализации лишь частично: суждение эксперта в них не устраняется, а сужается до конкретных, обосновываемых допущений вместо непроверяемой итоговой цифры.</w:t>
      </w:r>
    </w:p>
    <w:p w14:paraId="3A20E7E0" w14:textId="77777777" w:rsidR="00C0440A" w:rsidRPr="00C0440A"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Собранные вместе, эти элементы формируют итоговую конструкцию оценки, лежащую в основе настоящего исследования:</w:t>
      </w:r>
    </w:p>
    <w:p w14:paraId="1B3AE4DA" w14:textId="0D30C501" w:rsidR="005E6D1A" w:rsidRDefault="00C0440A" w:rsidP="005E6D1A">
      <w:pPr>
        <w:pBdr>
          <w:top w:val="nil"/>
          <w:left w:val="nil"/>
          <w:bottom w:val="nil"/>
          <w:right w:val="nil"/>
          <w:between w:val="nil"/>
        </w:pBdr>
        <w:spacing w:before="2" w:line="360" w:lineRule="auto"/>
        <w:ind w:left="140" w:right="145" w:firstLine="708"/>
        <w:jc w:val="center"/>
        <w:rPr>
          <w:sz w:val="28"/>
          <w:szCs w:val="28"/>
          <w:lang w:val="en-US"/>
        </w:rPr>
      </w:pPr>
      <w:r w:rsidRPr="00C0440A">
        <w:rPr>
          <w:sz w:val="28"/>
          <w:szCs w:val="28"/>
          <w:lang w:val="en-US"/>
        </w:rPr>
        <w:t>EV</w:t>
      </w:r>
      <w:r w:rsidRPr="00F10467">
        <w:rPr>
          <w:sz w:val="28"/>
          <w:szCs w:val="28"/>
          <w:lang w:val="en-US"/>
        </w:rPr>
        <w:t xml:space="preserve"> = </w:t>
      </w:r>
      <m:oMath>
        <m:r>
          <w:rPr>
            <w:rFonts w:ascii="Cambria Math" w:hAnsi="Cambria Math"/>
            <w:sz w:val="28"/>
            <w:szCs w:val="28"/>
            <w:lang w:val="en-US"/>
          </w:rPr>
          <m:t>(</m:t>
        </m:r>
        <m:nary>
          <m:naryPr>
            <m:chr m:val="∑"/>
            <m:limLoc m:val="undOvr"/>
            <m:ctrlPr>
              <w:rPr>
                <w:rFonts w:ascii="Cambria Math" w:hAnsi="Cambria Math"/>
                <w:sz w:val="28"/>
                <w:szCs w:val="28"/>
                <w:lang w:val="en-US"/>
              </w:rPr>
            </m:ctrlPr>
          </m:naryPr>
          <m:sub>
            <m:r>
              <w:rPr>
                <w:rFonts w:ascii="Cambria Math" w:hAnsi="Cambria Math"/>
                <w:sz w:val="28"/>
                <w:szCs w:val="28"/>
                <w:lang w:val="en-US"/>
              </w:rPr>
              <m:t>t=0</m:t>
            </m:r>
          </m:sub>
          <m:sup>
            <m:r>
              <w:rPr>
                <w:rFonts w:ascii="Cambria Math" w:hAnsi="Cambria Math"/>
                <w:sz w:val="28"/>
                <w:szCs w:val="28"/>
                <w:lang w:val="en-US"/>
              </w:rPr>
              <m:t>n</m:t>
            </m:r>
          </m:sup>
          <m:e>
            <m:f>
              <m:fPr>
                <m:ctrlPr>
                  <w:rPr>
                    <w:rFonts w:ascii="Cambria Math" w:hAnsi="Cambria Math"/>
                    <w:i/>
                    <w:sz w:val="28"/>
                    <w:szCs w:val="28"/>
                    <w:lang w:val="ru-RU"/>
                  </w:rPr>
                </m:ctrlPr>
              </m:fPr>
              <m:num>
                <m:r>
                  <m:rPr>
                    <m:sty m:val="p"/>
                  </m:rPr>
                  <w:rPr>
                    <w:rFonts w:ascii="Cambria Math" w:hAnsi="Cambria Math"/>
                    <w:sz w:val="28"/>
                    <w:szCs w:val="28"/>
                    <w:lang w:val="en-US"/>
                  </w:rPr>
                  <m:t xml:space="preserve"> FCFt </m:t>
                </m:r>
              </m:num>
              <m:den>
                <m:sSup>
                  <m:sSupPr>
                    <m:ctrlPr>
                      <w:rPr>
                        <w:rFonts w:ascii="Cambria Math" w:hAnsi="Cambria Math"/>
                        <w:i/>
                        <w:sz w:val="28"/>
                        <w:szCs w:val="28"/>
                        <w:lang w:val="ru-RU"/>
                      </w:rPr>
                    </m:ctrlPr>
                  </m:sSupPr>
                  <m:e>
                    <m:r>
                      <w:rPr>
                        <w:rFonts w:ascii="Cambria Math" w:hAnsi="Cambria Math"/>
                        <w:sz w:val="28"/>
                        <w:szCs w:val="28"/>
                        <w:lang w:val="en-US"/>
                      </w:rPr>
                      <m:t>(1+WACC)</m:t>
                    </m:r>
                  </m:e>
                  <m:sup>
                    <m:r>
                      <w:rPr>
                        <w:rFonts w:ascii="Cambria Math" w:hAnsi="Cambria Math"/>
                        <w:sz w:val="28"/>
                        <w:szCs w:val="28"/>
                        <w:lang w:val="ru-RU"/>
                      </w:rPr>
                      <m:t>t</m:t>
                    </m:r>
                  </m:sup>
                </m:sSup>
              </m:den>
            </m:f>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TV</m:t>
            </m:r>
          </m:num>
          <m:den>
            <m:sSup>
              <m:sSupPr>
                <m:ctrlPr>
                  <w:rPr>
                    <w:rFonts w:ascii="Cambria Math" w:hAnsi="Cambria Math"/>
                    <w:i/>
                    <w:sz w:val="28"/>
                    <w:szCs w:val="28"/>
                    <w:lang w:val="en-US"/>
                  </w:rPr>
                </m:ctrlPr>
              </m:sSupPr>
              <m:e>
                <m:r>
                  <w:rPr>
                    <w:rFonts w:ascii="Cambria Math" w:hAnsi="Cambria Math"/>
                    <w:sz w:val="28"/>
                    <w:szCs w:val="28"/>
                    <w:lang w:val="en-US"/>
                  </w:rPr>
                  <m:t>(1+WACC)</m:t>
                </m:r>
              </m:e>
              <m:sup>
                <m:r>
                  <w:rPr>
                    <w:rFonts w:ascii="Cambria Math" w:hAnsi="Cambria Math"/>
                    <w:sz w:val="28"/>
                    <w:szCs w:val="28"/>
                    <w:lang w:val="en-US"/>
                  </w:rPr>
                  <m:t>n</m:t>
                </m:r>
              </m:sup>
            </m:sSup>
          </m:den>
        </m:f>
        <m:r>
          <w:rPr>
            <w:rFonts w:ascii="Cambria Math" w:hAnsi="Cambria Math"/>
            <w:sz w:val="28"/>
            <w:szCs w:val="28"/>
            <w:lang w:val="en-US"/>
          </w:rPr>
          <m:t>)×(1-DLOM)</m:t>
        </m:r>
      </m:oMath>
    </w:p>
    <w:p w14:paraId="704ADB60" w14:textId="1897F95F" w:rsidR="00F10467" w:rsidRPr="00F10467" w:rsidRDefault="00F10467" w:rsidP="005E6D1A">
      <w:pPr>
        <w:pBdr>
          <w:top w:val="nil"/>
          <w:left w:val="nil"/>
          <w:bottom w:val="nil"/>
          <w:right w:val="nil"/>
          <w:between w:val="nil"/>
        </w:pBdr>
        <w:spacing w:before="2" w:line="360" w:lineRule="auto"/>
        <w:ind w:left="140" w:right="145" w:firstLine="708"/>
        <w:jc w:val="center"/>
        <w:rPr>
          <w:sz w:val="28"/>
          <w:szCs w:val="28"/>
          <w:lang w:val="en-US"/>
        </w:rPr>
      </w:pPr>
      <m:oMathPara>
        <m:oMath>
          <m:r>
            <w:rPr>
              <w:rFonts w:ascii="Cambria Math" w:hAnsi="Cambria Math"/>
              <w:sz w:val="28"/>
              <w:szCs w:val="28"/>
              <w:lang w:val="en-US"/>
            </w:rPr>
            <m:t>WACC=</m:t>
          </m:r>
          <m:f>
            <m:fPr>
              <m:ctrlPr>
                <w:rPr>
                  <w:rFonts w:ascii="Cambria Math" w:hAnsi="Cambria Math"/>
                  <w:i/>
                  <w:sz w:val="28"/>
                  <w:szCs w:val="28"/>
                  <w:lang w:val="en-US"/>
                </w:rPr>
              </m:ctrlPr>
            </m:fPr>
            <m:num>
              <m:r>
                <w:rPr>
                  <w:rFonts w:ascii="Cambria Math" w:hAnsi="Cambria Math"/>
                  <w:sz w:val="28"/>
                  <w:szCs w:val="28"/>
                  <w:lang w:val="en-US"/>
                </w:rPr>
                <m:t>E</m:t>
              </m:r>
            </m:num>
            <m:den>
              <m:r>
                <w:rPr>
                  <w:rFonts w:ascii="Cambria Math" w:hAnsi="Cambria Math"/>
                  <w:sz w:val="28"/>
                  <w:szCs w:val="28"/>
                  <w:lang w:val="en-US"/>
                </w:rPr>
                <m:t>V</m:t>
              </m:r>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e</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D</m:t>
              </m:r>
            </m:num>
            <m:den>
              <m:r>
                <w:rPr>
                  <w:rFonts w:ascii="Cambria Math" w:hAnsi="Cambria Math"/>
                  <w:sz w:val="28"/>
                  <w:szCs w:val="28"/>
                  <w:lang w:val="en-US"/>
                </w:rPr>
                <m:t>V</m:t>
              </m:r>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d</m:t>
              </m:r>
            </m:sub>
          </m:sSub>
          <m:r>
            <w:rPr>
              <w:rFonts w:ascii="Cambria Math" w:hAnsi="Cambria Math"/>
              <w:sz w:val="28"/>
              <w:szCs w:val="28"/>
              <w:lang w:val="en-US"/>
            </w:rPr>
            <m:t>×(1-t)</m:t>
          </m:r>
        </m:oMath>
      </m:oMathPara>
    </w:p>
    <w:p w14:paraId="78EEE1E1" w14:textId="33A48072" w:rsidR="00F10467" w:rsidRPr="00C27719" w:rsidRDefault="00081AC0" w:rsidP="00F10467">
      <w:pPr>
        <w:pBdr>
          <w:top w:val="nil"/>
          <w:left w:val="nil"/>
          <w:bottom w:val="nil"/>
          <w:right w:val="nil"/>
          <w:between w:val="nil"/>
        </w:pBdr>
        <w:spacing w:before="2" w:line="360" w:lineRule="auto"/>
        <w:ind w:left="140" w:right="145" w:firstLine="708"/>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e</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r>
            <w:rPr>
              <w:rFonts w:ascii="Cambria Math" w:hAnsi="Cambria Math"/>
              <w:sz w:val="28"/>
              <w:szCs w:val="28"/>
              <w:lang w:val="en-US"/>
            </w:rPr>
            <m:t>+β×</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m</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e>
          </m:d>
          <m:r>
            <w:rPr>
              <w:rFonts w:ascii="Cambria Math" w:hAnsi="Cambria Math"/>
              <w:sz w:val="28"/>
              <w:szCs w:val="28"/>
              <w:lang w:val="en-US"/>
            </w:rPr>
            <m:t>+CSRP</m:t>
          </m:r>
        </m:oMath>
      </m:oMathPara>
    </w:p>
    <w:p w14:paraId="4A46C0BE" w14:textId="77777777" w:rsidR="009D4AEA" w:rsidRPr="009D4AEA" w:rsidRDefault="009D4AEA" w:rsidP="009D4AEA">
      <w:pPr>
        <w:pBdr>
          <w:top w:val="nil"/>
          <w:left w:val="nil"/>
          <w:bottom w:val="nil"/>
          <w:right w:val="nil"/>
          <w:between w:val="nil"/>
        </w:pBdr>
        <w:spacing w:before="2" w:line="360" w:lineRule="auto"/>
        <w:ind w:left="140" w:right="145" w:firstLine="708"/>
        <w:jc w:val="center"/>
        <w:rPr>
          <w:sz w:val="28"/>
          <w:szCs w:val="28"/>
          <w:lang w:val="en-US"/>
        </w:rPr>
      </w:pPr>
      <m:oMath>
        <m:r>
          <w:rPr>
            <w:rFonts w:ascii="Cambria Math" w:hAnsi="Cambria Math"/>
            <w:sz w:val="28"/>
            <w:szCs w:val="28"/>
            <w:lang w:val="en-US"/>
          </w:rPr>
          <m:t>DLOM=</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f</m:t>
                </m:r>
              </m:sub>
            </m:sSub>
            <m:r>
              <w:rPr>
                <w:rFonts w:ascii="Cambria Math" w:hAnsi="Cambria Math"/>
                <w:sz w:val="28"/>
                <w:szCs w:val="28"/>
                <w:lang w:val="en-US"/>
              </w:rPr>
              <m:t>×T)</m:t>
            </m:r>
          </m:sup>
        </m:sSup>
        <m:r>
          <w:rPr>
            <w:rFonts w:ascii="Cambria Math" w:hAnsi="Cambria Math"/>
            <w:sz w:val="28"/>
            <w:szCs w:val="28"/>
            <w:lang w:val="en-US"/>
          </w:rPr>
          <m:t>×N</m:t>
        </m:r>
        <m:d>
          <m:dPr>
            <m:ctrlPr>
              <w:rPr>
                <w:rFonts w:ascii="Cambria Math" w:hAnsi="Cambria Math"/>
                <w:i/>
                <w:sz w:val="28"/>
                <w:szCs w:val="28"/>
                <w:lang w:val="en-US"/>
              </w:rPr>
            </m:ctrlPr>
          </m:d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2</m:t>
                </m:r>
              </m:sub>
            </m:sSub>
          </m:e>
        </m:d>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1</m:t>
            </m:r>
          </m:sub>
        </m:sSub>
      </m:oMath>
      <w:r w:rsidRPr="009D4AEA">
        <w:rPr>
          <w:sz w:val="28"/>
          <w:szCs w:val="28"/>
          <w:lang w:val="en-US"/>
        </w:rPr>
        <w:t>)</w:t>
      </w:r>
    </w:p>
    <w:p w14:paraId="1FE8BA2C" w14:textId="77777777" w:rsidR="00F10467"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ru-RU"/>
        </w:rPr>
        <w:t xml:space="preserve">где </w:t>
      </w:r>
      <w:r w:rsidRPr="00C0440A">
        <w:rPr>
          <w:sz w:val="28"/>
          <w:szCs w:val="28"/>
          <w:lang w:val="en-US"/>
        </w:rPr>
        <w:t>FCFt</w:t>
      </w:r>
      <w:r w:rsidRPr="00C0440A">
        <w:rPr>
          <w:sz w:val="28"/>
          <w:szCs w:val="28"/>
          <w:lang w:val="ru-RU"/>
        </w:rPr>
        <w:t xml:space="preserve"> — свободный денежный поток компании в период </w:t>
      </w:r>
      <w:r w:rsidRPr="00C0440A">
        <w:rPr>
          <w:sz w:val="28"/>
          <w:szCs w:val="28"/>
          <w:lang w:val="en-US"/>
        </w:rPr>
        <w:t>t</w:t>
      </w:r>
      <w:r w:rsidRPr="00C0440A">
        <w:rPr>
          <w:sz w:val="28"/>
          <w:szCs w:val="28"/>
          <w:lang w:val="ru-RU"/>
        </w:rPr>
        <w:t xml:space="preserve">, полученный драйверным прогнозом (§1.4); </w:t>
      </w:r>
    </w:p>
    <w:p w14:paraId="6914A28C" w14:textId="77777777" w:rsidR="00F10467"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en-US"/>
        </w:rPr>
        <w:t>TV</w:t>
      </w:r>
      <w:r w:rsidRPr="00C0440A">
        <w:rPr>
          <w:sz w:val="28"/>
          <w:szCs w:val="28"/>
          <w:lang w:val="ru-RU"/>
        </w:rPr>
        <w:t xml:space="preserve"> — терминальная стоимость по </w:t>
      </w:r>
      <w:r w:rsidRPr="00C0440A">
        <w:rPr>
          <w:sz w:val="28"/>
          <w:szCs w:val="28"/>
          <w:lang w:val="en-US"/>
        </w:rPr>
        <w:t>H</w:t>
      </w:r>
      <w:r w:rsidRPr="00C0440A">
        <w:rPr>
          <w:sz w:val="28"/>
          <w:szCs w:val="28"/>
          <w:lang w:val="ru-RU"/>
        </w:rPr>
        <w:t xml:space="preserve">-модели при необходимости учесть постепенное затухание роста (§1.4); </w:t>
      </w:r>
    </w:p>
    <w:p w14:paraId="1BF81E2D" w14:textId="79825900" w:rsidR="00F10467" w:rsidRPr="00F10467" w:rsidRDefault="00F10467" w:rsidP="00C0440A">
      <w:pPr>
        <w:pBdr>
          <w:top w:val="nil"/>
          <w:left w:val="nil"/>
          <w:bottom w:val="nil"/>
          <w:right w:val="nil"/>
          <w:between w:val="nil"/>
        </w:pBdr>
        <w:spacing w:before="2" w:line="360" w:lineRule="auto"/>
        <w:ind w:left="140" w:right="145" w:firstLine="708"/>
        <w:jc w:val="both"/>
        <w:rPr>
          <w:sz w:val="28"/>
          <w:szCs w:val="28"/>
          <w:lang w:val="ru-RU"/>
        </w:rPr>
      </w:pPr>
      <w:r>
        <w:rPr>
          <w:sz w:val="28"/>
          <w:szCs w:val="28"/>
          <w:lang w:val="en-US"/>
        </w:rPr>
        <w:lastRenderedPageBreak/>
        <w:t>WACC</w:t>
      </w:r>
      <w:r w:rsidRPr="00F10467">
        <w:rPr>
          <w:sz w:val="28"/>
          <w:szCs w:val="28"/>
          <w:lang w:val="ru-RU"/>
        </w:rPr>
        <w:t xml:space="preserve"> </w:t>
      </w:r>
      <w:r w:rsidRPr="00C0440A">
        <w:rPr>
          <w:sz w:val="28"/>
          <w:szCs w:val="28"/>
          <w:lang w:val="ru-RU"/>
        </w:rPr>
        <w:t>—</w:t>
      </w:r>
      <w:r w:rsidRPr="00F10467">
        <w:rPr>
          <w:sz w:val="28"/>
          <w:szCs w:val="28"/>
          <w:lang w:val="ru-RU"/>
        </w:rPr>
        <w:t xml:space="preserve"> </w:t>
      </w:r>
      <w:r w:rsidRPr="00F10467">
        <w:rPr>
          <w:sz w:val="28"/>
          <w:szCs w:val="28"/>
        </w:rPr>
        <w:t>средневзвешенная стоимость капитала, используемая для дисконтирования;</w:t>
      </w:r>
    </w:p>
    <w:p w14:paraId="1AF73B5A" w14:textId="706769C6" w:rsidR="00F95BAE" w:rsidRPr="00F95BAE"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en-US"/>
        </w:rPr>
        <w:t>re</w:t>
      </w:r>
      <w:r w:rsidRPr="00C0440A">
        <w:rPr>
          <w:sz w:val="28"/>
          <w:szCs w:val="28"/>
          <w:lang w:val="ru-RU"/>
        </w:rPr>
        <w:t xml:space="preserve"> —</w:t>
      </w:r>
      <w:r w:rsidR="00F95BAE" w:rsidRPr="00F95BAE">
        <w:rPr>
          <w:sz w:val="28"/>
          <w:szCs w:val="28"/>
          <w:lang w:val="ru-RU"/>
        </w:rPr>
        <w:t xml:space="preserve"> </w:t>
      </w:r>
      <w:r w:rsidR="00F95BAE" w:rsidRPr="00F95BAE">
        <w:rPr>
          <w:sz w:val="28"/>
          <w:szCs w:val="28"/>
        </w:rPr>
        <w:t>требуемая доходность на собственный капитал, где первые два слагаемых отражают систематический риск через реконструированную бету (§1.4), а CSRP — специфический риск компании, переводимый в численную величину методом анализа иерархий (§1.5)</w:t>
      </w:r>
      <w:r w:rsidRPr="00C0440A">
        <w:rPr>
          <w:sz w:val="28"/>
          <w:szCs w:val="28"/>
          <w:lang w:val="ru-RU"/>
        </w:rPr>
        <w:t xml:space="preserve">; </w:t>
      </w:r>
    </w:p>
    <w:p w14:paraId="27314246" w14:textId="03463B0D" w:rsidR="00C0440A" w:rsidRPr="00C0440A"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C0440A">
        <w:rPr>
          <w:sz w:val="28"/>
          <w:szCs w:val="28"/>
          <w:lang w:val="en-US"/>
        </w:rPr>
        <w:t>DLOM</w:t>
      </w:r>
      <w:r w:rsidRPr="00C0440A">
        <w:rPr>
          <w:sz w:val="28"/>
          <w:szCs w:val="28"/>
          <w:lang w:val="ru-RU"/>
        </w:rPr>
        <w:t xml:space="preserve"> — дисконт за недостаточную ликвидность, рассчитываемый как отношение цены защитного опциона пут к стоимости доли по </w:t>
      </w:r>
      <w:r w:rsidR="00F95BAE">
        <w:rPr>
          <w:sz w:val="28"/>
          <w:szCs w:val="28"/>
          <w:lang w:val="ru-RU"/>
        </w:rPr>
        <w:t xml:space="preserve">самой консервативной </w:t>
      </w:r>
      <w:r w:rsidRPr="00C0440A">
        <w:rPr>
          <w:sz w:val="28"/>
          <w:szCs w:val="28"/>
          <w:lang w:val="ru-RU"/>
        </w:rPr>
        <w:t>модел</w:t>
      </w:r>
      <w:r w:rsidR="00F95BAE">
        <w:rPr>
          <w:sz w:val="28"/>
          <w:szCs w:val="28"/>
          <w:lang w:val="ru-RU"/>
        </w:rPr>
        <w:t>и</w:t>
      </w:r>
      <w:r w:rsidRPr="00C0440A">
        <w:rPr>
          <w:sz w:val="28"/>
          <w:szCs w:val="28"/>
          <w:lang w:val="ru-RU"/>
        </w:rPr>
        <w:t xml:space="preserve"> Шаффе</w:t>
      </w:r>
      <w:r w:rsidR="00F95BAE">
        <w:rPr>
          <w:sz w:val="28"/>
          <w:szCs w:val="28"/>
          <w:lang w:val="ru-RU"/>
        </w:rPr>
        <w:t xml:space="preserve"> </w:t>
      </w:r>
      <w:r w:rsidRPr="00C0440A">
        <w:rPr>
          <w:sz w:val="28"/>
          <w:szCs w:val="28"/>
          <w:lang w:val="ru-RU"/>
        </w:rPr>
        <w:t>(§1.5).</w:t>
      </w:r>
    </w:p>
    <w:p w14:paraId="27C83F70" w14:textId="1E345681" w:rsidR="00C0440A" w:rsidRPr="00A02742" w:rsidRDefault="00C0440A" w:rsidP="00C0440A">
      <w:pPr>
        <w:pBdr>
          <w:top w:val="nil"/>
          <w:left w:val="nil"/>
          <w:bottom w:val="nil"/>
          <w:right w:val="nil"/>
          <w:between w:val="nil"/>
        </w:pBdr>
        <w:spacing w:before="2" w:line="360" w:lineRule="auto"/>
        <w:ind w:left="140" w:right="145" w:firstLine="708"/>
        <w:jc w:val="both"/>
        <w:rPr>
          <w:sz w:val="28"/>
          <w:szCs w:val="28"/>
          <w:lang w:val="ru-RU"/>
        </w:rPr>
      </w:pPr>
      <w:r w:rsidRPr="00A02742">
        <w:rPr>
          <w:sz w:val="28"/>
          <w:szCs w:val="28"/>
          <w:lang w:val="ru-RU"/>
        </w:rPr>
        <w:t>Общий итог главы таков: ни стадийные классификации, ни классический оценочный инструментарий не дают ответа на вопрос об инвестиционной готовности компании</w:t>
      </w:r>
      <w:r w:rsidR="0059410A" w:rsidRPr="0059410A">
        <w:rPr>
          <w:sz w:val="28"/>
          <w:szCs w:val="28"/>
          <w:lang w:val="ru-RU"/>
        </w:rPr>
        <w:t>.</w:t>
      </w:r>
      <w:r w:rsidRPr="00A02742">
        <w:rPr>
          <w:sz w:val="28"/>
          <w:szCs w:val="28"/>
          <w:lang w:val="ru-RU"/>
        </w:rPr>
        <w:t xml:space="preserve"> </w:t>
      </w:r>
      <w:r w:rsidR="0059410A">
        <w:rPr>
          <w:sz w:val="28"/>
          <w:szCs w:val="28"/>
          <w:lang w:val="ru-RU"/>
        </w:rPr>
        <w:t>Неазвисимо друг от друга существуют</w:t>
      </w:r>
      <w:r w:rsidRPr="00A02742">
        <w:rPr>
          <w:sz w:val="28"/>
          <w:szCs w:val="28"/>
          <w:lang w:val="ru-RU"/>
        </w:rPr>
        <w:t xml:space="preserve"> инструменты, способные закрыть этот пробел</w:t>
      </w:r>
      <w:r w:rsidR="0059410A" w:rsidRPr="0059410A">
        <w:rPr>
          <w:sz w:val="28"/>
          <w:szCs w:val="28"/>
          <w:lang w:val="ru-RU"/>
        </w:rPr>
        <w:t xml:space="preserve">: </w:t>
      </w:r>
      <w:r w:rsidRPr="00A02742">
        <w:rPr>
          <w:sz w:val="28"/>
          <w:szCs w:val="28"/>
          <w:lang w:val="ru-RU"/>
        </w:rPr>
        <w:t>формализация весов через метод анализа иерархий и калибровка дисконта за неликвидность через опционные модели</w:t>
      </w:r>
      <w:r w:rsidR="0059410A" w:rsidRPr="0059410A">
        <w:rPr>
          <w:sz w:val="28"/>
          <w:szCs w:val="28"/>
          <w:lang w:val="ru-RU"/>
        </w:rPr>
        <w:t xml:space="preserve">. </w:t>
      </w:r>
      <w:r w:rsidR="0059410A">
        <w:rPr>
          <w:sz w:val="28"/>
          <w:szCs w:val="28"/>
          <w:lang w:val="ru-RU"/>
        </w:rPr>
        <w:t xml:space="preserve">Они </w:t>
      </w:r>
      <w:r w:rsidRPr="00A02742">
        <w:rPr>
          <w:sz w:val="28"/>
          <w:szCs w:val="28"/>
          <w:lang w:val="ru-RU"/>
        </w:rPr>
        <w:t xml:space="preserve">требуют соединения в единую методику. Разработке этой методики посвящена глава 3, </w:t>
      </w:r>
    </w:p>
    <w:p w14:paraId="57B7FB00" w14:textId="115D1985" w:rsidR="002B5CB5" w:rsidRPr="005C53A9" w:rsidRDefault="002B5CB5" w:rsidP="002B5CB5">
      <w:pPr>
        <w:pBdr>
          <w:top w:val="nil"/>
          <w:left w:val="nil"/>
          <w:bottom w:val="nil"/>
          <w:right w:val="nil"/>
          <w:between w:val="nil"/>
        </w:pBdr>
        <w:spacing w:before="2" w:line="360" w:lineRule="auto"/>
        <w:ind w:left="140" w:right="145" w:firstLine="708"/>
        <w:jc w:val="both"/>
        <w:rPr>
          <w:sz w:val="28"/>
          <w:szCs w:val="28"/>
          <w:lang w:val="ru-RU"/>
        </w:rPr>
      </w:pPr>
      <w:r w:rsidRPr="002B5CB5">
        <w:rPr>
          <w:sz w:val="28"/>
          <w:szCs w:val="28"/>
          <w:lang w:val="ru-RU"/>
        </w:rPr>
        <w:t xml:space="preserve">Дальнейшее построение методики требует обращения к среде, в которой она должна работать, </w:t>
      </w:r>
      <w:r w:rsidR="005C53A9">
        <w:rPr>
          <w:sz w:val="28"/>
          <w:szCs w:val="28"/>
          <w:lang w:val="ru-RU"/>
        </w:rPr>
        <w:t>т.е.</w:t>
      </w:r>
      <w:r w:rsidRPr="002B5CB5">
        <w:rPr>
          <w:sz w:val="28"/>
          <w:szCs w:val="28"/>
          <w:lang w:val="ru-RU"/>
        </w:rPr>
        <w:t xml:space="preserve"> институциональным условиям привлечения капитала в России, фактической динамике прохождения компаниями этапов этого пути и эмпирическому материалу состоявшихся и несостоявшихся сделок. </w:t>
      </w:r>
      <w:r w:rsidRPr="005C53A9">
        <w:rPr>
          <w:sz w:val="28"/>
          <w:szCs w:val="28"/>
          <w:lang w:val="ru-RU"/>
        </w:rPr>
        <w:t>Этому посвящена глава 2.</w:t>
      </w:r>
    </w:p>
    <w:p w14:paraId="1C1F26BC" w14:textId="77777777" w:rsidR="00A63D1B" w:rsidRPr="00200720" w:rsidRDefault="00A63D1B">
      <w:pPr>
        <w:pBdr>
          <w:top w:val="nil"/>
          <w:left w:val="nil"/>
          <w:bottom w:val="nil"/>
          <w:right w:val="nil"/>
          <w:between w:val="nil"/>
        </w:pBdr>
        <w:spacing w:before="200"/>
        <w:rPr>
          <w:i/>
          <w:iCs/>
          <w:sz w:val="24"/>
          <w:szCs w:val="24"/>
        </w:rPr>
      </w:pPr>
    </w:p>
    <w:p w14:paraId="1C1F26BD" w14:textId="17C41BD2" w:rsidR="00A63D1B" w:rsidRPr="00200720" w:rsidRDefault="0018149E">
      <w:pPr>
        <w:pStyle w:val="1"/>
        <w:tabs>
          <w:tab w:val="left" w:pos="3712"/>
          <w:tab w:val="left" w:pos="7626"/>
        </w:tabs>
        <w:spacing w:line="360" w:lineRule="auto"/>
        <w:ind w:right="141" w:firstLine="708"/>
        <w:jc w:val="both"/>
      </w:pPr>
      <w:r w:rsidRPr="00D069F3">
        <w:rPr>
          <w:highlight w:val="cyan"/>
        </w:rPr>
        <w:t xml:space="preserve">Глава 2. </w:t>
      </w:r>
      <w:r w:rsidR="00200720" w:rsidRPr="00D069F3">
        <w:rPr>
          <w:highlight w:val="cyan"/>
        </w:rPr>
        <w:t>АНАЛИЗ ИНСТИТУЦИОНАЛЬНОЙ СРЕДЫ И ЭМПИРИКИ ПРИВЛЕЧЕНИЯ КАПИТАЛА В РОССИИ (2023–2026 гг.)</w:t>
      </w:r>
      <w:r w:rsidR="00200720" w:rsidRPr="00200720">
        <w:t xml:space="preserve"> </w:t>
      </w:r>
    </w:p>
    <w:p w14:paraId="1C1F26BE" w14:textId="7A8FB0B0" w:rsidR="00A63D1B" w:rsidRPr="007F72EE" w:rsidRDefault="000E64A7" w:rsidP="007F72EE">
      <w:pPr>
        <w:numPr>
          <w:ilvl w:val="1"/>
          <w:numId w:val="2"/>
        </w:numPr>
        <w:pBdr>
          <w:top w:val="nil"/>
          <w:left w:val="nil"/>
          <w:bottom w:val="nil"/>
          <w:right w:val="nil"/>
          <w:between w:val="nil"/>
        </w:pBdr>
        <w:tabs>
          <w:tab w:val="left" w:pos="1486"/>
          <w:tab w:val="left" w:pos="2862"/>
          <w:tab w:val="left" w:pos="4807"/>
          <w:tab w:val="left" w:pos="5173"/>
          <w:tab w:val="left" w:pos="6347"/>
          <w:tab w:val="left" w:pos="7936"/>
        </w:tabs>
        <w:spacing w:before="138" w:line="360" w:lineRule="auto"/>
        <w:ind w:right="137" w:firstLine="708"/>
        <w:jc w:val="both"/>
        <w:rPr>
          <w:i/>
          <w:iCs/>
          <w:sz w:val="24"/>
          <w:szCs w:val="24"/>
          <w:lang w:val="ru-RU"/>
        </w:rPr>
      </w:pPr>
      <w:r w:rsidRPr="007F72EE">
        <w:rPr>
          <w:sz w:val="28"/>
          <w:szCs w:val="28"/>
        </w:rPr>
        <w:t>Институциональная среда привлечения капитала: государственная политика и регуляторные требования на всех этапах пути</w:t>
      </w:r>
      <w:r w:rsidR="008817F6" w:rsidRPr="007F72EE">
        <w:rPr>
          <w:i/>
          <w:iCs/>
          <w:sz w:val="28"/>
          <w:szCs w:val="28"/>
          <w:lang w:val="ru-RU"/>
        </w:rPr>
        <w:t xml:space="preserve"> </w:t>
      </w:r>
      <w:r w:rsidR="007F16A7" w:rsidRPr="007F72EE">
        <w:rPr>
          <w:i/>
          <w:iCs/>
          <w:sz w:val="24"/>
          <w:szCs w:val="24"/>
          <w:lang w:val="ru-RU"/>
        </w:rPr>
        <w:t>(</w:t>
      </w:r>
      <w:r w:rsidR="007F72EE" w:rsidRPr="007F72EE">
        <w:rPr>
          <w:i/>
          <w:iCs/>
          <w:sz w:val="24"/>
          <w:szCs w:val="24"/>
          <w:lang w:val="ru-RU"/>
        </w:rPr>
        <w:t xml:space="preserve">Общая рамка — государственная цель Указа Президента РФ №309: капитализация 66% ВВП к 2030 г., разрыв с текущим уровнем 24–30%, оценка НАУФОР ~6,7 трлн руб. на горизонт 2026–2030 гг.; венчурная часть Стратегии развития финрынка до 2030 г. как второй государственный ориентир. Венчур — российская нормативная база: Федеральный закон №259-ФЗ Об инвестиционных платформах (краудинвестинг/краудлендинг); Федеральный закон №335-ФЗ Об инвестиционном товариществе (2011 г.) как основная организационно-правовая форма для институциональных </w:t>
      </w:r>
      <w:r w:rsidR="007F72EE" w:rsidRPr="007F72EE">
        <w:rPr>
          <w:i/>
          <w:iCs/>
          <w:sz w:val="24"/>
          <w:szCs w:val="24"/>
          <w:lang w:val="ru-RU"/>
        </w:rPr>
        <w:lastRenderedPageBreak/>
        <w:t xml:space="preserve">венчурных инвесторов, аналог зарубежного </w:t>
      </w:r>
      <w:r w:rsidR="007F72EE" w:rsidRPr="007F72EE">
        <w:rPr>
          <w:i/>
          <w:iCs/>
          <w:sz w:val="24"/>
          <w:szCs w:val="24"/>
          <w:lang w:val="en-US"/>
        </w:rPr>
        <w:t>limited</w:t>
      </w:r>
      <w:r w:rsidR="007F72EE" w:rsidRPr="007F72EE">
        <w:rPr>
          <w:i/>
          <w:iCs/>
          <w:sz w:val="24"/>
          <w:szCs w:val="24"/>
          <w:lang w:val="ru-RU"/>
        </w:rPr>
        <w:t xml:space="preserve"> </w:t>
      </w:r>
      <w:r w:rsidR="007F72EE" w:rsidRPr="007F72EE">
        <w:rPr>
          <w:i/>
          <w:iCs/>
          <w:sz w:val="24"/>
          <w:szCs w:val="24"/>
          <w:lang w:val="en-US"/>
        </w:rPr>
        <w:t>partnership</w:t>
      </w:r>
      <w:r w:rsidR="007F72EE" w:rsidRPr="007F72EE">
        <w:rPr>
          <w:i/>
          <w:iCs/>
          <w:sz w:val="24"/>
          <w:szCs w:val="24"/>
          <w:lang w:val="ru-RU"/>
        </w:rPr>
        <w:t xml:space="preserve">; институт конвертируемого займа (ФЗ №354-ФЗ, 2021 г., дополнен ФЗ №337-ФЗ, 2024 г.) как инструмент, специально введённый для упрощения венчурных сделок; институт квалифицированного инвестора как регуляторный фильтр доступа к сложным инструментам; государственные институты развития (РВК, Фонд Сколково, Фонд содействия инновациям) и налоговые льготы для резидентов Сколково/реестра МТК. </w:t>
      </w:r>
      <w:r w:rsidR="007F72EE" w:rsidRPr="007F72EE">
        <w:rPr>
          <w:i/>
          <w:iCs/>
          <w:sz w:val="24"/>
          <w:szCs w:val="24"/>
          <w:lang w:val="en-US"/>
        </w:rPr>
        <w:t>Private</w:t>
      </w:r>
      <w:r w:rsidR="007F72EE" w:rsidRPr="007F72EE">
        <w:rPr>
          <w:i/>
          <w:iCs/>
          <w:sz w:val="24"/>
          <w:szCs w:val="24"/>
          <w:lang w:val="ru-RU"/>
        </w:rPr>
        <w:t xml:space="preserve"> </w:t>
      </w:r>
      <w:r w:rsidR="007F72EE" w:rsidRPr="007F72EE">
        <w:rPr>
          <w:i/>
          <w:iCs/>
          <w:sz w:val="24"/>
          <w:szCs w:val="24"/>
          <w:lang w:val="en-US"/>
        </w:rPr>
        <w:t>Equity</w:t>
      </w:r>
      <w:r w:rsidR="007F72EE" w:rsidRPr="007F72EE">
        <w:rPr>
          <w:i/>
          <w:iCs/>
          <w:sz w:val="24"/>
          <w:szCs w:val="24"/>
          <w:lang w:val="ru-RU"/>
        </w:rPr>
        <w:t xml:space="preserve"> — российская нормативная база: Российский Фонд Прямых Инвестиций (РФПИ, создан в 2011 г. по инициативе Президента РФ, ФЗ №154-ФЗ) как крупнейший государственный игрок рынка прямых и венчурных инвестиций, совмещающий оба мандата в одной структуре. </w:t>
      </w:r>
      <w:r w:rsidR="007F72EE" w:rsidRPr="007F72EE">
        <w:rPr>
          <w:i/>
          <w:iCs/>
          <w:sz w:val="24"/>
          <w:szCs w:val="24"/>
          <w:lang w:val="en-US"/>
        </w:rPr>
        <w:t>Pre</w:t>
      </w:r>
      <w:r w:rsidR="007F72EE" w:rsidRPr="007F72EE">
        <w:rPr>
          <w:i/>
          <w:iCs/>
          <w:sz w:val="24"/>
          <w:szCs w:val="24"/>
          <w:lang w:val="ru-RU"/>
        </w:rPr>
        <w:t>-</w:t>
      </w:r>
      <w:r w:rsidR="007F72EE" w:rsidRPr="007F72EE">
        <w:rPr>
          <w:i/>
          <w:iCs/>
          <w:sz w:val="24"/>
          <w:szCs w:val="24"/>
          <w:lang w:val="en-US"/>
        </w:rPr>
        <w:t>IPO</w:t>
      </w:r>
      <w:r w:rsidR="007F72EE" w:rsidRPr="007F72EE">
        <w:rPr>
          <w:i/>
          <w:iCs/>
          <w:sz w:val="24"/>
          <w:szCs w:val="24"/>
          <w:lang w:val="ru-RU"/>
        </w:rPr>
        <w:t xml:space="preserve"> — российская нормативная база: требования платформы </w:t>
      </w:r>
      <w:r w:rsidR="007F72EE" w:rsidRPr="007F72EE">
        <w:rPr>
          <w:i/>
          <w:iCs/>
          <w:sz w:val="24"/>
          <w:szCs w:val="24"/>
          <w:lang w:val="en-US"/>
        </w:rPr>
        <w:t>MOEX</w:t>
      </w:r>
      <w:r w:rsidR="007F72EE" w:rsidRPr="007F72EE">
        <w:rPr>
          <w:i/>
          <w:iCs/>
          <w:sz w:val="24"/>
          <w:szCs w:val="24"/>
          <w:lang w:val="ru-RU"/>
        </w:rPr>
        <w:t xml:space="preserve"> </w:t>
      </w:r>
      <w:r w:rsidR="007F72EE" w:rsidRPr="007F72EE">
        <w:rPr>
          <w:i/>
          <w:iCs/>
          <w:sz w:val="24"/>
          <w:szCs w:val="24"/>
          <w:lang w:val="en-US"/>
        </w:rPr>
        <w:t>Start</w:t>
      </w:r>
      <w:r w:rsidR="007F72EE" w:rsidRPr="007F72EE">
        <w:rPr>
          <w:i/>
          <w:iCs/>
          <w:sz w:val="24"/>
          <w:szCs w:val="24"/>
          <w:lang w:val="ru-RU"/>
        </w:rPr>
        <w:t xml:space="preserve"> (выручка от 50 млн руб., оценка от аккредитованного оценщика, инвестиционный кейс с планами </w:t>
      </w:r>
      <w:r w:rsidR="007F72EE" w:rsidRPr="007F72EE">
        <w:rPr>
          <w:i/>
          <w:iCs/>
          <w:sz w:val="24"/>
          <w:szCs w:val="24"/>
          <w:lang w:val="en-US"/>
        </w:rPr>
        <w:t>IPO</w:t>
      </w:r>
      <w:r w:rsidR="007F72EE" w:rsidRPr="007F72EE">
        <w:rPr>
          <w:i/>
          <w:iCs/>
          <w:sz w:val="24"/>
          <w:szCs w:val="24"/>
          <w:lang w:val="ru-RU"/>
        </w:rPr>
        <w:t xml:space="preserve">); государственная субсидия на покрытие издержек листинга для МСП/МТК (до 15/30 млн руб.). </w:t>
      </w:r>
      <w:r w:rsidR="007F72EE" w:rsidRPr="007F72EE">
        <w:rPr>
          <w:i/>
          <w:iCs/>
          <w:sz w:val="24"/>
          <w:szCs w:val="24"/>
          <w:lang w:val="en-US"/>
        </w:rPr>
        <w:t>IPO</w:t>
      </w:r>
      <w:r w:rsidR="007F72EE" w:rsidRPr="007F72EE">
        <w:rPr>
          <w:i/>
          <w:iCs/>
          <w:sz w:val="24"/>
          <w:szCs w:val="24"/>
          <w:lang w:val="ru-RU"/>
        </w:rPr>
        <w:t xml:space="preserve"> — российская нормативная база: Правила листинга Мосбиржи (глубина аудированной истории — 3/1 год по уровням, освобождение от порога выручки Сектора Роста для МСП/МТК); реестр аудиторов ОЗО ФР и прецедент признания аудиторского заключения ненадлежащим (2026 г.); хронология требований к </w:t>
      </w:r>
      <w:r w:rsidR="007F72EE" w:rsidRPr="007F72EE">
        <w:rPr>
          <w:i/>
          <w:iCs/>
          <w:sz w:val="24"/>
          <w:szCs w:val="24"/>
          <w:lang w:val="en-US"/>
        </w:rPr>
        <w:t>free</w:t>
      </w:r>
      <w:r w:rsidR="007F72EE" w:rsidRPr="007F72EE">
        <w:rPr>
          <w:i/>
          <w:iCs/>
          <w:sz w:val="24"/>
          <w:szCs w:val="24"/>
          <w:lang w:val="ru-RU"/>
        </w:rPr>
        <w:t>-</w:t>
      </w:r>
      <w:r w:rsidR="007F72EE" w:rsidRPr="007F72EE">
        <w:rPr>
          <w:i/>
          <w:iCs/>
          <w:sz w:val="24"/>
          <w:szCs w:val="24"/>
          <w:lang w:val="en-US"/>
        </w:rPr>
        <w:t>float</w:t>
      </w:r>
      <w:r w:rsidR="007F72EE" w:rsidRPr="007F72EE">
        <w:rPr>
          <w:i/>
          <w:iCs/>
          <w:sz w:val="24"/>
          <w:szCs w:val="24"/>
          <w:lang w:val="ru-RU"/>
        </w:rPr>
        <w:t xml:space="preserve"> 2023–2027 гг. как переменная среда для </w:t>
      </w:r>
      <w:r w:rsidR="007F72EE" w:rsidRPr="007F72EE">
        <w:rPr>
          <w:i/>
          <w:iCs/>
          <w:sz w:val="24"/>
          <w:szCs w:val="24"/>
          <w:lang w:val="en-US"/>
        </w:rPr>
        <w:t>DLOM</w:t>
      </w:r>
      <w:r w:rsidR="007F72EE" w:rsidRPr="007F72EE">
        <w:rPr>
          <w:i/>
          <w:iCs/>
          <w:sz w:val="24"/>
          <w:szCs w:val="24"/>
          <w:lang w:val="ru-RU"/>
        </w:rPr>
        <w:t xml:space="preserve">. Международный контекст (с дружественных и структурно сопоставимых рынков): Гонконг — обязанность вести аудированную отчётность с первого года функционирования компании; </w:t>
      </w:r>
      <w:r w:rsidR="007F72EE" w:rsidRPr="007F72EE">
        <w:rPr>
          <w:i/>
          <w:iCs/>
          <w:sz w:val="24"/>
          <w:szCs w:val="24"/>
          <w:lang w:val="en-US"/>
        </w:rPr>
        <w:t>Bursa</w:t>
      </w:r>
      <w:r w:rsidR="007F72EE" w:rsidRPr="007F72EE">
        <w:rPr>
          <w:i/>
          <w:iCs/>
          <w:sz w:val="24"/>
          <w:szCs w:val="24"/>
          <w:lang w:val="ru-RU"/>
        </w:rPr>
        <w:t xml:space="preserve"> </w:t>
      </w:r>
      <w:r w:rsidR="007F72EE" w:rsidRPr="007F72EE">
        <w:rPr>
          <w:i/>
          <w:iCs/>
          <w:sz w:val="24"/>
          <w:szCs w:val="24"/>
          <w:lang w:val="en-US"/>
        </w:rPr>
        <w:t>Malaysia</w:t>
      </w:r>
      <w:r w:rsidR="007F72EE" w:rsidRPr="007F72EE">
        <w:rPr>
          <w:i/>
          <w:iCs/>
          <w:sz w:val="24"/>
          <w:szCs w:val="24"/>
          <w:lang w:val="ru-RU"/>
        </w:rPr>
        <w:t xml:space="preserve"> (</w:t>
      </w:r>
      <w:r w:rsidR="007F72EE" w:rsidRPr="007F72EE">
        <w:rPr>
          <w:i/>
          <w:iCs/>
          <w:sz w:val="24"/>
          <w:szCs w:val="24"/>
          <w:lang w:val="en-US"/>
        </w:rPr>
        <w:t>ACE</w:t>
      </w:r>
      <w:r w:rsidR="007F72EE" w:rsidRPr="007F72EE">
        <w:rPr>
          <w:i/>
          <w:iCs/>
          <w:sz w:val="24"/>
          <w:szCs w:val="24"/>
          <w:lang w:val="ru-RU"/>
        </w:rPr>
        <w:t>/</w:t>
      </w:r>
      <w:r w:rsidR="007F72EE" w:rsidRPr="007F72EE">
        <w:rPr>
          <w:i/>
          <w:iCs/>
          <w:sz w:val="24"/>
          <w:szCs w:val="24"/>
          <w:lang w:val="en-US"/>
        </w:rPr>
        <w:t>LEAP</w:t>
      </w:r>
      <w:r w:rsidR="007F72EE" w:rsidRPr="007F72EE">
        <w:rPr>
          <w:i/>
          <w:iCs/>
          <w:sz w:val="24"/>
          <w:szCs w:val="24"/>
          <w:lang w:val="ru-RU"/>
        </w:rPr>
        <w:t xml:space="preserve">) — допуск без требований к прибыли и операционной истории, спонсорская модель оценки пригодности; китайская биржа </w:t>
      </w:r>
      <w:r w:rsidR="007F72EE" w:rsidRPr="007F72EE">
        <w:rPr>
          <w:i/>
          <w:iCs/>
          <w:sz w:val="24"/>
          <w:szCs w:val="24"/>
          <w:lang w:val="en-US"/>
        </w:rPr>
        <w:t>STAR</w:t>
      </w:r>
      <w:r w:rsidR="007F72EE" w:rsidRPr="007F72EE">
        <w:rPr>
          <w:i/>
          <w:iCs/>
          <w:sz w:val="24"/>
          <w:szCs w:val="24"/>
          <w:lang w:val="ru-RU"/>
        </w:rPr>
        <w:t xml:space="preserve"> </w:t>
      </w:r>
      <w:r w:rsidR="007F72EE" w:rsidRPr="007F72EE">
        <w:rPr>
          <w:i/>
          <w:iCs/>
          <w:sz w:val="24"/>
          <w:szCs w:val="24"/>
          <w:lang w:val="en-US"/>
        </w:rPr>
        <w:t>Market</w:t>
      </w:r>
      <w:r w:rsidR="007F72EE" w:rsidRPr="007F72EE">
        <w:rPr>
          <w:i/>
          <w:iCs/>
          <w:sz w:val="24"/>
          <w:szCs w:val="24"/>
          <w:lang w:val="ru-RU"/>
        </w:rPr>
        <w:t xml:space="preserve"> (Шанхай) — допуск убыточных технологических компаний, курс </w:t>
      </w:r>
      <w:r w:rsidR="007F72EE" w:rsidRPr="007F72EE">
        <w:rPr>
          <w:i/>
          <w:iCs/>
          <w:sz w:val="24"/>
          <w:szCs w:val="24"/>
          <w:lang w:val="en-US"/>
        </w:rPr>
        <w:t>CSRC</w:t>
      </w:r>
      <w:r w:rsidR="007F72EE" w:rsidRPr="007F72EE">
        <w:rPr>
          <w:i/>
          <w:iCs/>
          <w:sz w:val="24"/>
          <w:szCs w:val="24"/>
          <w:lang w:val="ru-RU"/>
        </w:rPr>
        <w:t xml:space="preserve"> на институциональную инклюзивность для ещё не прибыльных </w:t>
      </w:r>
      <w:r w:rsidR="007F72EE" w:rsidRPr="007F72EE">
        <w:rPr>
          <w:i/>
          <w:iCs/>
          <w:sz w:val="24"/>
          <w:szCs w:val="24"/>
          <w:lang w:val="en-US"/>
        </w:rPr>
        <w:t>hi</w:t>
      </w:r>
      <w:r w:rsidR="007F72EE" w:rsidRPr="007F72EE">
        <w:rPr>
          <w:i/>
          <w:iCs/>
          <w:sz w:val="24"/>
          <w:szCs w:val="24"/>
          <w:lang w:val="ru-RU"/>
        </w:rPr>
        <w:t>-</w:t>
      </w:r>
      <w:r w:rsidR="007F72EE" w:rsidRPr="007F72EE">
        <w:rPr>
          <w:i/>
          <w:iCs/>
          <w:sz w:val="24"/>
          <w:szCs w:val="24"/>
          <w:lang w:val="en-US"/>
        </w:rPr>
        <w:t>tech</w:t>
      </w:r>
      <w:r w:rsidR="007F72EE" w:rsidRPr="007F72EE">
        <w:rPr>
          <w:i/>
          <w:iCs/>
          <w:sz w:val="24"/>
          <w:szCs w:val="24"/>
          <w:lang w:val="ru-RU"/>
        </w:rPr>
        <w:t xml:space="preserve"> эмитентов (2024 г.) — вывод о том, что разные юрисдикции переносят фильтр готовности между регулятором, спонсором и рынком, но ни одна модель не заменяет расчётной оценки внутренней готовности, что передаёт задачу инструментарию главы 3. Общая рамка (закрытие) — связь активности </w:t>
      </w:r>
      <w:r w:rsidR="007F72EE" w:rsidRPr="007F72EE">
        <w:rPr>
          <w:i/>
          <w:iCs/>
          <w:sz w:val="24"/>
          <w:szCs w:val="24"/>
          <w:lang w:val="en-US"/>
        </w:rPr>
        <w:t>IPO</w:t>
      </w:r>
      <w:r w:rsidR="007F72EE" w:rsidRPr="007F72EE">
        <w:rPr>
          <w:i/>
          <w:iCs/>
          <w:sz w:val="24"/>
          <w:szCs w:val="24"/>
          <w:lang w:val="ru-RU"/>
        </w:rPr>
        <w:t xml:space="preserve"> и с макроэкономическими условиями: ключевая ставка, конкуренция с депозитами, окна возможностей как контекст, определяющий тайминг размещений по всей цепочке, но не качество оценки эмитента.</w:t>
      </w:r>
      <w:r w:rsidR="0018149E" w:rsidRPr="007F72EE">
        <w:rPr>
          <w:i/>
          <w:iCs/>
          <w:sz w:val="24"/>
          <w:szCs w:val="24"/>
        </w:rPr>
        <w:t>)</w:t>
      </w:r>
    </w:p>
    <w:p w14:paraId="24ADE9F4" w14:textId="1C0CE0F9" w:rsidR="007942D4" w:rsidRPr="007942D4" w:rsidRDefault="007F72EE" w:rsidP="007942D4">
      <w:pPr>
        <w:numPr>
          <w:ilvl w:val="1"/>
          <w:numId w:val="2"/>
        </w:numPr>
        <w:pBdr>
          <w:top w:val="nil"/>
          <w:left w:val="nil"/>
          <w:bottom w:val="nil"/>
          <w:right w:val="nil"/>
          <w:between w:val="nil"/>
        </w:pBdr>
        <w:tabs>
          <w:tab w:val="left" w:pos="1486"/>
          <w:tab w:val="left" w:pos="2862"/>
          <w:tab w:val="left" w:pos="4807"/>
          <w:tab w:val="left" w:pos="5173"/>
          <w:tab w:val="left" w:pos="6347"/>
          <w:tab w:val="left" w:pos="7936"/>
        </w:tabs>
        <w:spacing w:before="138" w:line="360" w:lineRule="auto"/>
        <w:ind w:right="137" w:firstLine="708"/>
        <w:jc w:val="both"/>
        <w:rPr>
          <w:i/>
          <w:iCs/>
          <w:sz w:val="24"/>
          <w:szCs w:val="24"/>
          <w:lang w:val="ru-RU"/>
        </w:rPr>
      </w:pPr>
      <w:r w:rsidRPr="007942D4">
        <w:rPr>
          <w:sz w:val="28"/>
          <w:szCs w:val="28"/>
        </w:rPr>
        <w:t>Эмпирическая динамика воронки привлечения капитала: от юридических лиц до IPO</w:t>
      </w:r>
      <w:r w:rsidRPr="007942D4">
        <w:rPr>
          <w:i/>
          <w:iCs/>
          <w:sz w:val="28"/>
          <w:szCs w:val="28"/>
        </w:rPr>
        <w:t xml:space="preserve"> </w:t>
      </w:r>
      <w:r w:rsidR="00803D2C" w:rsidRPr="007942D4">
        <w:rPr>
          <w:i/>
          <w:iCs/>
          <w:sz w:val="24"/>
          <w:szCs w:val="24"/>
        </w:rPr>
        <w:t>(</w:t>
      </w:r>
      <w:r w:rsidR="007942D4" w:rsidRPr="007942D4">
        <w:rPr>
          <w:i/>
          <w:iCs/>
          <w:sz w:val="24"/>
          <w:szCs w:val="24"/>
          <w:lang w:val="ru-RU"/>
        </w:rPr>
        <w:t>Стабильная база на фоне нестабильной конверсии: число юрлиц (≈3,18 млн) и юрлиц МСП (≈2,26 млн) почти не меняется в 2023–2025 гг., тогда как венчурные сделки (</w:t>
      </w:r>
      <w:r w:rsidR="007942D4" w:rsidRPr="007942D4">
        <w:rPr>
          <w:i/>
          <w:iCs/>
          <w:sz w:val="24"/>
          <w:szCs w:val="24"/>
          <w:lang w:val="en-US"/>
        </w:rPr>
        <w:t>Dsight</w:t>
      </w:r>
      <w:r w:rsidR="007942D4" w:rsidRPr="007942D4">
        <w:rPr>
          <w:i/>
          <w:iCs/>
          <w:sz w:val="24"/>
          <w:szCs w:val="24"/>
          <w:lang w:val="ru-RU"/>
        </w:rPr>
        <w:t xml:space="preserve">: 175→176→102, −40% в 2025 г.), эмитенты акций (215 на 01.01.2026 г.) и завершённые </w:t>
      </w:r>
      <w:r w:rsidR="007942D4" w:rsidRPr="007942D4">
        <w:rPr>
          <w:i/>
          <w:iCs/>
          <w:sz w:val="24"/>
          <w:szCs w:val="24"/>
          <w:lang w:val="en-US"/>
        </w:rPr>
        <w:t>IPO</w:t>
      </w:r>
      <w:r w:rsidR="007942D4" w:rsidRPr="007942D4">
        <w:rPr>
          <w:i/>
          <w:iCs/>
          <w:sz w:val="24"/>
          <w:szCs w:val="24"/>
          <w:lang w:val="ru-RU"/>
        </w:rPr>
        <w:t xml:space="preserve"> (−77% в 2025 г.) резко сжимаются — разрыв не в дефиците компаний, а в отсутствии механизма их диагностики на пути к капиталу. Методика Л.П. Синютина (2024) по повышению прозрачности венчурного рынка и концепция российского аналога </w:t>
      </w:r>
      <w:r w:rsidR="007942D4" w:rsidRPr="007942D4">
        <w:rPr>
          <w:i/>
          <w:iCs/>
          <w:sz w:val="24"/>
          <w:szCs w:val="24"/>
          <w:lang w:val="en-US"/>
        </w:rPr>
        <w:t>SPAC</w:t>
      </w:r>
      <w:r w:rsidR="007942D4" w:rsidRPr="007942D4">
        <w:rPr>
          <w:i/>
          <w:iCs/>
          <w:sz w:val="24"/>
          <w:szCs w:val="24"/>
          <w:lang w:val="ru-RU"/>
        </w:rPr>
        <w:t xml:space="preserve"> как предлагаемый механизм выхода из венчурных инвестиций — признание того, что даже </w:t>
      </w:r>
      <w:r w:rsidR="007942D4" w:rsidRPr="007942D4">
        <w:rPr>
          <w:i/>
          <w:iCs/>
          <w:sz w:val="24"/>
          <w:szCs w:val="24"/>
          <w:lang w:val="ru-RU"/>
        </w:rPr>
        <w:lastRenderedPageBreak/>
        <w:t xml:space="preserve">участники рынка не располагают единой статистикой воронки и работающим механизмом выхода. Риск демографической ямы стартапов 2027–2028 гг.: трёхкратное сокращение посевных инвестиций в 2025 г. и падение числа сделок </w:t>
      </w:r>
      <w:r w:rsidR="007942D4" w:rsidRPr="007942D4">
        <w:rPr>
          <w:i/>
          <w:iCs/>
          <w:sz w:val="24"/>
          <w:szCs w:val="24"/>
          <w:lang w:val="en-US"/>
        </w:rPr>
        <w:t>M</w:t>
      </w:r>
      <w:r w:rsidR="007942D4" w:rsidRPr="007942D4">
        <w:rPr>
          <w:i/>
          <w:iCs/>
          <w:sz w:val="24"/>
          <w:szCs w:val="24"/>
          <w:lang w:val="ru-RU"/>
        </w:rPr>
        <w:t>&amp;</w:t>
      </w:r>
      <w:r w:rsidR="007942D4" w:rsidRPr="007942D4">
        <w:rPr>
          <w:i/>
          <w:iCs/>
          <w:sz w:val="24"/>
          <w:szCs w:val="24"/>
          <w:lang w:val="en-US"/>
        </w:rPr>
        <w:t>A</w:t>
      </w:r>
      <w:r w:rsidR="007942D4" w:rsidRPr="007942D4">
        <w:rPr>
          <w:i/>
          <w:iCs/>
          <w:sz w:val="24"/>
          <w:szCs w:val="24"/>
          <w:lang w:val="ru-RU"/>
        </w:rPr>
        <w:t xml:space="preserve"> (с 86 до 51) как индикатор того, что капитал не возвращается для финансирования нового поколения стартапов — без единого механизма мониторинга воронки государственная задача одновременного роста капитализации биржи и венчурного финансирования не поддаётся объективной оценке промежуточного прогресса.)</w:t>
      </w:r>
    </w:p>
    <w:p w14:paraId="6A0DF663" w14:textId="02BEEBF5" w:rsidR="007942D4" w:rsidRPr="007B1F6C" w:rsidRDefault="007942D4" w:rsidP="007B1F6C">
      <w:pPr>
        <w:numPr>
          <w:ilvl w:val="1"/>
          <w:numId w:val="2"/>
        </w:numPr>
        <w:pBdr>
          <w:top w:val="nil"/>
          <w:left w:val="nil"/>
          <w:bottom w:val="nil"/>
          <w:right w:val="nil"/>
          <w:between w:val="nil"/>
        </w:pBdr>
        <w:tabs>
          <w:tab w:val="left" w:pos="1486"/>
          <w:tab w:val="left" w:pos="2862"/>
          <w:tab w:val="left" w:pos="4807"/>
          <w:tab w:val="left" w:pos="5173"/>
          <w:tab w:val="left" w:pos="6347"/>
          <w:tab w:val="left" w:pos="7936"/>
        </w:tabs>
        <w:spacing w:before="138" w:line="360" w:lineRule="auto"/>
        <w:ind w:right="137" w:firstLine="708"/>
        <w:jc w:val="both"/>
        <w:rPr>
          <w:i/>
          <w:iCs/>
          <w:sz w:val="24"/>
          <w:szCs w:val="24"/>
          <w:lang w:val="ru-RU"/>
        </w:rPr>
      </w:pPr>
      <w:r w:rsidRPr="007942D4">
        <w:rPr>
          <w:sz w:val="28"/>
          <w:szCs w:val="28"/>
        </w:rPr>
        <w:t>Доходность российских IPO как единственного этапа с наблюдаемой рыночной ценой: масштаб системной переоценки</w:t>
      </w:r>
      <w:r w:rsidRPr="007942D4">
        <w:rPr>
          <w:sz w:val="28"/>
          <w:szCs w:val="28"/>
          <w:lang w:val="ru-RU"/>
        </w:rPr>
        <w:t xml:space="preserve"> </w:t>
      </w:r>
      <w:r w:rsidRPr="007942D4">
        <w:rPr>
          <w:i/>
          <w:iCs/>
          <w:sz w:val="24"/>
          <w:szCs w:val="24"/>
          <w:lang w:val="ru-RU"/>
        </w:rPr>
        <w:t>(В отличие от предшествующих этапов пути компании к капиталу — венчурного финансирования и фондов прямых инвестиций, — где цена сделки определяется закрытыми переговорами двух сторон и системно не раскрывается, IPO остаётся единственным этапом, где формируется наблюдаемая, публично фиксируемая рыночная цена, поддающаяся эмпирическому анализу. Именно поэтому масштаб и структура системной переоценки эмпирически прослеживаются только здесь — не потому что предшествующие этапы свободны от аналогичной проблемы, а потому что только на этапе IPO существуют сопоставимые, систематически публикуемые данные (что само по себе служит дополнительной иллюстрацией шестой проблемы, сформулированной в актуальности, — разрозненности и неполноты статистики привлечения капитала на более ранних этапах).</w:t>
      </w:r>
      <w:r w:rsidR="007B1F6C" w:rsidRPr="007B1F6C">
        <w:rPr>
          <w:i/>
          <w:iCs/>
          <w:sz w:val="24"/>
          <w:szCs w:val="24"/>
          <w:lang w:val="ru-RU"/>
        </w:rPr>
        <w:t xml:space="preserve"> </w:t>
      </w:r>
      <w:r w:rsidRPr="007B1F6C">
        <w:rPr>
          <w:i/>
          <w:iCs/>
          <w:sz w:val="24"/>
          <w:szCs w:val="24"/>
          <w:lang w:val="ru-RU"/>
        </w:rPr>
        <w:t>Официальные данные Банка России: доходность первого дня торгов −5,2%, через месяц −8,7%, потери инвесторов ~30% на горизонте 1–3 лет; прямая констатация регулятором завышенных оценок, не соответствовавших финансовым результатам эмитентов; из 19 размещений 2024–2025 гг. рост показали лишь 7. Данные Р.Г. Тонояна о сжатии ценовых диапазонов вдвое (с 17,4% до 9,4%) и фиксации цены по верхней границе в 59,1% сделок после 2022 г. — свидетельство выключения рыночного фильтра коррекции завышенных оценок, ранее выполнявшегося книгой заявок. Снижение числа частных участников IPO в 4,5 раза. Вывод: систематичность переоценки указывает на методическую, а не конъюнктурную природу проблемы — задача её предупреждения переносится на этап расчётной оценки внутренней готовности компании до выхода к инвесторам, то есть на инструментарий главы 3, применимый на любом этапе пути, предшествующем размещению.)</w:t>
      </w:r>
    </w:p>
    <w:p w14:paraId="79445FEE" w14:textId="77777777" w:rsidR="00855847" w:rsidRPr="008F76E2" w:rsidRDefault="007B1F6C" w:rsidP="00855847">
      <w:pPr>
        <w:numPr>
          <w:ilvl w:val="1"/>
          <w:numId w:val="2"/>
        </w:numPr>
        <w:pBdr>
          <w:top w:val="nil"/>
          <w:left w:val="nil"/>
          <w:bottom w:val="nil"/>
          <w:right w:val="nil"/>
          <w:between w:val="nil"/>
        </w:pBdr>
        <w:tabs>
          <w:tab w:val="left" w:pos="1486"/>
          <w:tab w:val="left" w:pos="2862"/>
          <w:tab w:val="left" w:pos="4807"/>
          <w:tab w:val="left" w:pos="5173"/>
          <w:tab w:val="left" w:pos="6347"/>
          <w:tab w:val="left" w:pos="7936"/>
        </w:tabs>
        <w:spacing w:before="138" w:line="360" w:lineRule="auto"/>
        <w:ind w:right="137" w:firstLine="708"/>
        <w:jc w:val="both"/>
        <w:rPr>
          <w:i/>
          <w:iCs/>
          <w:sz w:val="24"/>
          <w:szCs w:val="24"/>
        </w:rPr>
      </w:pPr>
      <w:r w:rsidRPr="007B1F6C">
        <w:rPr>
          <w:sz w:val="28"/>
          <w:szCs w:val="28"/>
        </w:rPr>
        <w:t>Контрастный анализ кейсов: типология рисков неготовности к капиталу на разных этапах пути</w:t>
      </w:r>
      <w:r w:rsidR="00855847" w:rsidRPr="00855847">
        <w:rPr>
          <w:i/>
          <w:iCs/>
          <w:sz w:val="24"/>
          <w:szCs w:val="24"/>
          <w:lang w:val="ru-RU"/>
        </w:rPr>
        <w:t xml:space="preserve"> </w:t>
      </w:r>
      <w:r w:rsidR="00855847" w:rsidRPr="008F76E2">
        <w:rPr>
          <w:i/>
          <w:iCs/>
          <w:sz w:val="24"/>
          <w:szCs w:val="24"/>
          <w:lang w:val="ru-RU"/>
        </w:rPr>
        <w:t xml:space="preserve">(Типология рисков неготовности к капиталу выстраивается по этапам пути: </w:t>
      </w:r>
    </w:p>
    <w:p w14:paraId="3BB16B8D" w14:textId="73C575C8" w:rsidR="00855847" w:rsidRPr="008F76E2" w:rsidRDefault="00855847" w:rsidP="00855847">
      <w:pPr>
        <w:pBdr>
          <w:top w:val="nil"/>
          <w:left w:val="nil"/>
          <w:bottom w:val="nil"/>
          <w:right w:val="nil"/>
          <w:between w:val="nil"/>
        </w:pBdr>
        <w:tabs>
          <w:tab w:val="left" w:pos="1486"/>
          <w:tab w:val="left" w:pos="2862"/>
          <w:tab w:val="left" w:pos="4807"/>
          <w:tab w:val="left" w:pos="5173"/>
          <w:tab w:val="left" w:pos="6347"/>
          <w:tab w:val="left" w:pos="7936"/>
        </w:tabs>
        <w:spacing w:before="138" w:line="360" w:lineRule="auto"/>
        <w:ind w:left="848" w:right="137"/>
        <w:jc w:val="both"/>
        <w:rPr>
          <w:i/>
          <w:iCs/>
          <w:sz w:val="24"/>
          <w:szCs w:val="24"/>
        </w:rPr>
      </w:pPr>
      <w:r w:rsidRPr="008F76E2">
        <w:rPr>
          <w:i/>
          <w:iCs/>
          <w:sz w:val="24"/>
          <w:szCs w:val="24"/>
          <w:lang w:val="ru-RU"/>
        </w:rPr>
        <w:t>— венчурный этап: риск неполной институционализации при успешном привлечении средств (</w:t>
      </w:r>
      <w:r w:rsidRPr="008F76E2">
        <w:rPr>
          <w:i/>
          <w:iCs/>
          <w:sz w:val="24"/>
          <w:szCs w:val="24"/>
          <w:lang w:val="en-US"/>
        </w:rPr>
        <w:t>KupiVIP</w:t>
      </w:r>
      <w:r w:rsidRPr="008F76E2">
        <w:rPr>
          <w:i/>
          <w:iCs/>
          <w:sz w:val="24"/>
          <w:szCs w:val="24"/>
          <w:lang w:val="ru-RU"/>
        </w:rPr>
        <w:t xml:space="preserve"> — $100 млн+ от фондов первого эшелона, публичный план </w:t>
      </w:r>
      <w:r w:rsidRPr="008F76E2">
        <w:rPr>
          <w:i/>
          <w:iCs/>
          <w:sz w:val="24"/>
          <w:szCs w:val="24"/>
          <w:lang w:val="en-US"/>
        </w:rPr>
        <w:t>IPO</w:t>
      </w:r>
      <w:r w:rsidRPr="008F76E2">
        <w:rPr>
          <w:i/>
          <w:iCs/>
          <w:sz w:val="24"/>
          <w:szCs w:val="24"/>
          <w:lang w:val="ru-RU"/>
        </w:rPr>
        <w:t xml:space="preserve"> 2012 г., </w:t>
      </w:r>
      <w:r w:rsidRPr="008F76E2">
        <w:rPr>
          <w:i/>
          <w:iCs/>
          <w:sz w:val="24"/>
          <w:szCs w:val="24"/>
          <w:lang w:val="ru-RU"/>
        </w:rPr>
        <w:lastRenderedPageBreak/>
        <w:t xml:space="preserve">но структурная неготовность привела к закрытию в 2021 г.) и риск самостоятельной, не подкреплённой институциональным эталоном подготовки (Ареги — сорванная сделка с фондом, неудачная последующая самостоятельная попытка выйти на </w:t>
      </w:r>
      <w:r w:rsidRPr="008F76E2">
        <w:rPr>
          <w:i/>
          <w:iCs/>
          <w:sz w:val="24"/>
          <w:szCs w:val="24"/>
          <w:lang w:val="en-US"/>
        </w:rPr>
        <w:t>IPO</w:t>
      </w:r>
      <w:r w:rsidRPr="008F76E2">
        <w:rPr>
          <w:i/>
          <w:iCs/>
          <w:sz w:val="24"/>
          <w:szCs w:val="24"/>
          <w:lang w:val="ru-RU"/>
        </w:rPr>
        <w:t>);</w:t>
      </w:r>
    </w:p>
    <w:p w14:paraId="2077C47C" w14:textId="4BEAFC9D" w:rsidR="00855847" w:rsidRPr="008F76E2" w:rsidRDefault="00855847" w:rsidP="00855847">
      <w:pPr>
        <w:pBdr>
          <w:top w:val="nil"/>
          <w:left w:val="nil"/>
          <w:bottom w:val="nil"/>
          <w:right w:val="nil"/>
          <w:between w:val="nil"/>
        </w:pBdr>
        <w:tabs>
          <w:tab w:val="left" w:pos="1446"/>
        </w:tabs>
        <w:spacing w:before="138" w:line="360" w:lineRule="auto"/>
        <w:ind w:left="848" w:right="143"/>
        <w:jc w:val="both"/>
        <w:rPr>
          <w:i/>
          <w:iCs/>
          <w:sz w:val="24"/>
          <w:szCs w:val="24"/>
          <w:lang w:val="ru-RU"/>
        </w:rPr>
      </w:pPr>
      <w:r w:rsidRPr="008F76E2">
        <w:rPr>
          <w:i/>
          <w:iCs/>
          <w:sz w:val="24"/>
          <w:szCs w:val="24"/>
          <w:lang w:val="ru-RU"/>
        </w:rPr>
        <w:t>— этап фондов прямых инвестиций (</w:t>
      </w:r>
      <w:r w:rsidRPr="008F76E2">
        <w:rPr>
          <w:i/>
          <w:iCs/>
          <w:sz w:val="24"/>
          <w:szCs w:val="24"/>
          <w:lang w:val="en-US"/>
        </w:rPr>
        <w:t>PE</w:t>
      </w:r>
      <w:r w:rsidRPr="008F76E2">
        <w:rPr>
          <w:i/>
          <w:iCs/>
          <w:sz w:val="24"/>
          <w:szCs w:val="24"/>
          <w:lang w:val="ru-RU"/>
        </w:rPr>
        <w:t>): риск срыва сделки специальной ситуации (</w:t>
      </w:r>
      <w:r w:rsidRPr="008F76E2">
        <w:rPr>
          <w:i/>
          <w:iCs/>
          <w:sz w:val="24"/>
          <w:szCs w:val="24"/>
          <w:lang w:val="en-US"/>
        </w:rPr>
        <w:t>special</w:t>
      </w:r>
      <w:r w:rsidRPr="008F76E2">
        <w:rPr>
          <w:i/>
          <w:iCs/>
          <w:sz w:val="24"/>
          <w:szCs w:val="24"/>
          <w:lang w:val="ru-RU"/>
        </w:rPr>
        <w:t xml:space="preserve"> </w:t>
      </w:r>
      <w:r w:rsidRPr="008F76E2">
        <w:rPr>
          <w:i/>
          <w:iCs/>
          <w:sz w:val="24"/>
          <w:szCs w:val="24"/>
          <w:lang w:val="en-US"/>
        </w:rPr>
        <w:t>situations</w:t>
      </w:r>
      <w:r w:rsidRPr="008F76E2">
        <w:rPr>
          <w:i/>
          <w:iCs/>
          <w:sz w:val="24"/>
          <w:szCs w:val="24"/>
          <w:lang w:val="ru-RU"/>
        </w:rPr>
        <w:t xml:space="preserve">) при попытке реструктуризации зрелого бизнеса — компания «Штрих», до 2022 г. демонстрировавшая стабильную выручку и прибыль, столкнулась с разрывом цепочек поставок и вынужденным переходом на дорогие компоненты внутреннего рынка, ростом долговой нагрузки и падением продаж; последовавшая попытка привлечь институционального инвестора (РФПИ) совместно с банком-партнёром для реструктуризации портфеля финансирования и диверсификации бизнес-модели (переход к пропорции 50/50 между продажей оборудования и </w:t>
      </w:r>
      <w:r w:rsidRPr="008F76E2">
        <w:rPr>
          <w:i/>
          <w:iCs/>
          <w:sz w:val="24"/>
          <w:szCs w:val="24"/>
          <w:lang w:val="en-US"/>
        </w:rPr>
        <w:t>IT</w:t>
      </w:r>
      <w:r w:rsidRPr="008F76E2">
        <w:rPr>
          <w:i/>
          <w:iCs/>
          <w:sz w:val="24"/>
          <w:szCs w:val="24"/>
          <w:lang w:val="ru-RU"/>
        </w:rPr>
        <w:t xml:space="preserve">-услугами) не была реализована — иллюстрация того, что даже зрелая, ранее прибыльная компания может не пройти диагностику готовности к </w:t>
      </w:r>
      <w:r w:rsidRPr="008F76E2">
        <w:rPr>
          <w:i/>
          <w:iCs/>
          <w:sz w:val="24"/>
          <w:szCs w:val="24"/>
          <w:lang w:val="en-US"/>
        </w:rPr>
        <w:t>PE</w:t>
      </w:r>
      <w:r w:rsidRPr="008F76E2">
        <w:rPr>
          <w:i/>
          <w:iCs/>
          <w:sz w:val="24"/>
          <w:szCs w:val="24"/>
          <w:lang w:val="ru-RU"/>
        </w:rPr>
        <w:t>-сделке после внешнего шока;</w:t>
      </w:r>
    </w:p>
    <w:p w14:paraId="2DB98EBB" w14:textId="77777777" w:rsidR="00855847" w:rsidRPr="008F76E2" w:rsidRDefault="00855847" w:rsidP="00855847">
      <w:pPr>
        <w:pBdr>
          <w:top w:val="nil"/>
          <w:left w:val="nil"/>
          <w:bottom w:val="nil"/>
          <w:right w:val="nil"/>
          <w:between w:val="nil"/>
        </w:pBdr>
        <w:tabs>
          <w:tab w:val="left" w:pos="1446"/>
        </w:tabs>
        <w:spacing w:before="138" w:line="360" w:lineRule="auto"/>
        <w:ind w:left="848" w:right="143"/>
        <w:jc w:val="both"/>
        <w:rPr>
          <w:i/>
          <w:iCs/>
          <w:sz w:val="24"/>
          <w:szCs w:val="24"/>
          <w:lang w:val="ru-RU"/>
        </w:rPr>
      </w:pPr>
      <w:r w:rsidRPr="008F76E2">
        <w:rPr>
          <w:i/>
          <w:iCs/>
          <w:sz w:val="24"/>
          <w:szCs w:val="24"/>
          <w:lang w:val="ru-RU"/>
        </w:rPr>
        <w:t xml:space="preserve">— </w:t>
      </w:r>
      <w:r w:rsidRPr="008F76E2">
        <w:rPr>
          <w:i/>
          <w:iCs/>
          <w:sz w:val="24"/>
          <w:szCs w:val="24"/>
          <w:lang w:val="en-US"/>
        </w:rPr>
        <w:t>pre</w:t>
      </w:r>
      <w:r w:rsidRPr="008F76E2">
        <w:rPr>
          <w:i/>
          <w:iCs/>
          <w:sz w:val="24"/>
          <w:szCs w:val="24"/>
          <w:lang w:val="ru-RU"/>
        </w:rPr>
        <w:t>-</w:t>
      </w:r>
      <w:r w:rsidRPr="008F76E2">
        <w:rPr>
          <w:i/>
          <w:iCs/>
          <w:sz w:val="24"/>
          <w:szCs w:val="24"/>
          <w:lang w:val="en-US"/>
        </w:rPr>
        <w:t>IPO</w:t>
      </w:r>
      <w:r w:rsidRPr="008F76E2">
        <w:rPr>
          <w:i/>
          <w:iCs/>
          <w:sz w:val="24"/>
          <w:szCs w:val="24"/>
          <w:lang w:val="ru-RU"/>
        </w:rPr>
        <w:t xml:space="preserve"> этап: риск, материализующийся уже после формального прохождения процедуры отбора (Петрокартон — 25+ лет на рынке, размещение объявлено и начат сбор заявок, но выпуск аннулирован ЦБ в мае 2026 г.);</w:t>
      </w:r>
    </w:p>
    <w:p w14:paraId="42A572ED" w14:textId="77777777" w:rsidR="00855847" w:rsidRPr="008F76E2" w:rsidRDefault="00855847" w:rsidP="00855847">
      <w:pPr>
        <w:pBdr>
          <w:top w:val="nil"/>
          <w:left w:val="nil"/>
          <w:bottom w:val="nil"/>
          <w:right w:val="nil"/>
          <w:between w:val="nil"/>
        </w:pBdr>
        <w:tabs>
          <w:tab w:val="left" w:pos="1446"/>
        </w:tabs>
        <w:spacing w:before="138" w:line="360" w:lineRule="auto"/>
        <w:ind w:left="848" w:right="143"/>
        <w:jc w:val="both"/>
        <w:rPr>
          <w:i/>
          <w:iCs/>
          <w:sz w:val="24"/>
          <w:szCs w:val="24"/>
          <w:lang w:val="ru-RU"/>
        </w:rPr>
      </w:pPr>
      <w:r w:rsidRPr="008F76E2">
        <w:rPr>
          <w:i/>
          <w:iCs/>
          <w:sz w:val="24"/>
          <w:szCs w:val="24"/>
          <w:lang w:val="ru-RU"/>
        </w:rPr>
        <w:t xml:space="preserve">— </w:t>
      </w:r>
      <w:r w:rsidRPr="008F76E2">
        <w:rPr>
          <w:i/>
          <w:iCs/>
          <w:sz w:val="24"/>
          <w:szCs w:val="24"/>
          <w:lang w:val="en-US"/>
        </w:rPr>
        <w:t>IPO</w:t>
      </w:r>
      <w:r w:rsidRPr="008F76E2">
        <w:rPr>
          <w:i/>
          <w:iCs/>
          <w:sz w:val="24"/>
          <w:szCs w:val="24"/>
          <w:lang w:val="ru-RU"/>
        </w:rPr>
        <w:t xml:space="preserve"> этап: </w:t>
      </w:r>
      <w:r w:rsidRPr="008F76E2">
        <w:rPr>
          <w:i/>
          <w:iCs/>
          <w:sz w:val="24"/>
          <w:szCs w:val="24"/>
          <w:lang w:val="en-US"/>
        </w:rPr>
        <w:t>governance</w:t>
      </w:r>
      <w:r w:rsidRPr="008F76E2">
        <w:rPr>
          <w:i/>
          <w:iCs/>
          <w:sz w:val="24"/>
          <w:szCs w:val="24"/>
          <w:lang w:val="ru-RU"/>
        </w:rPr>
        <w:t xml:space="preserve">-риск (ЮГК — национализация активов при растущей выручке и </w:t>
      </w:r>
      <w:r w:rsidRPr="008F76E2">
        <w:rPr>
          <w:i/>
          <w:iCs/>
          <w:sz w:val="24"/>
          <w:szCs w:val="24"/>
          <w:lang w:val="en-US"/>
        </w:rPr>
        <w:t>EBITDA</w:t>
      </w:r>
      <w:r w:rsidRPr="008F76E2">
        <w:rPr>
          <w:i/>
          <w:iCs/>
          <w:sz w:val="24"/>
          <w:szCs w:val="24"/>
          <w:lang w:val="ru-RU"/>
        </w:rPr>
        <w:t xml:space="preserve">; </w:t>
      </w:r>
      <w:r w:rsidRPr="008F76E2">
        <w:rPr>
          <w:i/>
          <w:iCs/>
          <w:sz w:val="24"/>
          <w:szCs w:val="24"/>
          <w:lang w:val="en-US"/>
        </w:rPr>
        <w:t>IVA</w:t>
      </w:r>
      <w:r w:rsidRPr="008F76E2">
        <w:rPr>
          <w:i/>
          <w:iCs/>
          <w:sz w:val="24"/>
          <w:szCs w:val="24"/>
          <w:lang w:val="ru-RU"/>
        </w:rPr>
        <w:t xml:space="preserve"> </w:t>
      </w:r>
      <w:r w:rsidRPr="008F76E2">
        <w:rPr>
          <w:i/>
          <w:iCs/>
          <w:sz w:val="24"/>
          <w:szCs w:val="24"/>
          <w:lang w:val="en-US"/>
        </w:rPr>
        <w:t>Technologies</w:t>
      </w:r>
      <w:r w:rsidRPr="008F76E2">
        <w:rPr>
          <w:i/>
          <w:iCs/>
          <w:sz w:val="24"/>
          <w:szCs w:val="24"/>
          <w:lang w:val="ru-RU"/>
        </w:rPr>
        <w:t xml:space="preserve"> — структурный риск низкой ликвидности при </w:t>
      </w:r>
      <w:r w:rsidRPr="008F76E2">
        <w:rPr>
          <w:i/>
          <w:iCs/>
          <w:sz w:val="24"/>
          <w:szCs w:val="24"/>
          <w:lang w:val="en-US"/>
        </w:rPr>
        <w:t>free</w:t>
      </w:r>
      <w:r w:rsidRPr="008F76E2">
        <w:rPr>
          <w:i/>
          <w:iCs/>
          <w:sz w:val="24"/>
          <w:szCs w:val="24"/>
          <w:lang w:val="ru-RU"/>
        </w:rPr>
        <w:t>-</w:t>
      </w:r>
      <w:r w:rsidRPr="008F76E2">
        <w:rPr>
          <w:i/>
          <w:iCs/>
          <w:sz w:val="24"/>
          <w:szCs w:val="24"/>
          <w:lang w:val="en-US"/>
        </w:rPr>
        <w:t>float</w:t>
      </w:r>
      <w:r w:rsidRPr="008F76E2">
        <w:rPr>
          <w:i/>
          <w:iCs/>
          <w:sz w:val="24"/>
          <w:szCs w:val="24"/>
          <w:lang w:val="ru-RU"/>
        </w:rPr>
        <w:t xml:space="preserve"> 11%), риск слабого финансового менеджмента (Делимобиль — долговая нагрузка 6,4× чистый долг/</w:t>
      </w:r>
      <w:r w:rsidRPr="008F76E2">
        <w:rPr>
          <w:i/>
          <w:iCs/>
          <w:sz w:val="24"/>
          <w:szCs w:val="24"/>
          <w:lang w:val="en-US"/>
        </w:rPr>
        <w:t>EBITDA</w:t>
      </w:r>
      <w:r w:rsidRPr="008F76E2">
        <w:rPr>
          <w:i/>
          <w:iCs/>
          <w:sz w:val="24"/>
          <w:szCs w:val="24"/>
          <w:lang w:val="ru-RU"/>
        </w:rPr>
        <w:t xml:space="preserve">; Диасофт — несоответствие прогнозов менеджмента фактическим результатам; </w:t>
      </w:r>
      <w:r w:rsidRPr="008F76E2">
        <w:rPr>
          <w:i/>
          <w:iCs/>
          <w:sz w:val="24"/>
          <w:szCs w:val="24"/>
          <w:lang w:val="en-US"/>
        </w:rPr>
        <w:t>Whoosh</w:t>
      </w:r>
      <w:r w:rsidRPr="008F76E2">
        <w:rPr>
          <w:i/>
          <w:iCs/>
          <w:sz w:val="24"/>
          <w:szCs w:val="24"/>
          <w:lang w:val="ru-RU"/>
        </w:rPr>
        <w:t xml:space="preserve"> — неподтверждённое качество финансового планирования в сочетании с агрессивной структурой признания выручки), контрольная группа устойчивого успеха (Озон Фармацевтика, Промомед, Группа Аренадата, АПРИ).</w:t>
      </w:r>
    </w:p>
    <w:p w14:paraId="0C4A7F31" w14:textId="09C2B878" w:rsidR="006A12BC" w:rsidRPr="008F76E2" w:rsidRDefault="00855847" w:rsidP="008F76E2">
      <w:pPr>
        <w:pBdr>
          <w:top w:val="nil"/>
          <w:left w:val="nil"/>
          <w:bottom w:val="nil"/>
          <w:right w:val="nil"/>
          <w:between w:val="nil"/>
        </w:pBdr>
        <w:tabs>
          <w:tab w:val="left" w:pos="1446"/>
        </w:tabs>
        <w:spacing w:before="138" w:line="360" w:lineRule="auto"/>
        <w:ind w:right="143"/>
        <w:jc w:val="both"/>
        <w:rPr>
          <w:i/>
          <w:iCs/>
          <w:sz w:val="24"/>
          <w:szCs w:val="24"/>
          <w:lang w:val="ru-RU"/>
        </w:rPr>
      </w:pPr>
      <w:r w:rsidRPr="008F76E2">
        <w:rPr>
          <w:i/>
          <w:iCs/>
          <w:sz w:val="24"/>
          <w:szCs w:val="24"/>
          <w:lang w:val="ru-RU"/>
        </w:rPr>
        <w:t xml:space="preserve">Дивидендное измерение представлено двумя состояниями одного фактора: ЮГК — материализовавшийся риск (невыплата дивидендов миноритариям при распределении прибыли в пользу совета директоров), АПРИ — наблюдаемый, но не материализовавшийся паттерн (дивидендная политика утверждена за месяц до </w:t>
      </w:r>
      <w:r w:rsidRPr="008F76E2">
        <w:rPr>
          <w:i/>
          <w:iCs/>
          <w:sz w:val="24"/>
          <w:szCs w:val="24"/>
          <w:lang w:val="en-US"/>
        </w:rPr>
        <w:t>IPO</w:t>
      </w:r>
      <w:r w:rsidRPr="008F76E2">
        <w:rPr>
          <w:i/>
          <w:iCs/>
          <w:sz w:val="24"/>
          <w:szCs w:val="24"/>
          <w:lang w:val="ru-RU"/>
        </w:rPr>
        <w:t>, выплаты прекращены после размещения при росте котировок на ~60% — сигнал, зафиксированный до его ценовой материализации).</w:t>
      </w:r>
      <w:r w:rsidR="008F76E2">
        <w:rPr>
          <w:i/>
          <w:iCs/>
          <w:sz w:val="24"/>
          <w:szCs w:val="24"/>
          <w:lang w:val="ru-RU"/>
        </w:rPr>
        <w:t xml:space="preserve"> </w:t>
      </w:r>
      <w:r w:rsidRPr="008F76E2">
        <w:rPr>
          <w:i/>
          <w:iCs/>
          <w:sz w:val="24"/>
          <w:szCs w:val="24"/>
          <w:lang w:val="ru-RU"/>
        </w:rPr>
        <w:t>Мотив размещения (</w:t>
      </w:r>
      <w:r w:rsidRPr="008F76E2">
        <w:rPr>
          <w:i/>
          <w:iCs/>
          <w:sz w:val="24"/>
          <w:szCs w:val="24"/>
          <w:lang w:val="en-US"/>
        </w:rPr>
        <w:t>cash</w:t>
      </w:r>
      <w:r w:rsidRPr="008F76E2">
        <w:rPr>
          <w:i/>
          <w:iCs/>
          <w:sz w:val="24"/>
          <w:szCs w:val="24"/>
          <w:lang w:val="ru-RU"/>
        </w:rPr>
        <w:t>-</w:t>
      </w:r>
      <w:r w:rsidRPr="008F76E2">
        <w:rPr>
          <w:i/>
          <w:iCs/>
          <w:sz w:val="24"/>
          <w:szCs w:val="24"/>
          <w:lang w:val="en-US"/>
        </w:rPr>
        <w:t>in</w:t>
      </w:r>
      <w:r w:rsidRPr="008F76E2">
        <w:rPr>
          <w:i/>
          <w:iCs/>
          <w:sz w:val="24"/>
          <w:szCs w:val="24"/>
          <w:lang w:val="ru-RU"/>
        </w:rPr>
        <w:t xml:space="preserve"> против </w:t>
      </w:r>
      <w:r w:rsidRPr="008F76E2">
        <w:rPr>
          <w:i/>
          <w:iCs/>
          <w:sz w:val="24"/>
          <w:szCs w:val="24"/>
          <w:lang w:val="en-US"/>
        </w:rPr>
        <w:t>cash</w:t>
      </w:r>
      <w:r w:rsidRPr="008F76E2">
        <w:rPr>
          <w:i/>
          <w:iCs/>
          <w:sz w:val="24"/>
          <w:szCs w:val="24"/>
          <w:lang w:val="ru-RU"/>
        </w:rPr>
        <w:t>-</w:t>
      </w:r>
      <w:r w:rsidRPr="008F76E2">
        <w:rPr>
          <w:i/>
          <w:iCs/>
          <w:sz w:val="24"/>
          <w:szCs w:val="24"/>
          <w:lang w:val="en-US"/>
        </w:rPr>
        <w:t>out</w:t>
      </w:r>
      <w:r w:rsidRPr="008F76E2">
        <w:rPr>
          <w:i/>
          <w:iCs/>
          <w:sz w:val="24"/>
          <w:szCs w:val="24"/>
          <w:lang w:val="ru-RU"/>
        </w:rPr>
        <w:t>) — сквозной признак группы слабого финансового менеджмента вне зависимости от этапа.</w:t>
      </w:r>
      <w:r w:rsidR="008F76E2">
        <w:rPr>
          <w:i/>
          <w:iCs/>
          <w:sz w:val="24"/>
          <w:szCs w:val="24"/>
          <w:lang w:val="ru-RU"/>
        </w:rPr>
        <w:t xml:space="preserve"> </w:t>
      </w:r>
      <w:r w:rsidRPr="008F76E2">
        <w:rPr>
          <w:i/>
          <w:iCs/>
          <w:sz w:val="24"/>
          <w:szCs w:val="24"/>
          <w:lang w:val="ru-RU"/>
        </w:rPr>
        <w:t>Показательно, что один и тот же набор факторов — прозрачность владения, сделки со связанными сторонами, зрелость отчётности и аудита, качество финансового планирования, предсказуемость дивидендной политики — объясняет провалы на всех этапах пути, включая как готовые сделки (</w:t>
      </w:r>
      <w:r w:rsidRPr="008F76E2">
        <w:rPr>
          <w:i/>
          <w:iCs/>
          <w:sz w:val="24"/>
          <w:szCs w:val="24"/>
          <w:lang w:val="en-US"/>
        </w:rPr>
        <w:t>KupiVIP</w:t>
      </w:r>
      <w:r w:rsidRPr="008F76E2">
        <w:rPr>
          <w:i/>
          <w:iCs/>
          <w:sz w:val="24"/>
          <w:szCs w:val="24"/>
          <w:lang w:val="ru-RU"/>
        </w:rPr>
        <w:t xml:space="preserve">, </w:t>
      </w:r>
      <w:r w:rsidRPr="008F76E2">
        <w:rPr>
          <w:i/>
          <w:iCs/>
          <w:sz w:val="24"/>
          <w:szCs w:val="24"/>
          <w:lang w:val="en-US"/>
        </w:rPr>
        <w:t>IPO</w:t>
      </w:r>
      <w:r w:rsidRPr="008F76E2">
        <w:rPr>
          <w:i/>
          <w:iCs/>
          <w:sz w:val="24"/>
          <w:szCs w:val="24"/>
          <w:lang w:val="ru-RU"/>
        </w:rPr>
        <w:t xml:space="preserve">-группа), так и сорванные на этапе переговоров (Ареги, Штрих, частично Петрокартон), что обосновывает применимость </w:t>
      </w:r>
      <w:r w:rsidRPr="008F76E2">
        <w:rPr>
          <w:i/>
          <w:iCs/>
          <w:sz w:val="24"/>
          <w:szCs w:val="24"/>
          <w:lang w:val="ru-RU"/>
        </w:rPr>
        <w:lastRenderedPageBreak/>
        <w:t>единой каскадной методики, а не отдельных инструментов для каждого этапа.</w:t>
      </w:r>
      <w:r w:rsidR="008F76E2">
        <w:rPr>
          <w:i/>
          <w:iCs/>
          <w:sz w:val="24"/>
          <w:szCs w:val="24"/>
          <w:lang w:val="ru-RU"/>
        </w:rPr>
        <w:t xml:space="preserve"> </w:t>
      </w:r>
      <w:r w:rsidRPr="008F76E2">
        <w:rPr>
          <w:i/>
          <w:iCs/>
          <w:sz w:val="24"/>
          <w:szCs w:val="24"/>
          <w:lang w:val="ru-RU"/>
        </w:rPr>
        <w:t>Наблюдения параграфа формализуются в систему пяти факторов в §3.3, типология групп задаёт дизайн контрастной апробации в §3.7.</w:t>
      </w:r>
      <w:r w:rsidR="00342124" w:rsidRPr="008F76E2">
        <w:rPr>
          <w:i/>
          <w:iCs/>
          <w:sz w:val="24"/>
          <w:szCs w:val="24"/>
        </w:rPr>
        <w:t>)</w:t>
      </w:r>
    </w:p>
    <w:p w14:paraId="1C1F26C6" w14:textId="77777777" w:rsidR="00A63D1B" w:rsidRPr="00BD4F9E" w:rsidRDefault="00A63D1B">
      <w:pPr>
        <w:pBdr>
          <w:top w:val="nil"/>
          <w:left w:val="nil"/>
          <w:bottom w:val="nil"/>
          <w:right w:val="nil"/>
          <w:between w:val="nil"/>
        </w:pBdr>
        <w:spacing w:before="206"/>
        <w:rPr>
          <w:i/>
          <w:iCs/>
          <w:color w:val="808080" w:themeColor="background1" w:themeShade="80"/>
          <w:sz w:val="24"/>
          <w:szCs w:val="24"/>
          <w:lang w:val="ru-RU"/>
        </w:rPr>
      </w:pPr>
    </w:p>
    <w:p w14:paraId="1C1F26C7" w14:textId="3AF50C3F" w:rsidR="00A63D1B" w:rsidRPr="008F76E2" w:rsidRDefault="0018149E">
      <w:pPr>
        <w:pStyle w:val="1"/>
        <w:tabs>
          <w:tab w:val="left" w:pos="3719"/>
          <w:tab w:val="left" w:pos="7640"/>
        </w:tabs>
        <w:spacing w:line="360" w:lineRule="auto"/>
        <w:ind w:right="137" w:firstLine="708"/>
        <w:jc w:val="both"/>
      </w:pPr>
      <w:r w:rsidRPr="008F76E2">
        <w:t>Глава 3. Р</w:t>
      </w:r>
      <w:r w:rsidR="008F76E2" w:rsidRPr="008F76E2">
        <w:t>АЗРАБОТКА И АПРОБАЦИЯ МЕТОДИКИ КАСКАДНОЙ DCF-ОЦЕНКИ ИНВЕСТИЦИОННОЙ ГОТОВНОСТИ КОМПАНИИ</w:t>
      </w:r>
    </w:p>
    <w:p w14:paraId="261DB532" w14:textId="5CBCFC14" w:rsidR="00F92BE5" w:rsidRPr="00F92BE5" w:rsidRDefault="00F92BE5" w:rsidP="00F92BE5">
      <w:pPr>
        <w:pBdr>
          <w:top w:val="nil"/>
          <w:left w:val="nil"/>
          <w:bottom w:val="nil"/>
          <w:right w:val="nil"/>
          <w:between w:val="nil"/>
        </w:pBdr>
        <w:tabs>
          <w:tab w:val="left" w:pos="1337"/>
        </w:tabs>
        <w:spacing w:before="1" w:line="360" w:lineRule="auto"/>
        <w:ind w:right="150"/>
        <w:jc w:val="both"/>
        <w:rPr>
          <w:i/>
          <w:iCs/>
          <w:sz w:val="24"/>
          <w:szCs w:val="24"/>
        </w:rPr>
      </w:pPr>
      <w:r w:rsidRPr="00F92BE5">
        <w:rPr>
          <w:i/>
          <w:iCs/>
          <w:sz w:val="24"/>
          <w:szCs w:val="24"/>
        </w:rPr>
        <w:t>Настоящая глава разворачивается от компонентов к их сборке: сначала последовательно раскрываются четыре строительных блока методики — денежный поток (§3.1), ставка дисконтирования (§3.2), формализованная премия за специфический риск (§3.3) и дисконт за неликвидность (§3.4), — а затем эти блоки объединяются в единый каскадный диагностический цикл (§3.5), применимый на произвольном числе контрольных точек пути компании от венчура до IPO. Единый сценарный инструмент (§3.6) и апробация на контрастной эмпирической выборке (§3.7) завершают главу, а практические рекомендации (§3.8) переводят полученные результаты в прикладную плоскость.</w:t>
      </w:r>
    </w:p>
    <w:p w14:paraId="1C1F26C8" w14:textId="6418CA81" w:rsidR="00A63D1B" w:rsidRPr="008F76E2" w:rsidRDefault="008F76E2" w:rsidP="002948AE">
      <w:pPr>
        <w:numPr>
          <w:ilvl w:val="1"/>
          <w:numId w:val="1"/>
        </w:numPr>
        <w:pBdr>
          <w:top w:val="nil"/>
          <w:left w:val="nil"/>
          <w:bottom w:val="nil"/>
          <w:right w:val="nil"/>
          <w:between w:val="nil"/>
        </w:pBdr>
        <w:tabs>
          <w:tab w:val="left" w:pos="1337"/>
        </w:tabs>
        <w:spacing w:before="1" w:line="360" w:lineRule="auto"/>
        <w:ind w:right="150" w:firstLine="708"/>
        <w:jc w:val="both"/>
        <w:rPr>
          <w:i/>
          <w:iCs/>
          <w:sz w:val="24"/>
          <w:szCs w:val="24"/>
        </w:rPr>
      </w:pPr>
      <w:r w:rsidRPr="008F76E2">
        <w:rPr>
          <w:sz w:val="28"/>
          <w:szCs w:val="28"/>
        </w:rPr>
        <w:t>Формирование денежного потока компании на этапах привлечения капитала</w:t>
      </w:r>
      <w:r w:rsidR="002948AE" w:rsidRPr="008F76E2">
        <w:rPr>
          <w:sz w:val="28"/>
          <w:szCs w:val="28"/>
          <w:lang w:val="ru-RU"/>
        </w:rPr>
        <w:t xml:space="preserve"> </w:t>
      </w:r>
      <w:r w:rsidR="002948AE" w:rsidRPr="008F76E2">
        <w:rPr>
          <w:i/>
          <w:iCs/>
          <w:sz w:val="24"/>
          <w:szCs w:val="24"/>
        </w:rPr>
        <w:t xml:space="preserve">(числитель </w:t>
      </w:r>
      <w:r w:rsidR="007C2AA8" w:rsidRPr="008F76E2">
        <w:rPr>
          <w:i/>
          <w:iCs/>
          <w:sz w:val="24"/>
          <w:szCs w:val="24"/>
        </w:rPr>
        <w:t xml:space="preserve">— </w:t>
      </w:r>
      <w:r w:rsidR="002948AE" w:rsidRPr="008F76E2">
        <w:rPr>
          <w:i/>
          <w:iCs/>
          <w:sz w:val="24"/>
          <w:szCs w:val="24"/>
        </w:rPr>
        <w:t xml:space="preserve">DCF как главный инструмент оценки; нормализация исторической базы в порядке убывания значимости — разовые доходы и расходы, growth/maintenance capex, оборотный капитал, внутригрупповые сделки; драйверный прогноз свободного денежного потока — декомпозиция выручки на объём и цену с проверкой заявленной траектории роста на реализуемость, прогноз маржи, оборотного капитала и капзатрат на явный период; разовые расходы на подготовку к </w:t>
      </w:r>
      <w:r w:rsidRPr="008F76E2">
        <w:rPr>
          <w:i/>
          <w:iCs/>
          <w:sz w:val="24"/>
          <w:szCs w:val="24"/>
          <w:lang w:val="ru-RU"/>
        </w:rPr>
        <w:t>привлечению капитала (в т.ч. аудит, оценка, листинг)</w:t>
      </w:r>
      <w:r w:rsidR="002948AE" w:rsidRPr="008F76E2">
        <w:rPr>
          <w:i/>
          <w:iCs/>
          <w:sz w:val="24"/>
          <w:szCs w:val="24"/>
        </w:rPr>
        <w:t xml:space="preserve"> учитываются в прогнозном периоде и исключаются из устойчивого потока для терминальной стоимости; многостадийная терминальная стоимость: рост → fade-период → устойчивое состояние с привязкой темпа затухания к зрелости отрасли; разграничение с п. 3.3 во избежание двойного учёта внутригрупповых сделок)</w:t>
      </w:r>
    </w:p>
    <w:p w14:paraId="649CF656" w14:textId="4CA43512" w:rsidR="007C2AA8" w:rsidRPr="00BD4F9E" w:rsidRDefault="008F76E2" w:rsidP="007C2AA8">
      <w:pPr>
        <w:numPr>
          <w:ilvl w:val="1"/>
          <w:numId w:val="1"/>
        </w:numPr>
        <w:pBdr>
          <w:top w:val="nil"/>
          <w:left w:val="nil"/>
          <w:bottom w:val="nil"/>
          <w:right w:val="nil"/>
          <w:between w:val="nil"/>
        </w:pBdr>
        <w:tabs>
          <w:tab w:val="left" w:pos="1337"/>
        </w:tabs>
        <w:spacing w:before="1" w:line="360" w:lineRule="auto"/>
        <w:ind w:right="150" w:firstLine="708"/>
        <w:jc w:val="both"/>
        <w:rPr>
          <w:color w:val="808080" w:themeColor="background1" w:themeShade="80"/>
          <w:sz w:val="28"/>
          <w:szCs w:val="28"/>
        </w:rPr>
      </w:pPr>
      <w:r w:rsidRPr="008F76E2">
        <w:rPr>
          <w:sz w:val="28"/>
          <w:szCs w:val="28"/>
        </w:rPr>
        <w:t>Реконструкция ставки дисконтирования непубличной компании: гибридная модель CAPM и build-up </w:t>
      </w:r>
      <w:r w:rsidRPr="008F76E2">
        <w:rPr>
          <w:i/>
          <w:iCs/>
          <w:sz w:val="28"/>
          <w:szCs w:val="28"/>
        </w:rPr>
        <w:t xml:space="preserve"> </w:t>
      </w:r>
      <w:r w:rsidR="007C2AA8" w:rsidRPr="008F76E2">
        <w:rPr>
          <w:i/>
          <w:iCs/>
          <w:sz w:val="24"/>
          <w:szCs w:val="24"/>
        </w:rPr>
        <w:t>(знаменатель — ставка дисконтирования как инструмент</w:t>
      </w:r>
      <w:r w:rsidR="00EB24A1" w:rsidRPr="008F76E2">
        <w:rPr>
          <w:i/>
          <w:iCs/>
          <w:sz w:val="24"/>
          <w:szCs w:val="24"/>
        </w:rPr>
        <w:t>:</w:t>
      </w:r>
      <w:r w:rsidR="007C2AA8" w:rsidRPr="008F76E2">
        <w:rPr>
          <w:i/>
          <w:iCs/>
          <w:sz w:val="24"/>
          <w:szCs w:val="24"/>
        </w:rPr>
        <w:t xml:space="preserve"> поскольку у </w:t>
      </w:r>
      <w:r w:rsidRPr="008F76E2">
        <w:rPr>
          <w:i/>
          <w:iCs/>
          <w:sz w:val="24"/>
          <w:szCs w:val="24"/>
          <w:lang w:val="ru-RU"/>
        </w:rPr>
        <w:t>непубличной</w:t>
      </w:r>
      <w:r w:rsidR="007C2AA8" w:rsidRPr="008F76E2">
        <w:rPr>
          <w:i/>
          <w:iCs/>
          <w:sz w:val="24"/>
          <w:szCs w:val="24"/>
        </w:rPr>
        <w:t xml:space="preserve"> компании</w:t>
      </w:r>
      <w:r w:rsidRPr="008F76E2">
        <w:rPr>
          <w:i/>
          <w:iCs/>
          <w:sz w:val="24"/>
          <w:szCs w:val="24"/>
          <w:lang w:val="ru-RU"/>
        </w:rPr>
        <w:t xml:space="preserve"> на любом этапе привоечения капитала</w:t>
      </w:r>
      <w:r w:rsidR="007C2AA8" w:rsidRPr="008F76E2">
        <w:rPr>
          <w:i/>
          <w:iCs/>
          <w:sz w:val="24"/>
          <w:szCs w:val="24"/>
        </w:rPr>
        <w:t xml:space="preserve"> нет собственной рыночной истории, ставка восстанавливается расчётным путём: безрисковая ставка по кривой ОФЗ без задвоения странового риска; bottom-up синтетическая бета через отбор аналогов с дружественных рынков, разлевериджирование по Хамаде и релевериджирование на целевую структуру капитала; итеративная процедура устранения циркулярности между структурой капитала и расчётной стоимостью)</w:t>
      </w:r>
    </w:p>
    <w:p w14:paraId="13718C63" w14:textId="7EC1944E" w:rsidR="00EB24A1" w:rsidRPr="008740C1" w:rsidRDefault="00EB24A1" w:rsidP="008740C1">
      <w:pPr>
        <w:numPr>
          <w:ilvl w:val="1"/>
          <w:numId w:val="1"/>
        </w:numPr>
        <w:pBdr>
          <w:top w:val="nil"/>
          <w:left w:val="nil"/>
          <w:bottom w:val="nil"/>
          <w:right w:val="nil"/>
          <w:between w:val="nil"/>
        </w:pBdr>
        <w:tabs>
          <w:tab w:val="left" w:pos="1347"/>
        </w:tabs>
        <w:spacing w:before="1" w:line="360" w:lineRule="auto"/>
        <w:ind w:right="145" w:firstLine="708"/>
        <w:jc w:val="both"/>
        <w:rPr>
          <w:i/>
          <w:iCs/>
          <w:sz w:val="24"/>
          <w:szCs w:val="24"/>
          <w:lang w:val="ru-RU"/>
        </w:rPr>
      </w:pPr>
      <w:r w:rsidRPr="00E1378D">
        <w:rPr>
          <w:sz w:val="28"/>
          <w:szCs w:val="28"/>
        </w:rPr>
        <w:t xml:space="preserve">Формализованный расчёт </w:t>
      </w:r>
      <w:r w:rsidRPr="00E1378D">
        <w:rPr>
          <w:sz w:val="28"/>
          <w:szCs w:val="28"/>
          <w:lang w:val="en-US"/>
        </w:rPr>
        <w:t>company</w:t>
      </w:r>
      <w:r w:rsidRPr="00E1378D">
        <w:rPr>
          <w:sz w:val="28"/>
          <w:szCs w:val="28"/>
        </w:rPr>
        <w:t>-</w:t>
      </w:r>
      <w:r w:rsidRPr="00E1378D">
        <w:rPr>
          <w:sz w:val="28"/>
          <w:szCs w:val="28"/>
          <w:lang w:val="en-US"/>
        </w:rPr>
        <w:t>specific</w:t>
      </w:r>
      <w:r w:rsidRPr="00E1378D">
        <w:rPr>
          <w:sz w:val="28"/>
          <w:szCs w:val="28"/>
        </w:rPr>
        <w:t xml:space="preserve"> </w:t>
      </w:r>
      <w:r w:rsidRPr="00E1378D">
        <w:rPr>
          <w:sz w:val="28"/>
          <w:szCs w:val="28"/>
          <w:lang w:val="en-US"/>
        </w:rPr>
        <w:t>premium</w:t>
      </w:r>
      <w:r w:rsidRPr="00E1378D">
        <w:rPr>
          <w:sz w:val="28"/>
          <w:szCs w:val="28"/>
        </w:rPr>
        <w:t xml:space="preserve"> методом анализа </w:t>
      </w:r>
      <w:r w:rsidRPr="00E1378D">
        <w:rPr>
          <w:sz w:val="28"/>
          <w:szCs w:val="28"/>
        </w:rPr>
        <w:lastRenderedPageBreak/>
        <w:t>иерархий Саати</w:t>
      </w:r>
      <w:r w:rsidRPr="00E1378D">
        <w:rPr>
          <w:sz w:val="28"/>
          <w:szCs w:val="28"/>
          <w:lang w:val="ru-RU"/>
        </w:rPr>
        <w:t xml:space="preserve"> </w:t>
      </w:r>
      <w:r w:rsidRPr="00E1378D">
        <w:rPr>
          <w:i/>
          <w:iCs/>
          <w:sz w:val="24"/>
          <w:szCs w:val="24"/>
        </w:rPr>
        <w:t>(</w:t>
      </w:r>
      <w:r w:rsidR="008740C1" w:rsidRPr="008740C1">
        <w:rPr>
          <w:i/>
          <w:iCs/>
          <w:sz w:val="24"/>
          <w:szCs w:val="24"/>
          <w:lang w:val="ru-RU"/>
        </w:rPr>
        <w:t xml:space="preserve">Пять факторов, операционализирующих теоретические категории, </w:t>
      </w:r>
      <w:r w:rsidR="008740C1">
        <w:rPr>
          <w:i/>
          <w:iCs/>
          <w:sz w:val="24"/>
          <w:szCs w:val="24"/>
          <w:lang w:val="ru-RU"/>
        </w:rPr>
        <w:t xml:space="preserve">перечисленные в </w:t>
      </w:r>
      <w:r w:rsidR="008740C1" w:rsidRPr="008740C1">
        <w:rPr>
          <w:i/>
          <w:iCs/>
          <w:sz w:val="24"/>
          <w:szCs w:val="24"/>
          <w:lang w:val="ru-RU"/>
        </w:rPr>
        <w:t>§1.</w:t>
      </w:r>
      <w:r w:rsidR="008740C1">
        <w:rPr>
          <w:i/>
          <w:iCs/>
          <w:sz w:val="24"/>
          <w:szCs w:val="24"/>
          <w:lang w:val="ru-RU"/>
        </w:rPr>
        <w:t>2 и</w:t>
      </w:r>
      <w:r w:rsidR="008740C1" w:rsidRPr="008740C1">
        <w:rPr>
          <w:i/>
          <w:iCs/>
          <w:sz w:val="24"/>
          <w:szCs w:val="24"/>
          <w:lang w:val="ru-RU"/>
        </w:rPr>
        <w:t xml:space="preserve"> обоснованные в §1.3: К1 — прозрачность структуры владения и контроля; К2 — отсутствие непрозрачных сделок со связанными сторонами; К3 — зрелость аудированной финансовой отчётности; К4 — точность и история финансового планирования; К5 — предсказуемость и формализованность подхода компании к распределению прибыли.</w:t>
      </w:r>
      <w:r w:rsidR="008740C1">
        <w:rPr>
          <w:i/>
          <w:iCs/>
          <w:sz w:val="24"/>
          <w:szCs w:val="24"/>
          <w:lang w:val="ru-RU"/>
        </w:rPr>
        <w:t xml:space="preserve"> </w:t>
      </w:r>
      <w:r w:rsidR="008740C1" w:rsidRPr="008740C1">
        <w:rPr>
          <w:i/>
          <w:iCs/>
          <w:sz w:val="24"/>
          <w:szCs w:val="24"/>
          <w:lang w:val="ru-RU"/>
        </w:rPr>
        <w:t xml:space="preserve">Авторская шкала учётно-информационной зрелости определяет фактическую измеримость этих факторов для конкретной компании: </w:t>
      </w:r>
      <w:r w:rsidR="008740C1" w:rsidRPr="008740C1">
        <w:rPr>
          <w:i/>
          <w:iCs/>
          <w:sz w:val="24"/>
          <w:szCs w:val="24"/>
          <w:lang w:val="en-US"/>
        </w:rPr>
        <w:t>Tier</w:t>
      </w:r>
      <w:r w:rsidR="008740C1" w:rsidRPr="008740C1">
        <w:rPr>
          <w:i/>
          <w:iCs/>
          <w:sz w:val="24"/>
          <w:szCs w:val="24"/>
          <w:lang w:val="ru-RU"/>
        </w:rPr>
        <w:t xml:space="preserve"> 1 — данные непригодны (нет аудита, истории прогнозов, формализованной позиции по прибыли); </w:t>
      </w:r>
      <w:r w:rsidR="008740C1" w:rsidRPr="008740C1">
        <w:rPr>
          <w:i/>
          <w:iCs/>
          <w:sz w:val="24"/>
          <w:szCs w:val="24"/>
          <w:lang w:val="en-US"/>
        </w:rPr>
        <w:t>Tier</w:t>
      </w:r>
      <w:r w:rsidR="008740C1" w:rsidRPr="008740C1">
        <w:rPr>
          <w:i/>
          <w:iCs/>
          <w:sz w:val="24"/>
          <w:szCs w:val="24"/>
          <w:lang w:val="ru-RU"/>
        </w:rPr>
        <w:t xml:space="preserve"> 2 — данные частично пригодны (присутствует один из двух ключевых элементов истории); </w:t>
      </w:r>
      <w:r w:rsidR="008740C1" w:rsidRPr="008740C1">
        <w:rPr>
          <w:i/>
          <w:iCs/>
          <w:sz w:val="24"/>
          <w:szCs w:val="24"/>
          <w:lang w:val="en-US"/>
        </w:rPr>
        <w:t>Tier</w:t>
      </w:r>
      <w:r w:rsidR="008740C1" w:rsidRPr="008740C1">
        <w:rPr>
          <w:i/>
          <w:iCs/>
          <w:sz w:val="24"/>
          <w:szCs w:val="24"/>
          <w:lang w:val="ru-RU"/>
        </w:rPr>
        <w:t xml:space="preserve"> 3 — данные пригодны для полноценной диагностики (присутствуют оба элемента и формализованная позиция по прибыли). Границы шкалы неоднородны по факторам: К1 и К2 измеримы независимо от тира уже на самой ранней стадии (по данным ЕГРЮЛ и учредительных документов); тир критичен именно для К3–К5. Достижение </w:t>
      </w:r>
      <w:r w:rsidR="008740C1" w:rsidRPr="008740C1">
        <w:rPr>
          <w:i/>
          <w:iCs/>
          <w:sz w:val="24"/>
          <w:szCs w:val="24"/>
          <w:lang w:val="en-US"/>
        </w:rPr>
        <w:t>Tier</w:t>
      </w:r>
      <w:r w:rsidR="008740C1" w:rsidRPr="008740C1">
        <w:rPr>
          <w:i/>
          <w:iCs/>
          <w:sz w:val="24"/>
          <w:szCs w:val="24"/>
          <w:lang w:val="ru-RU"/>
        </w:rPr>
        <w:t>3 не является функцией времени — оно может быть форсировано управленческой стратегией либо не быть достигнуто и спустя десятилетия существования компании (иллюстрация — кейс «Петрокартона» в §2.4).</w:t>
      </w:r>
      <w:r w:rsidR="008740C1">
        <w:rPr>
          <w:i/>
          <w:iCs/>
          <w:sz w:val="24"/>
          <w:szCs w:val="24"/>
          <w:lang w:val="ru-RU"/>
        </w:rPr>
        <w:t xml:space="preserve"> Разработан и</w:t>
      </w:r>
      <w:r w:rsidRPr="008740C1">
        <w:rPr>
          <w:i/>
          <w:iCs/>
          <w:sz w:val="24"/>
          <w:szCs w:val="24"/>
        </w:rPr>
        <w:t>нструмент расчёта надбавки за индивидуальный риск как компонента ставки; диагностика пяти внутренних процессов компани</w:t>
      </w:r>
      <w:r w:rsidR="00A82356">
        <w:rPr>
          <w:i/>
          <w:iCs/>
          <w:sz w:val="24"/>
          <w:szCs w:val="24"/>
          <w:lang w:val="ru-RU"/>
        </w:rPr>
        <w:t>и</w:t>
      </w:r>
      <w:r w:rsidRPr="008740C1">
        <w:rPr>
          <w:i/>
          <w:iCs/>
          <w:sz w:val="24"/>
          <w:szCs w:val="24"/>
        </w:rPr>
        <w:t>; перевод экспертных оценок в веса через матрицу попарных сравнений с проверкой согласованности Consistency Ratio; калибровочная шкала перевода композитного балла в надбавку; сравнение с бенчмарком — build-up модель Пратта как экспертный аналог; признание и структурное ограничение субъективности метода)</w:t>
      </w:r>
    </w:p>
    <w:p w14:paraId="2236139A" w14:textId="7EC077D3" w:rsidR="00E1378D" w:rsidRPr="009D7A71" w:rsidRDefault="00EB24A1" w:rsidP="009D7A71">
      <w:pPr>
        <w:numPr>
          <w:ilvl w:val="1"/>
          <w:numId w:val="1"/>
        </w:numPr>
        <w:pBdr>
          <w:top w:val="nil"/>
          <w:left w:val="nil"/>
          <w:bottom w:val="nil"/>
          <w:right w:val="nil"/>
          <w:between w:val="nil"/>
        </w:pBdr>
        <w:tabs>
          <w:tab w:val="left" w:pos="1347"/>
        </w:tabs>
        <w:spacing w:before="1" w:line="360" w:lineRule="auto"/>
        <w:ind w:right="145" w:firstLine="708"/>
        <w:jc w:val="both"/>
        <w:rPr>
          <w:i/>
          <w:iCs/>
          <w:color w:val="808080" w:themeColor="background1" w:themeShade="80"/>
          <w:sz w:val="24"/>
          <w:szCs w:val="24"/>
          <w:lang w:val="ru-RU"/>
        </w:rPr>
      </w:pPr>
      <w:r w:rsidRPr="00E1378D">
        <w:rPr>
          <w:sz w:val="28"/>
          <w:szCs w:val="28"/>
        </w:rPr>
        <w:t>Расчёт DLOM-дисконта за недостаточную ликвидность</w:t>
      </w:r>
      <w:r w:rsidRPr="00D120DB">
        <w:rPr>
          <w:i/>
          <w:iCs/>
          <w:sz w:val="24"/>
          <w:szCs w:val="24"/>
        </w:rPr>
        <w:t xml:space="preserve"> (</w:t>
      </w:r>
      <w:r w:rsidR="00E1378D" w:rsidRPr="00D120DB">
        <w:rPr>
          <w:i/>
          <w:iCs/>
          <w:sz w:val="24"/>
          <w:szCs w:val="24"/>
          <w:lang w:val="ru-RU"/>
        </w:rPr>
        <w:t xml:space="preserve">Калибровка </w:t>
      </w:r>
      <w:r w:rsidR="00E1378D" w:rsidRPr="00D120DB">
        <w:rPr>
          <w:i/>
          <w:iCs/>
          <w:sz w:val="24"/>
          <w:szCs w:val="24"/>
          <w:lang w:val="en-US"/>
        </w:rPr>
        <w:t>DLOM</w:t>
      </w:r>
      <w:r w:rsidR="00E1378D" w:rsidRPr="00D120DB">
        <w:rPr>
          <w:i/>
          <w:iCs/>
          <w:sz w:val="24"/>
          <w:szCs w:val="24"/>
          <w:lang w:val="ru-RU"/>
        </w:rPr>
        <w:t xml:space="preserve"> меняется по этапам каскада вместе </w:t>
      </w:r>
      <w:r w:rsidR="00157BA9" w:rsidRPr="00D120DB">
        <w:rPr>
          <w:i/>
          <w:iCs/>
          <w:sz w:val="24"/>
          <w:szCs w:val="24"/>
          <w:lang w:val="ru-RU"/>
        </w:rPr>
        <w:t>на протяжении всех этапов</w:t>
      </w:r>
      <w:r w:rsidR="00E1378D" w:rsidRPr="00D120DB">
        <w:rPr>
          <w:i/>
          <w:iCs/>
          <w:sz w:val="24"/>
          <w:szCs w:val="24"/>
          <w:lang w:val="ru-RU"/>
        </w:rPr>
        <w:t xml:space="preserve">: на венчуре и </w:t>
      </w:r>
      <w:r w:rsidR="00E1378D" w:rsidRPr="00D120DB">
        <w:rPr>
          <w:i/>
          <w:iCs/>
          <w:sz w:val="24"/>
          <w:szCs w:val="24"/>
          <w:lang w:val="en-US"/>
        </w:rPr>
        <w:t>PE</w:t>
      </w:r>
      <w:r w:rsidR="00E1378D" w:rsidRPr="00D120DB">
        <w:rPr>
          <w:i/>
          <w:iCs/>
          <w:sz w:val="24"/>
          <w:szCs w:val="24"/>
          <w:lang w:val="ru-RU"/>
        </w:rPr>
        <w:t xml:space="preserve"> — через опционные модели неликвидности (например, </w:t>
      </w:r>
      <w:r w:rsidR="00E1378D" w:rsidRPr="00D120DB">
        <w:rPr>
          <w:i/>
          <w:iCs/>
          <w:sz w:val="24"/>
          <w:szCs w:val="24"/>
          <w:lang w:val="en-US"/>
        </w:rPr>
        <w:t>put</w:t>
      </w:r>
      <w:r w:rsidR="00E1378D" w:rsidRPr="00D120DB">
        <w:rPr>
          <w:i/>
          <w:iCs/>
          <w:sz w:val="24"/>
          <w:szCs w:val="24"/>
          <w:lang w:val="ru-RU"/>
        </w:rPr>
        <w:t>-</w:t>
      </w:r>
      <w:r w:rsidR="00E1378D" w:rsidRPr="00D120DB">
        <w:rPr>
          <w:i/>
          <w:iCs/>
          <w:sz w:val="24"/>
          <w:szCs w:val="24"/>
          <w:lang w:val="en-US"/>
        </w:rPr>
        <w:t>option</w:t>
      </w:r>
      <w:r w:rsidR="00E1378D" w:rsidRPr="00D120DB">
        <w:rPr>
          <w:i/>
          <w:iCs/>
          <w:sz w:val="24"/>
          <w:szCs w:val="24"/>
          <w:lang w:val="ru-RU"/>
        </w:rPr>
        <w:t xml:space="preserve"> модель Шаффе), где входной параметр — ожидаемый срок до горизонта ликвидности; на </w:t>
      </w:r>
      <w:r w:rsidR="00E1378D" w:rsidRPr="00D120DB">
        <w:rPr>
          <w:i/>
          <w:iCs/>
          <w:sz w:val="24"/>
          <w:szCs w:val="24"/>
          <w:lang w:val="en-US"/>
        </w:rPr>
        <w:t>pre</w:t>
      </w:r>
      <w:r w:rsidR="00E1378D" w:rsidRPr="00D120DB">
        <w:rPr>
          <w:i/>
          <w:iCs/>
          <w:sz w:val="24"/>
          <w:szCs w:val="24"/>
          <w:lang w:val="ru-RU"/>
        </w:rPr>
        <w:t>-</w:t>
      </w:r>
      <w:r w:rsidR="00E1378D" w:rsidRPr="00D120DB">
        <w:rPr>
          <w:i/>
          <w:iCs/>
          <w:sz w:val="24"/>
          <w:szCs w:val="24"/>
          <w:lang w:val="en-US"/>
        </w:rPr>
        <w:t>IPO</w:t>
      </w:r>
      <w:r w:rsidR="00E1378D" w:rsidRPr="00D120DB">
        <w:rPr>
          <w:i/>
          <w:iCs/>
          <w:sz w:val="24"/>
          <w:szCs w:val="24"/>
          <w:lang w:val="ru-RU"/>
        </w:rPr>
        <w:t xml:space="preserve"> — та же опционная логика, но с более коротким и определённым сроком (1–3 года); на </w:t>
      </w:r>
      <w:r w:rsidR="00E1378D" w:rsidRPr="00D120DB">
        <w:rPr>
          <w:i/>
          <w:iCs/>
          <w:sz w:val="24"/>
          <w:szCs w:val="24"/>
          <w:lang w:val="en-US"/>
        </w:rPr>
        <w:t>IPO</w:t>
      </w:r>
      <w:r w:rsidR="00E1378D" w:rsidRPr="00D120DB">
        <w:rPr>
          <w:i/>
          <w:iCs/>
          <w:sz w:val="24"/>
          <w:szCs w:val="24"/>
          <w:lang w:val="ru-RU"/>
        </w:rPr>
        <w:t xml:space="preserve"> — прямой регуляторный расчёт через фактический </w:t>
      </w:r>
      <w:r w:rsidR="00E1378D" w:rsidRPr="00D120DB">
        <w:rPr>
          <w:i/>
          <w:iCs/>
          <w:sz w:val="24"/>
          <w:szCs w:val="24"/>
          <w:lang w:val="en-US"/>
        </w:rPr>
        <w:t>free</w:t>
      </w:r>
      <w:r w:rsidR="00E1378D" w:rsidRPr="00D120DB">
        <w:rPr>
          <w:i/>
          <w:iCs/>
          <w:sz w:val="24"/>
          <w:szCs w:val="24"/>
          <w:lang w:val="ru-RU"/>
        </w:rPr>
        <w:t>-</w:t>
      </w:r>
      <w:r w:rsidR="00E1378D" w:rsidRPr="00D120DB">
        <w:rPr>
          <w:i/>
          <w:iCs/>
          <w:sz w:val="24"/>
          <w:szCs w:val="24"/>
          <w:lang w:val="en-US"/>
        </w:rPr>
        <w:t>float</w:t>
      </w:r>
      <w:r w:rsidR="00E1378D" w:rsidRPr="00D120DB">
        <w:rPr>
          <w:i/>
          <w:iCs/>
          <w:sz w:val="24"/>
          <w:szCs w:val="24"/>
          <w:lang w:val="ru-RU"/>
        </w:rPr>
        <w:t xml:space="preserve">, </w:t>
      </w:r>
      <w:r w:rsidR="00E1378D" w:rsidRPr="00D120DB">
        <w:rPr>
          <w:i/>
          <w:iCs/>
          <w:sz w:val="24"/>
          <w:szCs w:val="24"/>
          <w:lang w:val="en-US"/>
        </w:rPr>
        <w:t>restricted</w:t>
      </w:r>
      <w:r w:rsidR="00E1378D" w:rsidRPr="00D120DB">
        <w:rPr>
          <w:i/>
          <w:iCs/>
          <w:sz w:val="24"/>
          <w:szCs w:val="24"/>
          <w:lang w:val="ru-RU"/>
        </w:rPr>
        <w:t xml:space="preserve"> </w:t>
      </w:r>
      <w:r w:rsidR="00E1378D" w:rsidRPr="00D120DB">
        <w:rPr>
          <w:i/>
          <w:iCs/>
          <w:sz w:val="24"/>
          <w:szCs w:val="24"/>
          <w:lang w:val="en-US"/>
        </w:rPr>
        <w:t>stock</w:t>
      </w:r>
      <w:r w:rsidR="00E1378D" w:rsidRPr="00D120DB">
        <w:rPr>
          <w:i/>
          <w:iCs/>
          <w:sz w:val="24"/>
          <w:szCs w:val="24"/>
          <w:lang w:val="ru-RU"/>
        </w:rPr>
        <w:t xml:space="preserve"> </w:t>
      </w:r>
      <w:r w:rsidR="00E1378D" w:rsidRPr="00D120DB">
        <w:rPr>
          <w:i/>
          <w:iCs/>
          <w:sz w:val="24"/>
          <w:szCs w:val="24"/>
          <w:lang w:val="en-US"/>
        </w:rPr>
        <w:t>studies</w:t>
      </w:r>
      <w:r w:rsidR="00E1378D" w:rsidRPr="00D120DB">
        <w:rPr>
          <w:i/>
          <w:iCs/>
          <w:sz w:val="24"/>
          <w:szCs w:val="24"/>
          <w:lang w:val="ru-RU"/>
        </w:rPr>
        <w:t xml:space="preserve"> и хронологию требований Мосбиржи и Банка России 2023–2027 гг., калиброванный на официальных данных ЦБ (11% фактический </w:t>
      </w:r>
      <w:r w:rsidR="00E1378D" w:rsidRPr="00D120DB">
        <w:rPr>
          <w:i/>
          <w:iCs/>
          <w:sz w:val="24"/>
          <w:szCs w:val="24"/>
          <w:lang w:val="en-US"/>
        </w:rPr>
        <w:t>free</w:t>
      </w:r>
      <w:r w:rsidR="00E1378D" w:rsidRPr="00D120DB">
        <w:rPr>
          <w:i/>
          <w:iCs/>
          <w:sz w:val="24"/>
          <w:szCs w:val="24"/>
          <w:lang w:val="ru-RU"/>
        </w:rPr>
        <w:t>-</w:t>
      </w:r>
      <w:r w:rsidR="00E1378D" w:rsidRPr="00D120DB">
        <w:rPr>
          <w:i/>
          <w:iCs/>
          <w:sz w:val="24"/>
          <w:szCs w:val="24"/>
          <w:lang w:val="en-US"/>
        </w:rPr>
        <w:t>float</w:t>
      </w:r>
      <w:r w:rsidR="00E1378D" w:rsidRPr="00D120DB">
        <w:rPr>
          <w:i/>
          <w:iCs/>
          <w:sz w:val="24"/>
          <w:szCs w:val="24"/>
          <w:lang w:val="ru-RU"/>
        </w:rPr>
        <w:t xml:space="preserve"> на </w:t>
      </w:r>
      <w:r w:rsidR="00E1378D" w:rsidRPr="00D120DB">
        <w:rPr>
          <w:i/>
          <w:iCs/>
          <w:sz w:val="24"/>
          <w:szCs w:val="24"/>
          <w:lang w:val="en-US"/>
        </w:rPr>
        <w:t>IPO</w:t>
      </w:r>
      <w:r w:rsidR="00E1378D" w:rsidRPr="00D120DB">
        <w:rPr>
          <w:i/>
          <w:iCs/>
          <w:sz w:val="24"/>
          <w:szCs w:val="24"/>
          <w:lang w:val="ru-RU"/>
        </w:rPr>
        <w:t xml:space="preserve"> 2025 г. против 26% у зрелых эмитентов</w:t>
      </w:r>
      <w:r w:rsidR="0075199B" w:rsidRPr="00D120DB">
        <w:rPr>
          <w:i/>
          <w:iCs/>
          <w:sz w:val="24"/>
          <w:szCs w:val="24"/>
          <w:lang w:val="ru-RU"/>
        </w:rPr>
        <w:t>)</w:t>
      </w:r>
      <w:r w:rsidR="009D7A71" w:rsidRPr="00D120DB">
        <w:rPr>
          <w:i/>
          <w:iCs/>
          <w:sz w:val="24"/>
          <w:szCs w:val="24"/>
          <w:lang w:val="ru-RU"/>
        </w:rPr>
        <w:t xml:space="preserve">. </w:t>
      </w:r>
      <w:r w:rsidR="00E1378D" w:rsidRPr="00D120DB">
        <w:rPr>
          <w:i/>
          <w:iCs/>
          <w:sz w:val="24"/>
          <w:szCs w:val="24"/>
          <w:lang w:val="en-US"/>
        </w:rPr>
        <w:t>DLOM</w:t>
      </w:r>
      <w:r w:rsidR="00E1378D" w:rsidRPr="00D120DB">
        <w:rPr>
          <w:i/>
          <w:iCs/>
          <w:sz w:val="24"/>
          <w:szCs w:val="24"/>
          <w:lang w:val="ru-RU"/>
        </w:rPr>
        <w:t xml:space="preserve">, таким образом, не возникает впервые на этапе </w:t>
      </w:r>
      <w:r w:rsidR="00E1378D" w:rsidRPr="00D120DB">
        <w:rPr>
          <w:i/>
          <w:iCs/>
          <w:sz w:val="24"/>
          <w:szCs w:val="24"/>
          <w:lang w:val="en-US"/>
        </w:rPr>
        <w:t>IPO</w:t>
      </w:r>
      <w:r w:rsidR="00E1378D" w:rsidRPr="00D120DB">
        <w:rPr>
          <w:i/>
          <w:iCs/>
          <w:sz w:val="24"/>
          <w:szCs w:val="24"/>
          <w:lang w:val="ru-RU"/>
        </w:rPr>
        <w:t xml:space="preserve"> и не исчезает на венчуре — он последовательно сжимается по мере того, как срок до ликвидности становится короче и определённее на каждой следующей точке каскада, что закономерно продолжает уже установленную логику каскадной оценки</w:t>
      </w:r>
      <w:r w:rsidR="0075199B" w:rsidRPr="00D120DB">
        <w:rPr>
          <w:i/>
          <w:iCs/>
          <w:sz w:val="24"/>
          <w:szCs w:val="24"/>
          <w:lang w:val="ru-RU"/>
        </w:rPr>
        <w:t>)</w:t>
      </w:r>
      <w:r w:rsidR="00E1378D" w:rsidRPr="00D120DB">
        <w:rPr>
          <w:i/>
          <w:iCs/>
          <w:sz w:val="24"/>
          <w:szCs w:val="24"/>
          <w:lang w:val="ru-RU"/>
        </w:rPr>
        <w:t>.</w:t>
      </w:r>
    </w:p>
    <w:p w14:paraId="673F6F63" w14:textId="3E8BB771" w:rsidR="00EB24A1" w:rsidRPr="00D120DB" w:rsidRDefault="0075199B" w:rsidP="00D120DB">
      <w:pPr>
        <w:numPr>
          <w:ilvl w:val="1"/>
          <w:numId w:val="1"/>
        </w:numPr>
        <w:pBdr>
          <w:top w:val="nil"/>
          <w:left w:val="nil"/>
          <w:bottom w:val="nil"/>
          <w:right w:val="nil"/>
          <w:between w:val="nil"/>
        </w:pBdr>
        <w:tabs>
          <w:tab w:val="left" w:pos="1347"/>
        </w:tabs>
        <w:spacing w:before="1" w:line="360" w:lineRule="auto"/>
        <w:ind w:right="145" w:firstLine="708"/>
        <w:jc w:val="both"/>
        <w:rPr>
          <w:i/>
          <w:iCs/>
          <w:color w:val="808080" w:themeColor="background1" w:themeShade="80"/>
          <w:sz w:val="24"/>
          <w:szCs w:val="24"/>
          <w:lang w:val="ru-RU"/>
        </w:rPr>
      </w:pPr>
      <w:r w:rsidRPr="00F92BE5">
        <w:rPr>
          <w:sz w:val="28"/>
          <w:szCs w:val="28"/>
        </w:rPr>
        <w:t>Каскадный диагностический цикл: последовательная оценка на контрольных точках пути к капиталу</w:t>
      </w:r>
      <w:r w:rsidRPr="00F92BE5">
        <w:rPr>
          <w:i/>
          <w:iCs/>
          <w:sz w:val="28"/>
          <w:szCs w:val="28"/>
        </w:rPr>
        <w:t xml:space="preserve"> </w:t>
      </w:r>
      <w:r w:rsidR="00EB24A1" w:rsidRPr="00F92BE5">
        <w:rPr>
          <w:i/>
          <w:iCs/>
          <w:sz w:val="24"/>
          <w:szCs w:val="24"/>
        </w:rPr>
        <w:t>(</w:t>
      </w:r>
      <w:r w:rsidR="00D120DB" w:rsidRPr="00F92BE5">
        <w:rPr>
          <w:i/>
          <w:iCs/>
          <w:sz w:val="24"/>
          <w:szCs w:val="24"/>
          <w:lang w:val="ru-RU"/>
        </w:rPr>
        <w:t xml:space="preserve">Применение собранного инструментария на произвольном числе контрольных точек вдоль всего пути компании — от раннего венчура до </w:t>
      </w:r>
      <w:r w:rsidR="00D120DB" w:rsidRPr="00F92BE5">
        <w:rPr>
          <w:i/>
          <w:iCs/>
          <w:sz w:val="24"/>
          <w:szCs w:val="24"/>
          <w:lang w:val="en-US"/>
        </w:rPr>
        <w:t>IPO</w:t>
      </w:r>
      <w:r w:rsidR="00D120DB" w:rsidRPr="00F92BE5">
        <w:rPr>
          <w:i/>
          <w:iCs/>
          <w:sz w:val="24"/>
          <w:szCs w:val="24"/>
          <w:lang w:val="ru-RU"/>
        </w:rPr>
        <w:t xml:space="preserve">, а не фиксированно дважды: число и состав точек определяются фактически пройденными </w:t>
      </w:r>
      <w:r w:rsidR="00D120DB" w:rsidRPr="00F92BE5">
        <w:rPr>
          <w:i/>
          <w:iCs/>
          <w:sz w:val="24"/>
          <w:szCs w:val="24"/>
          <w:lang w:val="ru-RU"/>
        </w:rPr>
        <w:lastRenderedPageBreak/>
        <w:t xml:space="preserve">этапами конкретной компании, включая возможность пропуска отдельных типов капитала при уже достигнутом </w:t>
      </w:r>
      <w:r w:rsidR="00D120DB" w:rsidRPr="00F92BE5">
        <w:rPr>
          <w:i/>
          <w:iCs/>
          <w:sz w:val="24"/>
          <w:szCs w:val="24"/>
          <w:lang w:val="en-US"/>
        </w:rPr>
        <w:t>Tier</w:t>
      </w:r>
      <w:r w:rsidR="00D120DB" w:rsidRPr="00F92BE5">
        <w:rPr>
          <w:i/>
          <w:iCs/>
          <w:sz w:val="24"/>
          <w:szCs w:val="24"/>
          <w:lang w:val="ru-RU"/>
        </w:rPr>
        <w:t xml:space="preserve">3. </w:t>
      </w:r>
      <w:r w:rsidR="0076790D" w:rsidRPr="009A5B8B">
        <w:rPr>
          <w:i/>
          <w:iCs/>
          <w:sz w:val="24"/>
          <w:szCs w:val="24"/>
          <w:lang w:val="ru-RU"/>
        </w:rPr>
        <w:t>Проведение о</w:t>
      </w:r>
      <w:r w:rsidR="00D120DB" w:rsidRPr="009A5B8B">
        <w:rPr>
          <w:i/>
          <w:iCs/>
          <w:sz w:val="24"/>
          <w:szCs w:val="24"/>
          <w:lang w:val="ru-RU"/>
        </w:rPr>
        <w:t>ценк</w:t>
      </w:r>
      <w:r w:rsidR="0076790D" w:rsidRPr="009A5B8B">
        <w:rPr>
          <w:i/>
          <w:iCs/>
          <w:sz w:val="24"/>
          <w:szCs w:val="24"/>
          <w:lang w:val="ru-RU"/>
        </w:rPr>
        <w:t>и</w:t>
      </w:r>
      <w:r w:rsidR="00D120DB" w:rsidRPr="009A5B8B">
        <w:rPr>
          <w:i/>
          <w:iCs/>
          <w:sz w:val="24"/>
          <w:szCs w:val="24"/>
          <w:lang w:val="ru-RU"/>
        </w:rPr>
        <w:t xml:space="preserve"> на начало и конец </w:t>
      </w:r>
      <w:r w:rsidR="0076790D" w:rsidRPr="009A5B8B">
        <w:rPr>
          <w:i/>
          <w:iCs/>
          <w:sz w:val="24"/>
          <w:szCs w:val="24"/>
          <w:lang w:val="ru-RU"/>
        </w:rPr>
        <w:t>каждой проходимой стадии (ключевом этапе)</w:t>
      </w:r>
      <w:r w:rsidR="00F92BE5" w:rsidRPr="009A5B8B">
        <w:rPr>
          <w:i/>
          <w:iCs/>
          <w:sz w:val="24"/>
          <w:szCs w:val="24"/>
          <w:lang w:val="ru-RU"/>
        </w:rPr>
        <w:t>.</w:t>
      </w:r>
      <w:r w:rsidR="00D120DB" w:rsidRPr="009A5B8B">
        <w:rPr>
          <w:i/>
          <w:iCs/>
          <w:sz w:val="24"/>
          <w:szCs w:val="24"/>
          <w:lang w:val="ru-RU"/>
        </w:rPr>
        <w:t xml:space="preserve"> </w:t>
      </w:r>
      <w:r w:rsidR="0076790D" w:rsidRPr="009A5B8B">
        <w:rPr>
          <w:i/>
          <w:iCs/>
          <w:sz w:val="24"/>
          <w:szCs w:val="24"/>
          <w:lang w:val="ru-RU"/>
        </w:rPr>
        <w:t xml:space="preserve">В начальной точке — </w:t>
      </w:r>
      <w:r w:rsidR="00D120DB" w:rsidRPr="009A5B8B">
        <w:rPr>
          <w:i/>
          <w:iCs/>
          <w:sz w:val="24"/>
          <w:szCs w:val="24"/>
          <w:lang w:val="ru-RU"/>
        </w:rPr>
        <w:t xml:space="preserve">полный </w:t>
      </w:r>
      <w:r w:rsidR="00D120DB" w:rsidRPr="009A5B8B">
        <w:rPr>
          <w:i/>
          <w:iCs/>
          <w:sz w:val="24"/>
          <w:szCs w:val="24"/>
          <w:lang w:val="en-US"/>
        </w:rPr>
        <w:t>DCF</w:t>
      </w:r>
      <w:r w:rsidR="00D120DB" w:rsidRPr="009A5B8B">
        <w:rPr>
          <w:i/>
          <w:iCs/>
          <w:sz w:val="24"/>
          <w:szCs w:val="24"/>
          <w:lang w:val="ru-RU"/>
        </w:rPr>
        <w:t xml:space="preserve"> и </w:t>
      </w:r>
      <w:r w:rsidR="00D120DB" w:rsidRPr="009A5B8B">
        <w:rPr>
          <w:i/>
          <w:iCs/>
          <w:sz w:val="24"/>
          <w:szCs w:val="24"/>
          <w:lang w:val="en-US"/>
        </w:rPr>
        <w:t>CSRP</w:t>
      </w:r>
      <w:r w:rsidR="00D120DB" w:rsidRPr="009A5B8B">
        <w:rPr>
          <w:i/>
          <w:iCs/>
          <w:sz w:val="24"/>
          <w:szCs w:val="24"/>
          <w:lang w:val="ru-RU"/>
        </w:rPr>
        <w:t xml:space="preserve"> по пяти факторам</w:t>
      </w:r>
      <w:r w:rsidR="0076790D" w:rsidRPr="009A5B8B">
        <w:rPr>
          <w:i/>
          <w:iCs/>
          <w:sz w:val="24"/>
          <w:szCs w:val="24"/>
          <w:lang w:val="ru-RU"/>
        </w:rPr>
        <w:t>. Здесь имеем</w:t>
      </w:r>
      <w:r w:rsidR="00D120DB" w:rsidRPr="009A5B8B">
        <w:rPr>
          <w:i/>
          <w:iCs/>
          <w:sz w:val="24"/>
          <w:szCs w:val="24"/>
          <w:lang w:val="ru-RU"/>
        </w:rPr>
        <w:t xml:space="preserve"> более высок</w:t>
      </w:r>
      <w:r w:rsidR="0076790D" w:rsidRPr="009A5B8B">
        <w:rPr>
          <w:i/>
          <w:iCs/>
          <w:sz w:val="24"/>
          <w:szCs w:val="24"/>
          <w:lang w:val="ru-RU"/>
        </w:rPr>
        <w:t>ий</w:t>
      </w:r>
      <w:r w:rsidR="00D120DB" w:rsidRPr="009A5B8B">
        <w:rPr>
          <w:i/>
          <w:iCs/>
          <w:sz w:val="24"/>
          <w:szCs w:val="24"/>
          <w:lang w:val="ru-RU"/>
        </w:rPr>
        <w:t xml:space="preserve"> дисконт на ранних этапах и опционн</w:t>
      </w:r>
      <w:r w:rsidR="0076790D" w:rsidRPr="009A5B8B">
        <w:rPr>
          <w:i/>
          <w:iCs/>
          <w:sz w:val="24"/>
          <w:szCs w:val="24"/>
          <w:lang w:val="ru-RU"/>
        </w:rPr>
        <w:t>ый</w:t>
      </w:r>
      <w:r w:rsidR="00D120DB" w:rsidRPr="009A5B8B">
        <w:rPr>
          <w:i/>
          <w:iCs/>
          <w:sz w:val="24"/>
          <w:szCs w:val="24"/>
          <w:lang w:val="ru-RU"/>
        </w:rPr>
        <w:t xml:space="preserve"> (для венчура/</w:t>
      </w:r>
      <w:r w:rsidR="00D120DB" w:rsidRPr="009A5B8B">
        <w:rPr>
          <w:i/>
          <w:iCs/>
          <w:sz w:val="24"/>
          <w:szCs w:val="24"/>
          <w:lang w:val="en-US"/>
        </w:rPr>
        <w:t>PE</w:t>
      </w:r>
      <w:r w:rsidR="00D120DB" w:rsidRPr="009A5B8B">
        <w:rPr>
          <w:i/>
          <w:iCs/>
          <w:sz w:val="24"/>
          <w:szCs w:val="24"/>
          <w:lang w:val="ru-RU"/>
        </w:rPr>
        <w:t>) или частичн</w:t>
      </w:r>
      <w:r w:rsidR="0076790D" w:rsidRPr="009A5B8B">
        <w:rPr>
          <w:i/>
          <w:iCs/>
          <w:sz w:val="24"/>
          <w:szCs w:val="24"/>
          <w:lang w:val="ru-RU"/>
        </w:rPr>
        <w:t>ый</w:t>
      </w:r>
      <w:r w:rsidR="00D120DB" w:rsidRPr="009A5B8B">
        <w:rPr>
          <w:i/>
          <w:iCs/>
          <w:sz w:val="24"/>
          <w:szCs w:val="24"/>
          <w:lang w:val="ru-RU"/>
        </w:rPr>
        <w:t xml:space="preserve"> (для </w:t>
      </w:r>
      <w:r w:rsidR="00D120DB" w:rsidRPr="009A5B8B">
        <w:rPr>
          <w:i/>
          <w:iCs/>
          <w:sz w:val="24"/>
          <w:szCs w:val="24"/>
          <w:lang w:val="en-US"/>
        </w:rPr>
        <w:t>pre</w:t>
      </w:r>
      <w:r w:rsidR="00D120DB" w:rsidRPr="009A5B8B">
        <w:rPr>
          <w:i/>
          <w:iCs/>
          <w:sz w:val="24"/>
          <w:szCs w:val="24"/>
          <w:lang w:val="ru-RU"/>
        </w:rPr>
        <w:t>-</w:t>
      </w:r>
      <w:r w:rsidR="00D120DB" w:rsidRPr="009A5B8B">
        <w:rPr>
          <w:i/>
          <w:iCs/>
          <w:sz w:val="24"/>
          <w:szCs w:val="24"/>
          <w:lang w:val="en-US"/>
        </w:rPr>
        <w:t>IPO</w:t>
      </w:r>
      <w:r w:rsidR="00D120DB" w:rsidRPr="009A5B8B">
        <w:rPr>
          <w:i/>
          <w:iCs/>
          <w:sz w:val="24"/>
          <w:szCs w:val="24"/>
          <w:lang w:val="ru-RU"/>
        </w:rPr>
        <w:t xml:space="preserve">) расчёт </w:t>
      </w:r>
      <w:r w:rsidR="00D120DB" w:rsidRPr="009A5B8B">
        <w:rPr>
          <w:i/>
          <w:iCs/>
          <w:sz w:val="24"/>
          <w:szCs w:val="24"/>
          <w:lang w:val="en-US"/>
        </w:rPr>
        <w:t>DLOM</w:t>
      </w:r>
      <w:r w:rsidR="00D120DB" w:rsidRPr="009A5B8B">
        <w:rPr>
          <w:i/>
          <w:iCs/>
          <w:sz w:val="24"/>
          <w:szCs w:val="24"/>
          <w:lang w:val="ru-RU"/>
        </w:rPr>
        <w:t xml:space="preserve"> ввиду ещё неопределённой структуры будущего размещения</w:t>
      </w:r>
      <w:r w:rsidR="0076790D" w:rsidRPr="009A5B8B">
        <w:rPr>
          <w:i/>
          <w:iCs/>
          <w:sz w:val="24"/>
          <w:szCs w:val="24"/>
          <w:lang w:val="ru-RU"/>
        </w:rPr>
        <w:t>. Далее идет</w:t>
      </w:r>
      <w:r w:rsidR="00D120DB" w:rsidRPr="009A5B8B">
        <w:rPr>
          <w:i/>
          <w:iCs/>
          <w:sz w:val="24"/>
          <w:szCs w:val="24"/>
          <w:lang w:val="ru-RU"/>
        </w:rPr>
        <w:t xml:space="preserve"> разложение итогового индекса </w:t>
      </w:r>
      <w:r w:rsidR="00D120DB" w:rsidRPr="009A5B8B">
        <w:rPr>
          <w:i/>
          <w:iCs/>
          <w:sz w:val="24"/>
          <w:szCs w:val="24"/>
          <w:lang w:val="en-US"/>
        </w:rPr>
        <w:t>R</w:t>
      </w:r>
      <w:r w:rsidR="00D120DB" w:rsidRPr="009A5B8B">
        <w:rPr>
          <w:i/>
          <w:iCs/>
          <w:sz w:val="24"/>
          <w:szCs w:val="24"/>
          <w:lang w:val="ru-RU"/>
        </w:rPr>
        <w:t xml:space="preserve"> обратно на слагаемые по пяти факторам — диагностическая карта, указывающая менеджменту приоритеты для устранения именно на этой стадии; период целенаправленной работы компании над слабыми факторами до следующей точки. В конце интервала</w:t>
      </w:r>
      <w:r w:rsidR="0076790D" w:rsidRPr="009A5B8B">
        <w:rPr>
          <w:i/>
          <w:iCs/>
          <w:sz w:val="24"/>
          <w:szCs w:val="24"/>
          <w:lang w:val="ru-RU"/>
        </w:rPr>
        <w:t xml:space="preserve"> (конечной точке)</w:t>
      </w:r>
      <w:r w:rsidR="00D120DB" w:rsidRPr="009A5B8B">
        <w:rPr>
          <w:i/>
          <w:iCs/>
          <w:sz w:val="24"/>
          <w:szCs w:val="24"/>
          <w:lang w:val="ru-RU"/>
        </w:rPr>
        <w:t xml:space="preserve"> — новый </w:t>
      </w:r>
      <w:r w:rsidR="00D120DB" w:rsidRPr="009A5B8B">
        <w:rPr>
          <w:i/>
          <w:iCs/>
          <w:sz w:val="24"/>
          <w:szCs w:val="24"/>
          <w:lang w:val="en-US"/>
        </w:rPr>
        <w:t>DCF</w:t>
      </w:r>
      <w:r w:rsidR="00D120DB" w:rsidRPr="009A5B8B">
        <w:rPr>
          <w:i/>
          <w:iCs/>
          <w:sz w:val="24"/>
          <w:szCs w:val="24"/>
          <w:lang w:val="ru-RU"/>
        </w:rPr>
        <w:t xml:space="preserve"> от новой фактической базы, пересчёт </w:t>
      </w:r>
      <w:r w:rsidR="00D120DB" w:rsidRPr="009A5B8B">
        <w:rPr>
          <w:i/>
          <w:iCs/>
          <w:sz w:val="24"/>
          <w:szCs w:val="24"/>
          <w:lang w:val="en-US"/>
        </w:rPr>
        <w:t>CSRP</w:t>
      </w:r>
      <w:r w:rsidR="00D120DB" w:rsidRPr="009A5B8B">
        <w:rPr>
          <w:i/>
          <w:iCs/>
          <w:sz w:val="24"/>
          <w:szCs w:val="24"/>
          <w:lang w:val="ru-RU"/>
        </w:rPr>
        <w:t xml:space="preserve"> с ожидаемым снижением, уточнение </w:t>
      </w:r>
      <w:r w:rsidR="00D120DB" w:rsidRPr="009A5B8B">
        <w:rPr>
          <w:i/>
          <w:iCs/>
          <w:sz w:val="24"/>
          <w:szCs w:val="24"/>
          <w:lang w:val="en-US"/>
        </w:rPr>
        <w:t>DLOM</w:t>
      </w:r>
      <w:r w:rsidR="00D120DB" w:rsidRPr="009A5B8B">
        <w:rPr>
          <w:i/>
          <w:iCs/>
          <w:sz w:val="24"/>
          <w:szCs w:val="24"/>
          <w:lang w:val="ru-RU"/>
        </w:rPr>
        <w:t xml:space="preserve"> по мере приближения к следующему этапу (вплоть до полноценного расчёта через </w:t>
      </w:r>
      <w:r w:rsidR="00D120DB" w:rsidRPr="009A5B8B">
        <w:rPr>
          <w:i/>
          <w:iCs/>
          <w:sz w:val="24"/>
          <w:szCs w:val="24"/>
          <w:lang w:val="en-US"/>
        </w:rPr>
        <w:t>free</w:t>
      </w:r>
      <w:r w:rsidR="00D120DB" w:rsidRPr="009A5B8B">
        <w:rPr>
          <w:i/>
          <w:iCs/>
          <w:sz w:val="24"/>
          <w:szCs w:val="24"/>
          <w:lang w:val="ru-RU"/>
        </w:rPr>
        <w:t>-</w:t>
      </w:r>
      <w:r w:rsidR="00D120DB" w:rsidRPr="009A5B8B">
        <w:rPr>
          <w:i/>
          <w:iCs/>
          <w:sz w:val="24"/>
          <w:szCs w:val="24"/>
          <w:lang w:val="en-US"/>
        </w:rPr>
        <w:t>float</w:t>
      </w:r>
      <w:r w:rsidR="00D120DB" w:rsidRPr="009A5B8B">
        <w:rPr>
          <w:i/>
          <w:iCs/>
          <w:sz w:val="24"/>
          <w:szCs w:val="24"/>
          <w:lang w:val="ru-RU"/>
        </w:rPr>
        <w:t xml:space="preserve"> непосредственно перед формированием книги заявок на этапе </w:t>
      </w:r>
      <w:r w:rsidR="00D120DB" w:rsidRPr="009A5B8B">
        <w:rPr>
          <w:i/>
          <w:iCs/>
          <w:sz w:val="24"/>
          <w:szCs w:val="24"/>
          <w:lang w:val="en-US"/>
        </w:rPr>
        <w:t>IPO</w:t>
      </w:r>
      <w:r w:rsidR="00D120DB" w:rsidRPr="009A5B8B">
        <w:rPr>
          <w:i/>
          <w:iCs/>
          <w:sz w:val="24"/>
          <w:szCs w:val="24"/>
          <w:lang w:val="ru-RU"/>
        </w:rPr>
        <w:t xml:space="preserve">). На каждой точке — два разведённых, независимых вывода: </w:t>
      </w:r>
      <w:r w:rsidR="00D120DB" w:rsidRPr="009A5B8B">
        <w:rPr>
          <w:i/>
          <w:iCs/>
          <w:sz w:val="24"/>
          <w:szCs w:val="24"/>
          <w:lang w:val="en-US"/>
        </w:rPr>
        <w:t>ΔDCF</w:t>
      </w:r>
      <w:r w:rsidR="00D120DB" w:rsidRPr="009A5B8B">
        <w:rPr>
          <w:i/>
          <w:iCs/>
          <w:sz w:val="24"/>
          <w:szCs w:val="24"/>
          <w:lang w:val="ru-RU"/>
        </w:rPr>
        <w:t xml:space="preserve"> (создана ли стоимость за интервал) и </w:t>
      </w:r>
      <w:r w:rsidR="00D120DB" w:rsidRPr="009A5B8B">
        <w:rPr>
          <w:i/>
          <w:iCs/>
          <w:sz w:val="24"/>
          <w:szCs w:val="24"/>
          <w:lang w:val="en-US"/>
        </w:rPr>
        <w:t>ΔCSRP</w:t>
      </w:r>
      <w:r w:rsidR="00D120DB" w:rsidRPr="009A5B8B">
        <w:rPr>
          <w:i/>
          <w:iCs/>
          <w:sz w:val="24"/>
          <w:szCs w:val="24"/>
          <w:lang w:val="ru-RU"/>
        </w:rPr>
        <w:t xml:space="preserve"> (выросла ли структурная готовность) — которые могут расходиться, и это расхождение диагностически ценно само по себе. Снижение дисконта </w:t>
      </w:r>
      <w:r w:rsidR="00D120DB" w:rsidRPr="009A5B8B">
        <w:rPr>
          <w:i/>
          <w:iCs/>
          <w:sz w:val="24"/>
          <w:szCs w:val="24"/>
          <w:lang w:val="en-US"/>
        </w:rPr>
        <w:t>ΔCSRP</w:t>
      </w:r>
      <w:r w:rsidR="00D120DB" w:rsidRPr="009A5B8B">
        <w:rPr>
          <w:i/>
          <w:iCs/>
          <w:sz w:val="24"/>
          <w:szCs w:val="24"/>
          <w:lang w:val="ru-RU"/>
        </w:rPr>
        <w:t xml:space="preserve"> — измеримый результат целенаправленной подготовки к капиталу, а не арифметический артефакт пересчёта. </w:t>
      </w:r>
      <w:r w:rsidR="009A5B8B" w:rsidRPr="009A5B8B">
        <w:rPr>
          <w:i/>
          <w:iCs/>
          <w:sz w:val="24"/>
          <w:szCs w:val="24"/>
          <w:lang w:val="ru-RU"/>
        </w:rPr>
        <w:t>В рамках данной методики м</w:t>
      </w:r>
      <w:r w:rsidR="00D120DB" w:rsidRPr="009A5B8B">
        <w:rPr>
          <w:i/>
          <w:iCs/>
          <w:sz w:val="24"/>
          <w:szCs w:val="24"/>
          <w:lang w:val="ru-RU"/>
        </w:rPr>
        <w:t xml:space="preserve">етка </w:t>
      </w:r>
      <w:r w:rsidR="00D120DB" w:rsidRPr="009A5B8B">
        <w:rPr>
          <w:i/>
          <w:iCs/>
          <w:sz w:val="24"/>
          <w:szCs w:val="24"/>
          <w:lang w:val="en-US"/>
        </w:rPr>
        <w:t>pre</w:t>
      </w:r>
      <w:r w:rsidR="00D120DB" w:rsidRPr="009A5B8B">
        <w:rPr>
          <w:i/>
          <w:iCs/>
          <w:sz w:val="24"/>
          <w:szCs w:val="24"/>
          <w:lang w:val="ru-RU"/>
        </w:rPr>
        <w:t>-</w:t>
      </w:r>
      <w:r w:rsidR="00D120DB" w:rsidRPr="009A5B8B">
        <w:rPr>
          <w:i/>
          <w:iCs/>
          <w:sz w:val="24"/>
          <w:szCs w:val="24"/>
          <w:lang w:val="en-US"/>
        </w:rPr>
        <w:t>IPO</w:t>
      </w:r>
      <w:r w:rsidR="00D120DB" w:rsidRPr="009A5B8B">
        <w:rPr>
          <w:i/>
          <w:iCs/>
          <w:sz w:val="24"/>
          <w:szCs w:val="24"/>
          <w:lang w:val="ru-RU"/>
        </w:rPr>
        <w:t xml:space="preserve"> может присоединиться к любой из контрольных точек каскада — как к переходу </w:t>
      </w:r>
      <w:r w:rsidR="00D120DB" w:rsidRPr="009A5B8B">
        <w:rPr>
          <w:i/>
          <w:iCs/>
          <w:sz w:val="24"/>
          <w:szCs w:val="24"/>
          <w:lang w:val="en-US"/>
        </w:rPr>
        <w:t>PE</w:t>
      </w:r>
      <w:r w:rsidR="00D120DB" w:rsidRPr="009A5B8B">
        <w:rPr>
          <w:i/>
          <w:iCs/>
          <w:sz w:val="24"/>
          <w:szCs w:val="24"/>
          <w:lang w:val="ru-RU"/>
        </w:rPr>
        <w:t>→</w:t>
      </w:r>
      <w:r w:rsidR="00D120DB" w:rsidRPr="009A5B8B">
        <w:rPr>
          <w:i/>
          <w:iCs/>
          <w:sz w:val="24"/>
          <w:szCs w:val="24"/>
          <w:lang w:val="en-US"/>
        </w:rPr>
        <w:t>IPO</w:t>
      </w:r>
      <w:r w:rsidR="00D120DB" w:rsidRPr="009A5B8B">
        <w:rPr>
          <w:i/>
          <w:iCs/>
          <w:sz w:val="24"/>
          <w:szCs w:val="24"/>
          <w:lang w:val="ru-RU"/>
        </w:rPr>
        <w:t xml:space="preserve">, так и напрямую от венчура, минуя </w:t>
      </w:r>
      <w:r w:rsidR="00D120DB" w:rsidRPr="009A5B8B">
        <w:rPr>
          <w:i/>
          <w:iCs/>
          <w:sz w:val="24"/>
          <w:szCs w:val="24"/>
          <w:lang w:val="en-US"/>
        </w:rPr>
        <w:t>PE</w:t>
      </w:r>
      <w:r w:rsidR="00D120DB" w:rsidRPr="009A5B8B">
        <w:rPr>
          <w:i/>
          <w:iCs/>
          <w:sz w:val="24"/>
          <w:szCs w:val="24"/>
          <w:lang w:val="ru-RU"/>
        </w:rPr>
        <w:t>, — в зависимости от заявленного горизонта листинга, а не к жёстко фиксированному, отдельному этапу.)</w:t>
      </w:r>
    </w:p>
    <w:p w14:paraId="5B1AB8DA" w14:textId="4AB23725" w:rsidR="00EB24A1" w:rsidRPr="00FE22C1" w:rsidRDefault="00780D64" w:rsidP="00780D64">
      <w:pPr>
        <w:numPr>
          <w:ilvl w:val="1"/>
          <w:numId w:val="1"/>
        </w:numPr>
        <w:pBdr>
          <w:top w:val="nil"/>
          <w:left w:val="nil"/>
          <w:bottom w:val="nil"/>
          <w:right w:val="nil"/>
          <w:between w:val="nil"/>
        </w:pBdr>
        <w:tabs>
          <w:tab w:val="left" w:pos="1347"/>
        </w:tabs>
        <w:spacing w:before="1" w:line="360" w:lineRule="auto"/>
        <w:ind w:right="145" w:firstLine="708"/>
        <w:jc w:val="both"/>
        <w:rPr>
          <w:i/>
          <w:iCs/>
          <w:sz w:val="24"/>
          <w:szCs w:val="24"/>
          <w:lang w:val="ru-RU"/>
        </w:rPr>
      </w:pPr>
      <w:r w:rsidRPr="00FE22C1">
        <w:rPr>
          <w:sz w:val="28"/>
          <w:szCs w:val="28"/>
          <w:lang w:val="ru-RU"/>
        </w:rPr>
        <w:t>Ед</w:t>
      </w:r>
      <w:r w:rsidR="00EB24A1" w:rsidRPr="00FE22C1">
        <w:rPr>
          <w:sz w:val="28"/>
          <w:szCs w:val="28"/>
        </w:rPr>
        <w:t>иный сценарный DCF-инструмент с раздельным тестированием операционного и дисконтного блоков</w:t>
      </w:r>
      <w:r w:rsidRPr="00FE22C1">
        <w:rPr>
          <w:i/>
          <w:iCs/>
          <w:sz w:val="24"/>
          <w:szCs w:val="24"/>
          <w:lang w:val="ru-RU"/>
        </w:rPr>
        <w:t xml:space="preserve"> </w:t>
      </w:r>
      <w:r w:rsidR="00EB24A1" w:rsidRPr="00FE22C1">
        <w:rPr>
          <w:i/>
          <w:iCs/>
          <w:sz w:val="24"/>
          <w:szCs w:val="24"/>
        </w:rPr>
        <w:t>(</w:t>
      </w:r>
      <w:r w:rsidR="00FE22C1" w:rsidRPr="00FE22C1">
        <w:rPr>
          <w:i/>
          <w:iCs/>
          <w:sz w:val="24"/>
          <w:szCs w:val="24"/>
        </w:rPr>
        <w:t xml:space="preserve">Единый сценарный DCF-инструмент, применимый на любой из контрольных точек каскада — от раннего венчура до IPO; трёхсценарная модель — базовый, оптимистичный, пессимистичный; раздельные таблицы чувствительности для операционного блока (прогноз денежного потока — рост бизнеса) и блока дисконта (ставка дисконтирования и её компоненты — снижение риска и готовность к капиталу), позволяющие разложить прирост стоимости между соседними точками каскада на операционную составляющую и составляющую снижения дисконта — результат подготовки к </w:t>
      </w:r>
      <w:r w:rsidR="00FE22C1">
        <w:rPr>
          <w:i/>
          <w:iCs/>
          <w:sz w:val="24"/>
          <w:szCs w:val="24"/>
          <w:lang w:val="ru-RU"/>
        </w:rPr>
        <w:t>привлечению капитала</w:t>
      </w:r>
      <w:r w:rsidR="00FE22C1" w:rsidRPr="00FE22C1">
        <w:rPr>
          <w:i/>
          <w:iCs/>
          <w:sz w:val="24"/>
          <w:szCs w:val="24"/>
        </w:rPr>
        <w:t>; формат Excel-инструмента</w:t>
      </w:r>
      <w:r w:rsidR="00EB24A1" w:rsidRPr="00FE22C1">
        <w:rPr>
          <w:i/>
          <w:iCs/>
          <w:sz w:val="24"/>
          <w:szCs w:val="24"/>
        </w:rPr>
        <w:t>)</w:t>
      </w:r>
    </w:p>
    <w:p w14:paraId="6ABF16A8" w14:textId="26FC4830" w:rsidR="00DA485F" w:rsidRPr="005951B5" w:rsidRDefault="003524CA" w:rsidP="00DA485F">
      <w:pPr>
        <w:numPr>
          <w:ilvl w:val="1"/>
          <w:numId w:val="1"/>
        </w:numPr>
        <w:pBdr>
          <w:top w:val="nil"/>
          <w:left w:val="nil"/>
          <w:bottom w:val="nil"/>
          <w:right w:val="nil"/>
          <w:between w:val="nil"/>
        </w:pBdr>
        <w:tabs>
          <w:tab w:val="left" w:pos="1347"/>
        </w:tabs>
        <w:spacing w:before="1" w:line="360" w:lineRule="auto"/>
        <w:ind w:right="145" w:firstLine="708"/>
        <w:jc w:val="both"/>
        <w:rPr>
          <w:i/>
          <w:iCs/>
          <w:sz w:val="24"/>
          <w:szCs w:val="24"/>
          <w:lang w:val="ru-RU"/>
        </w:rPr>
      </w:pPr>
      <w:r w:rsidRPr="001D15D4">
        <w:rPr>
          <w:sz w:val="28"/>
          <w:szCs w:val="28"/>
          <w:lang w:val="ru-RU"/>
        </w:rPr>
        <w:t xml:space="preserve">Апробация методики на эмпирической выборке кейсов </w:t>
      </w:r>
      <w:r w:rsidRPr="005951B5">
        <w:rPr>
          <w:i/>
          <w:iCs/>
          <w:sz w:val="24"/>
          <w:szCs w:val="24"/>
        </w:rPr>
        <w:t>(</w:t>
      </w:r>
      <w:r w:rsidR="00DA485F" w:rsidRPr="005951B5">
        <w:rPr>
          <w:i/>
          <w:iCs/>
          <w:sz w:val="24"/>
          <w:szCs w:val="24"/>
          <w:lang w:val="ru-RU"/>
        </w:rPr>
        <w:t xml:space="preserve">Апробация строится по полному алгоритму методики (§3.1–3.4 → §3.5) и покрывает все этапы привлечения капитала. По каждому кейсу глубокой группы: Шаг 1 — сборка инструментов для выбранной пары точек: прогноз денежного потока, реконструкция ставки, расчёт </w:t>
      </w:r>
      <w:r w:rsidR="00DA485F" w:rsidRPr="005951B5">
        <w:rPr>
          <w:i/>
          <w:iCs/>
          <w:sz w:val="24"/>
          <w:szCs w:val="24"/>
          <w:lang w:val="en-US"/>
        </w:rPr>
        <w:t>CSRP</w:t>
      </w:r>
      <w:r w:rsidR="00DA485F" w:rsidRPr="005951B5">
        <w:rPr>
          <w:i/>
          <w:iCs/>
          <w:sz w:val="24"/>
          <w:szCs w:val="24"/>
          <w:lang w:val="ru-RU"/>
        </w:rPr>
        <w:t xml:space="preserve"> по пяти факторам, расчёт </w:t>
      </w:r>
      <w:r w:rsidR="00DA485F" w:rsidRPr="005951B5">
        <w:rPr>
          <w:i/>
          <w:iCs/>
          <w:sz w:val="24"/>
          <w:szCs w:val="24"/>
          <w:lang w:val="en-US"/>
        </w:rPr>
        <w:t>DLOM</w:t>
      </w:r>
      <w:r w:rsidR="00DA485F" w:rsidRPr="005951B5">
        <w:rPr>
          <w:i/>
          <w:iCs/>
          <w:sz w:val="24"/>
          <w:szCs w:val="24"/>
          <w:lang w:val="ru-RU"/>
        </w:rPr>
        <w:t xml:space="preserve"> в форме, соответствующей этапу (опционная модель для венчура/</w:t>
      </w:r>
      <w:r w:rsidR="00DA485F" w:rsidRPr="005951B5">
        <w:rPr>
          <w:i/>
          <w:iCs/>
          <w:sz w:val="24"/>
          <w:szCs w:val="24"/>
          <w:lang w:val="en-US"/>
        </w:rPr>
        <w:t>PE</w:t>
      </w:r>
      <w:r w:rsidR="00DA485F" w:rsidRPr="005951B5">
        <w:rPr>
          <w:i/>
          <w:iCs/>
          <w:sz w:val="24"/>
          <w:szCs w:val="24"/>
          <w:lang w:val="ru-RU"/>
        </w:rPr>
        <w:t xml:space="preserve">, регуляторный расчёт через </w:t>
      </w:r>
      <w:r w:rsidR="00DA485F" w:rsidRPr="005951B5">
        <w:rPr>
          <w:i/>
          <w:iCs/>
          <w:sz w:val="24"/>
          <w:szCs w:val="24"/>
          <w:lang w:val="en-US"/>
        </w:rPr>
        <w:t>free</w:t>
      </w:r>
      <w:r w:rsidR="00DA485F" w:rsidRPr="005951B5">
        <w:rPr>
          <w:i/>
          <w:iCs/>
          <w:sz w:val="24"/>
          <w:szCs w:val="24"/>
          <w:lang w:val="ru-RU"/>
        </w:rPr>
        <w:t>-</w:t>
      </w:r>
      <w:r w:rsidR="00DA485F" w:rsidRPr="005951B5">
        <w:rPr>
          <w:i/>
          <w:iCs/>
          <w:sz w:val="24"/>
          <w:szCs w:val="24"/>
          <w:lang w:val="en-US"/>
        </w:rPr>
        <w:t>float</w:t>
      </w:r>
      <w:r w:rsidR="00DA485F" w:rsidRPr="005951B5">
        <w:rPr>
          <w:i/>
          <w:iCs/>
          <w:sz w:val="24"/>
          <w:szCs w:val="24"/>
          <w:lang w:val="ru-RU"/>
        </w:rPr>
        <w:t xml:space="preserve"> для </w:t>
      </w:r>
      <w:r w:rsidR="00DA485F" w:rsidRPr="005951B5">
        <w:rPr>
          <w:i/>
          <w:iCs/>
          <w:sz w:val="24"/>
          <w:szCs w:val="24"/>
          <w:lang w:val="en-US"/>
        </w:rPr>
        <w:t>pre</w:t>
      </w:r>
      <w:r w:rsidR="00DA485F" w:rsidRPr="005951B5">
        <w:rPr>
          <w:i/>
          <w:iCs/>
          <w:sz w:val="24"/>
          <w:szCs w:val="24"/>
          <w:lang w:val="ru-RU"/>
        </w:rPr>
        <w:t>-</w:t>
      </w:r>
      <w:r w:rsidR="00DA485F" w:rsidRPr="005951B5">
        <w:rPr>
          <w:i/>
          <w:iCs/>
          <w:sz w:val="24"/>
          <w:szCs w:val="24"/>
          <w:lang w:val="en-US"/>
        </w:rPr>
        <w:t>IPO</w:t>
      </w:r>
      <w:r w:rsidR="00DA485F" w:rsidRPr="005951B5">
        <w:rPr>
          <w:i/>
          <w:iCs/>
          <w:sz w:val="24"/>
          <w:szCs w:val="24"/>
          <w:lang w:val="ru-RU"/>
        </w:rPr>
        <w:t>/</w:t>
      </w:r>
      <w:r w:rsidR="00DA485F" w:rsidRPr="005951B5">
        <w:rPr>
          <w:i/>
          <w:iCs/>
          <w:sz w:val="24"/>
          <w:szCs w:val="24"/>
          <w:lang w:val="en-US"/>
        </w:rPr>
        <w:t>IPO</w:t>
      </w:r>
      <w:r w:rsidR="00DA485F" w:rsidRPr="005951B5">
        <w:rPr>
          <w:i/>
          <w:iCs/>
          <w:sz w:val="24"/>
          <w:szCs w:val="24"/>
          <w:lang w:val="ru-RU"/>
        </w:rPr>
        <w:t xml:space="preserve">); Шаг 2 — расчёт в начальной точке с построением диагностической карты слабых факторов; Шаг 3 — расчёт в конечной </w:t>
      </w:r>
      <w:r w:rsidR="00DA485F" w:rsidRPr="005951B5">
        <w:rPr>
          <w:i/>
          <w:iCs/>
          <w:sz w:val="24"/>
          <w:szCs w:val="24"/>
          <w:lang w:val="ru-RU"/>
        </w:rPr>
        <w:lastRenderedPageBreak/>
        <w:t xml:space="preserve">точке: новый </w:t>
      </w:r>
      <w:r w:rsidR="00DA485F" w:rsidRPr="005951B5">
        <w:rPr>
          <w:i/>
          <w:iCs/>
          <w:sz w:val="24"/>
          <w:szCs w:val="24"/>
          <w:lang w:val="en-US"/>
        </w:rPr>
        <w:t>DCF</w:t>
      </w:r>
      <w:r w:rsidR="00DA485F" w:rsidRPr="005951B5">
        <w:rPr>
          <w:i/>
          <w:iCs/>
          <w:sz w:val="24"/>
          <w:szCs w:val="24"/>
          <w:lang w:val="ru-RU"/>
        </w:rPr>
        <w:t xml:space="preserve"> от фактической базы, пересчёт </w:t>
      </w:r>
      <w:r w:rsidR="00DA485F" w:rsidRPr="005951B5">
        <w:rPr>
          <w:i/>
          <w:iCs/>
          <w:sz w:val="24"/>
          <w:szCs w:val="24"/>
          <w:lang w:val="en-US"/>
        </w:rPr>
        <w:t>CSRP</w:t>
      </w:r>
      <w:r w:rsidR="00DA485F" w:rsidRPr="005951B5">
        <w:rPr>
          <w:i/>
          <w:iCs/>
          <w:sz w:val="24"/>
          <w:szCs w:val="24"/>
          <w:lang w:val="ru-RU"/>
        </w:rPr>
        <w:t xml:space="preserve">, уточнённый </w:t>
      </w:r>
      <w:r w:rsidR="00DA485F" w:rsidRPr="005951B5">
        <w:rPr>
          <w:i/>
          <w:iCs/>
          <w:sz w:val="24"/>
          <w:szCs w:val="24"/>
          <w:lang w:val="en-US"/>
        </w:rPr>
        <w:t>DLOM</w:t>
      </w:r>
      <w:r w:rsidR="00DA485F" w:rsidRPr="005951B5">
        <w:rPr>
          <w:i/>
          <w:iCs/>
          <w:sz w:val="24"/>
          <w:szCs w:val="24"/>
          <w:lang w:val="ru-RU"/>
        </w:rPr>
        <w:t xml:space="preserve">; Шаг 4 — сопоставление расчётной стоимости с фактически достигнутым результатом (следующим раундом, ценой размещения или постлистинговой динамикой) и проверка того, объясняет ли изменение </w:t>
      </w:r>
      <w:r w:rsidR="00DA485F" w:rsidRPr="005951B5">
        <w:rPr>
          <w:i/>
          <w:iCs/>
          <w:sz w:val="24"/>
          <w:szCs w:val="24"/>
          <w:lang w:val="en-US"/>
        </w:rPr>
        <w:t>CSRP</w:t>
      </w:r>
      <w:r w:rsidR="00DA485F" w:rsidRPr="005951B5">
        <w:rPr>
          <w:i/>
          <w:iCs/>
          <w:sz w:val="24"/>
          <w:szCs w:val="24"/>
          <w:lang w:val="ru-RU"/>
        </w:rPr>
        <w:t xml:space="preserve"> дальнейшую судьбу компании.</w:t>
      </w:r>
    </w:p>
    <w:p w14:paraId="3FD51162" w14:textId="77777777" w:rsidR="00DA485F" w:rsidRPr="005951B5" w:rsidRDefault="00DA485F" w:rsidP="00AE77FE">
      <w:pPr>
        <w:pBdr>
          <w:top w:val="nil"/>
          <w:left w:val="nil"/>
          <w:bottom w:val="nil"/>
          <w:right w:val="nil"/>
          <w:between w:val="nil"/>
        </w:pBdr>
        <w:tabs>
          <w:tab w:val="left" w:pos="1347"/>
        </w:tabs>
        <w:spacing w:before="1" w:line="360" w:lineRule="auto"/>
        <w:ind w:left="848" w:right="145"/>
        <w:jc w:val="both"/>
        <w:rPr>
          <w:i/>
          <w:iCs/>
          <w:sz w:val="24"/>
          <w:szCs w:val="24"/>
          <w:lang w:val="ru-RU"/>
        </w:rPr>
      </w:pPr>
      <w:r w:rsidRPr="005951B5">
        <w:rPr>
          <w:i/>
          <w:iCs/>
          <w:sz w:val="24"/>
          <w:szCs w:val="24"/>
          <w:lang w:val="ru-RU"/>
        </w:rPr>
        <w:t>Распределение кейсов по этапам привлечения капитала:</w:t>
      </w:r>
    </w:p>
    <w:p w14:paraId="6C08BB15" w14:textId="79D21A0B" w:rsidR="00DA485F" w:rsidRPr="005951B5" w:rsidRDefault="00DA485F" w:rsidP="00AE77FE">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ru-RU"/>
        </w:rPr>
        <w:t xml:space="preserve">Венчурный этап </w:t>
      </w:r>
      <w:r w:rsidR="00AE77FE" w:rsidRPr="002177B0">
        <w:rPr>
          <w:i/>
          <w:iCs/>
          <w:sz w:val="24"/>
          <w:szCs w:val="24"/>
          <w:lang w:val="ru-RU"/>
        </w:rPr>
        <w:t>(</w:t>
      </w:r>
      <w:r w:rsidR="00AE77FE" w:rsidRPr="005951B5">
        <w:rPr>
          <w:i/>
          <w:iCs/>
          <w:sz w:val="24"/>
          <w:szCs w:val="24"/>
          <w:lang w:val="ru-RU"/>
        </w:rPr>
        <w:t xml:space="preserve">предварительно) </w:t>
      </w:r>
      <w:r w:rsidRPr="005951B5">
        <w:rPr>
          <w:i/>
          <w:iCs/>
          <w:sz w:val="24"/>
          <w:szCs w:val="24"/>
          <w:lang w:val="ru-RU"/>
        </w:rPr>
        <w:t xml:space="preserve">— </w:t>
      </w:r>
      <w:r w:rsidRPr="005951B5">
        <w:rPr>
          <w:i/>
          <w:iCs/>
          <w:sz w:val="24"/>
          <w:szCs w:val="24"/>
          <w:lang w:val="en-US"/>
        </w:rPr>
        <w:t>KupiVIP</w:t>
      </w:r>
      <w:r w:rsidRPr="005951B5">
        <w:rPr>
          <w:i/>
          <w:iCs/>
          <w:sz w:val="24"/>
          <w:szCs w:val="24"/>
          <w:lang w:val="ru-RU"/>
        </w:rPr>
        <w:t xml:space="preserve">. Пара точек: венчурный раунд от фондов первого эшелона ($100 млн+, публичный план </w:t>
      </w:r>
      <w:r w:rsidRPr="005951B5">
        <w:rPr>
          <w:i/>
          <w:iCs/>
          <w:sz w:val="24"/>
          <w:szCs w:val="24"/>
          <w:lang w:val="en-US"/>
        </w:rPr>
        <w:t>IPO</w:t>
      </w:r>
      <w:r w:rsidRPr="005951B5">
        <w:rPr>
          <w:i/>
          <w:iCs/>
          <w:sz w:val="24"/>
          <w:szCs w:val="24"/>
          <w:lang w:val="ru-RU"/>
        </w:rPr>
        <w:t xml:space="preserve"> 2012 г. с целевой оценкой $700 млн – $1 млрд) → фактический исход (срыв сделки с «Яндексом», закрытие компании в 2021 г.). Проверяемая гипотеза: диагностическая карта пяти факторов на момент привлечения венчурного капитала уже указывала на структурную неготовность, не устранённую последующим ростом объёмов финансирования.</w:t>
      </w:r>
    </w:p>
    <w:p w14:paraId="25FE16B5" w14:textId="28CE3FF4" w:rsidR="00DA485F" w:rsidRPr="005951B5" w:rsidRDefault="00DA485F" w:rsidP="00AE77FE">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en-US"/>
        </w:rPr>
        <w:t>PE</w:t>
      </w:r>
      <w:r w:rsidRPr="005951B5">
        <w:rPr>
          <w:i/>
          <w:iCs/>
          <w:sz w:val="24"/>
          <w:szCs w:val="24"/>
          <w:lang w:val="ru-RU"/>
        </w:rPr>
        <w:t>-этап</w:t>
      </w:r>
      <w:r w:rsidR="005951B5" w:rsidRPr="005951B5">
        <w:rPr>
          <w:i/>
          <w:iCs/>
          <w:sz w:val="24"/>
          <w:szCs w:val="24"/>
          <w:lang w:val="ru-RU"/>
        </w:rPr>
        <w:t xml:space="preserve"> (предварительно)</w:t>
      </w:r>
      <w:r w:rsidRPr="005951B5">
        <w:rPr>
          <w:i/>
          <w:iCs/>
          <w:sz w:val="24"/>
          <w:szCs w:val="24"/>
          <w:lang w:val="ru-RU"/>
        </w:rPr>
        <w:t xml:space="preserve"> — «Штрих». Пара точек: докризисное состояние (стабильная выручка и прибыль до 2022 г.) → момент переговоров о </w:t>
      </w:r>
      <w:r w:rsidRPr="005951B5">
        <w:rPr>
          <w:i/>
          <w:iCs/>
          <w:sz w:val="24"/>
          <w:szCs w:val="24"/>
          <w:lang w:val="en-US"/>
        </w:rPr>
        <w:t>PE</w:t>
      </w:r>
      <w:r w:rsidRPr="005951B5">
        <w:rPr>
          <w:i/>
          <w:iCs/>
          <w:sz w:val="24"/>
          <w:szCs w:val="24"/>
          <w:lang w:val="ru-RU"/>
        </w:rPr>
        <w:t>-сделке с институциональным инвестором и банком-партнёром (в том числе рассматривался заход РФПИ) для реструктуризации портфеля финансирования и диверсификации бизнес-модели. Проверяемая гипотеза: диагностика на входе в переговоры объясняет, почему сделка не состоялась, — при формально удовлетворительной операционной истории до внешнего шока.</w:t>
      </w:r>
    </w:p>
    <w:p w14:paraId="1FB9DDD2" w14:textId="6AC49752" w:rsidR="00DA485F" w:rsidRPr="005951B5" w:rsidRDefault="00DA485F" w:rsidP="00AE77FE">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en-US"/>
        </w:rPr>
        <w:t>Pre</w:t>
      </w:r>
      <w:r w:rsidRPr="005951B5">
        <w:rPr>
          <w:i/>
          <w:iCs/>
          <w:sz w:val="24"/>
          <w:szCs w:val="24"/>
          <w:lang w:val="ru-RU"/>
        </w:rPr>
        <w:t>-</w:t>
      </w:r>
      <w:r w:rsidRPr="005951B5">
        <w:rPr>
          <w:i/>
          <w:iCs/>
          <w:sz w:val="24"/>
          <w:szCs w:val="24"/>
          <w:lang w:val="en-US"/>
        </w:rPr>
        <w:t>IPO</w:t>
      </w:r>
      <w:r w:rsidRPr="005951B5">
        <w:rPr>
          <w:i/>
          <w:iCs/>
          <w:sz w:val="24"/>
          <w:szCs w:val="24"/>
          <w:lang w:val="ru-RU"/>
        </w:rPr>
        <w:t xml:space="preserve"> этап </w:t>
      </w:r>
      <w:r w:rsidR="005951B5" w:rsidRPr="005951B5">
        <w:rPr>
          <w:i/>
          <w:iCs/>
          <w:sz w:val="24"/>
          <w:szCs w:val="24"/>
          <w:lang w:val="ru-RU"/>
        </w:rPr>
        <w:t xml:space="preserve">(предварительно) </w:t>
      </w:r>
      <w:r w:rsidRPr="005951B5">
        <w:rPr>
          <w:i/>
          <w:iCs/>
          <w:sz w:val="24"/>
          <w:szCs w:val="24"/>
          <w:lang w:val="ru-RU"/>
        </w:rPr>
        <w:t xml:space="preserve">— АО «Петрокартон». Пара точек: объявление размещения на </w:t>
      </w:r>
      <w:r w:rsidRPr="005951B5">
        <w:rPr>
          <w:i/>
          <w:iCs/>
          <w:sz w:val="24"/>
          <w:szCs w:val="24"/>
          <w:lang w:val="en-US"/>
        </w:rPr>
        <w:t>MOEX</w:t>
      </w:r>
      <w:r w:rsidRPr="005951B5">
        <w:rPr>
          <w:i/>
          <w:iCs/>
          <w:sz w:val="24"/>
          <w:szCs w:val="24"/>
          <w:lang w:val="ru-RU"/>
        </w:rPr>
        <w:t xml:space="preserve"> </w:t>
      </w:r>
      <w:r w:rsidRPr="005951B5">
        <w:rPr>
          <w:i/>
          <w:iCs/>
          <w:sz w:val="24"/>
          <w:szCs w:val="24"/>
          <w:lang w:val="en-US"/>
        </w:rPr>
        <w:t>Start</w:t>
      </w:r>
      <w:r w:rsidRPr="005951B5">
        <w:rPr>
          <w:i/>
          <w:iCs/>
          <w:sz w:val="24"/>
          <w:szCs w:val="24"/>
          <w:lang w:val="ru-RU"/>
        </w:rPr>
        <w:t xml:space="preserve"> (март 2026 г., 309,55 млн руб., защитный механизм выкупа при недостижении </w:t>
      </w:r>
      <w:r w:rsidRPr="005951B5">
        <w:rPr>
          <w:i/>
          <w:iCs/>
          <w:sz w:val="24"/>
          <w:szCs w:val="24"/>
          <w:lang w:val="en-US"/>
        </w:rPr>
        <w:t>IPO</w:t>
      </w:r>
      <w:r w:rsidRPr="005951B5">
        <w:rPr>
          <w:i/>
          <w:iCs/>
          <w:sz w:val="24"/>
          <w:szCs w:val="24"/>
          <w:lang w:val="ru-RU"/>
        </w:rPr>
        <w:t xml:space="preserve"> к 2028 г.) → аннулирование выпуска Банком России (май 2026 г.). Проверяемая гипотеза: 25+ лет присутствия на рынке не компенсировали отсутствия выстроенной стратегии готовности; диагностическая карта на момент объявления фиксировала риск, реализовавшийся до завершения сделки.</w:t>
      </w:r>
    </w:p>
    <w:p w14:paraId="387F8061" w14:textId="2DC1068F" w:rsidR="00DA485F" w:rsidRPr="005951B5" w:rsidRDefault="00DA485F" w:rsidP="005951B5">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en-US"/>
        </w:rPr>
        <w:t>IPO</w:t>
      </w:r>
      <w:r w:rsidRPr="005951B5">
        <w:rPr>
          <w:i/>
          <w:iCs/>
          <w:sz w:val="24"/>
          <w:szCs w:val="24"/>
          <w:lang w:val="ru-RU"/>
        </w:rPr>
        <w:t xml:space="preserve"> этап</w:t>
      </w:r>
      <w:r w:rsidR="00DE152A" w:rsidRPr="00DE152A">
        <w:rPr>
          <w:i/>
          <w:iCs/>
          <w:sz w:val="24"/>
          <w:szCs w:val="24"/>
          <w:lang w:val="ru-RU"/>
        </w:rPr>
        <w:t xml:space="preserve"> (</w:t>
      </w:r>
      <w:r w:rsidR="00DE152A">
        <w:rPr>
          <w:i/>
          <w:iCs/>
          <w:sz w:val="24"/>
          <w:szCs w:val="24"/>
          <w:lang w:val="ru-RU"/>
        </w:rPr>
        <w:t>предварительно)</w:t>
      </w:r>
      <w:r w:rsidRPr="005951B5">
        <w:rPr>
          <w:i/>
          <w:iCs/>
          <w:sz w:val="24"/>
          <w:szCs w:val="24"/>
          <w:lang w:val="ru-RU"/>
        </w:rPr>
        <w:t xml:space="preserve"> — три глубоко проработанных кейса на максимальном контрасте типологии §2.4:</w:t>
      </w:r>
    </w:p>
    <w:p w14:paraId="0E6CE0D5" w14:textId="77777777" w:rsidR="00DA485F" w:rsidRPr="005951B5" w:rsidRDefault="00DA485F" w:rsidP="005951B5">
      <w:pPr>
        <w:pBdr>
          <w:top w:val="nil"/>
          <w:left w:val="nil"/>
          <w:bottom w:val="nil"/>
          <w:right w:val="nil"/>
          <w:between w:val="nil"/>
        </w:pBdr>
        <w:tabs>
          <w:tab w:val="left" w:pos="1347"/>
        </w:tabs>
        <w:spacing w:before="1" w:line="360" w:lineRule="auto"/>
        <w:ind w:left="848" w:right="145"/>
        <w:jc w:val="both"/>
        <w:rPr>
          <w:i/>
          <w:iCs/>
          <w:sz w:val="24"/>
          <w:szCs w:val="24"/>
          <w:lang w:val="ru-RU"/>
        </w:rPr>
      </w:pPr>
      <w:r w:rsidRPr="005951B5">
        <w:rPr>
          <w:i/>
          <w:iCs/>
          <w:sz w:val="24"/>
          <w:szCs w:val="24"/>
          <w:lang w:val="ru-RU"/>
        </w:rPr>
        <w:t xml:space="preserve">— ПАО «ЮГК» — </w:t>
      </w:r>
      <w:r w:rsidRPr="005951B5">
        <w:rPr>
          <w:i/>
          <w:iCs/>
          <w:sz w:val="24"/>
          <w:szCs w:val="24"/>
          <w:lang w:val="en-US"/>
        </w:rPr>
        <w:t>governance</w:t>
      </w:r>
      <w:r w:rsidRPr="005951B5">
        <w:rPr>
          <w:i/>
          <w:iCs/>
          <w:sz w:val="24"/>
          <w:szCs w:val="24"/>
          <w:lang w:val="ru-RU"/>
        </w:rPr>
        <w:t xml:space="preserve">-провал при сильном операционном бизнесе: пара точек за 2–3 года до размещения → перед </w:t>
      </w:r>
      <w:r w:rsidRPr="005951B5">
        <w:rPr>
          <w:i/>
          <w:iCs/>
          <w:sz w:val="24"/>
          <w:szCs w:val="24"/>
          <w:lang w:val="en-US"/>
        </w:rPr>
        <w:t>IPO</w:t>
      </w:r>
      <w:r w:rsidRPr="005951B5">
        <w:rPr>
          <w:i/>
          <w:iCs/>
          <w:sz w:val="24"/>
          <w:szCs w:val="24"/>
          <w:lang w:val="ru-RU"/>
        </w:rPr>
        <w:t xml:space="preserve">; проверка того, что рост выручки (+12%) и </w:t>
      </w:r>
      <w:r w:rsidRPr="005951B5">
        <w:rPr>
          <w:i/>
          <w:iCs/>
          <w:sz w:val="24"/>
          <w:szCs w:val="24"/>
          <w:lang w:val="en-US"/>
        </w:rPr>
        <w:t>EBITDA</w:t>
      </w:r>
      <w:r w:rsidRPr="005951B5">
        <w:rPr>
          <w:i/>
          <w:iCs/>
          <w:sz w:val="24"/>
          <w:szCs w:val="24"/>
          <w:lang w:val="ru-RU"/>
        </w:rPr>
        <w:t xml:space="preserve"> (+11%) маскировал неустранённый К1 (офшорная структура владения), приведший к остановке торгов и национализации активов;</w:t>
      </w:r>
    </w:p>
    <w:p w14:paraId="01FA0BD2" w14:textId="77777777" w:rsidR="00DA485F" w:rsidRPr="005951B5" w:rsidRDefault="00DA485F" w:rsidP="005951B5">
      <w:pPr>
        <w:pBdr>
          <w:top w:val="nil"/>
          <w:left w:val="nil"/>
          <w:bottom w:val="nil"/>
          <w:right w:val="nil"/>
          <w:between w:val="nil"/>
        </w:pBdr>
        <w:tabs>
          <w:tab w:val="left" w:pos="1347"/>
        </w:tabs>
        <w:spacing w:before="1" w:line="360" w:lineRule="auto"/>
        <w:ind w:left="848" w:right="145"/>
        <w:jc w:val="both"/>
        <w:rPr>
          <w:i/>
          <w:iCs/>
          <w:sz w:val="24"/>
          <w:szCs w:val="24"/>
          <w:lang w:val="ru-RU"/>
        </w:rPr>
      </w:pPr>
      <w:r w:rsidRPr="005951B5">
        <w:rPr>
          <w:i/>
          <w:iCs/>
          <w:sz w:val="24"/>
          <w:szCs w:val="24"/>
          <w:lang w:val="ru-RU"/>
        </w:rPr>
        <w:t>— «Диасофт» / «Делимобиль» — провал финансового менеджмента при удовлетворительном корпоративном управлении: несоответствие прогнозов менеджмента фактическим результатам (Диасофт) и долговая нагрузка 6,4× чистый долг/</w:t>
      </w:r>
      <w:r w:rsidRPr="005951B5">
        <w:rPr>
          <w:i/>
          <w:iCs/>
          <w:sz w:val="24"/>
          <w:szCs w:val="24"/>
          <w:lang w:val="en-US"/>
        </w:rPr>
        <w:t>EBITDA</w:t>
      </w:r>
      <w:r w:rsidRPr="005951B5">
        <w:rPr>
          <w:i/>
          <w:iCs/>
          <w:sz w:val="24"/>
          <w:szCs w:val="24"/>
          <w:lang w:val="ru-RU"/>
        </w:rPr>
        <w:t xml:space="preserve"> с растущими убытками (Делимобиль);</w:t>
      </w:r>
    </w:p>
    <w:p w14:paraId="70A432DB" w14:textId="77777777" w:rsidR="00DA485F" w:rsidRPr="005951B5" w:rsidRDefault="00DA485F" w:rsidP="005951B5">
      <w:pPr>
        <w:pBdr>
          <w:top w:val="nil"/>
          <w:left w:val="nil"/>
          <w:bottom w:val="nil"/>
          <w:right w:val="nil"/>
          <w:between w:val="nil"/>
        </w:pBdr>
        <w:tabs>
          <w:tab w:val="left" w:pos="1347"/>
        </w:tabs>
        <w:spacing w:before="1" w:line="360" w:lineRule="auto"/>
        <w:ind w:left="848" w:right="145"/>
        <w:jc w:val="both"/>
        <w:rPr>
          <w:i/>
          <w:iCs/>
          <w:sz w:val="24"/>
          <w:szCs w:val="24"/>
          <w:lang w:val="ru-RU"/>
        </w:rPr>
      </w:pPr>
      <w:r w:rsidRPr="005951B5">
        <w:rPr>
          <w:i/>
          <w:iCs/>
          <w:sz w:val="24"/>
          <w:szCs w:val="24"/>
          <w:lang w:val="ru-RU"/>
        </w:rPr>
        <w:t>— «Озон Фармацевтика» — устойчивый успех при здоровье обоих блоков как контрольный кейс, доказывающий способность методики различать типы риска, а не сигнализировать о риске повсеместно.</w:t>
      </w:r>
    </w:p>
    <w:p w14:paraId="663FE4E8" w14:textId="77777777" w:rsidR="00DA485F" w:rsidRPr="005951B5" w:rsidRDefault="00DA485F" w:rsidP="005951B5">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ru-RU"/>
        </w:rPr>
        <w:lastRenderedPageBreak/>
        <w:t xml:space="preserve">Облегчённая проверочная группа (три-четыре кейса, только диагностическая карта по пяти факторам без полного двухточечного </w:t>
      </w:r>
      <w:r w:rsidRPr="005951B5">
        <w:rPr>
          <w:i/>
          <w:iCs/>
          <w:sz w:val="24"/>
          <w:szCs w:val="24"/>
          <w:lang w:val="en-US"/>
        </w:rPr>
        <w:t>DCF</w:t>
      </w:r>
      <w:r w:rsidRPr="005951B5">
        <w:rPr>
          <w:i/>
          <w:iCs/>
          <w:sz w:val="24"/>
          <w:szCs w:val="24"/>
          <w:lang w:val="ru-RU"/>
        </w:rPr>
        <w:t xml:space="preserve">-цикла): «Ареги» — срыв институциональной сделки и неудачная самостоятельная попытка выхода на </w:t>
      </w:r>
      <w:r w:rsidRPr="005951B5">
        <w:rPr>
          <w:i/>
          <w:iCs/>
          <w:sz w:val="24"/>
          <w:szCs w:val="24"/>
          <w:lang w:val="en-US"/>
        </w:rPr>
        <w:t>IPO</w:t>
      </w:r>
      <w:r w:rsidRPr="005951B5">
        <w:rPr>
          <w:i/>
          <w:iCs/>
          <w:sz w:val="24"/>
          <w:szCs w:val="24"/>
          <w:lang w:val="ru-RU"/>
        </w:rPr>
        <w:t xml:space="preserve">; </w:t>
      </w:r>
      <w:r w:rsidRPr="005951B5">
        <w:rPr>
          <w:i/>
          <w:iCs/>
          <w:sz w:val="24"/>
          <w:szCs w:val="24"/>
          <w:lang w:val="en-US"/>
        </w:rPr>
        <w:t>IVA</w:t>
      </w:r>
      <w:r w:rsidRPr="005951B5">
        <w:rPr>
          <w:i/>
          <w:iCs/>
          <w:sz w:val="24"/>
          <w:szCs w:val="24"/>
          <w:lang w:val="ru-RU"/>
        </w:rPr>
        <w:t xml:space="preserve"> </w:t>
      </w:r>
      <w:r w:rsidRPr="005951B5">
        <w:rPr>
          <w:i/>
          <w:iCs/>
          <w:sz w:val="24"/>
          <w:szCs w:val="24"/>
          <w:lang w:val="en-US"/>
        </w:rPr>
        <w:t>Technologies</w:t>
      </w:r>
      <w:r w:rsidRPr="005951B5">
        <w:rPr>
          <w:i/>
          <w:iCs/>
          <w:sz w:val="24"/>
          <w:szCs w:val="24"/>
          <w:lang w:val="ru-RU"/>
        </w:rPr>
        <w:t xml:space="preserve"> — структурный риск низкой ликвидности при </w:t>
      </w:r>
      <w:r w:rsidRPr="005951B5">
        <w:rPr>
          <w:i/>
          <w:iCs/>
          <w:sz w:val="24"/>
          <w:szCs w:val="24"/>
          <w:lang w:val="en-US"/>
        </w:rPr>
        <w:t>free</w:t>
      </w:r>
      <w:r w:rsidRPr="005951B5">
        <w:rPr>
          <w:i/>
          <w:iCs/>
          <w:sz w:val="24"/>
          <w:szCs w:val="24"/>
          <w:lang w:val="ru-RU"/>
        </w:rPr>
        <w:t>-</w:t>
      </w:r>
      <w:r w:rsidRPr="005951B5">
        <w:rPr>
          <w:i/>
          <w:iCs/>
          <w:sz w:val="24"/>
          <w:szCs w:val="24"/>
          <w:lang w:val="en-US"/>
        </w:rPr>
        <w:t>float</w:t>
      </w:r>
      <w:r w:rsidRPr="005951B5">
        <w:rPr>
          <w:i/>
          <w:iCs/>
          <w:sz w:val="24"/>
          <w:szCs w:val="24"/>
          <w:lang w:val="ru-RU"/>
        </w:rPr>
        <w:t xml:space="preserve"> 11%; </w:t>
      </w:r>
      <w:r w:rsidRPr="005951B5">
        <w:rPr>
          <w:i/>
          <w:iCs/>
          <w:sz w:val="24"/>
          <w:szCs w:val="24"/>
          <w:lang w:val="en-US"/>
        </w:rPr>
        <w:t>Whoosh</w:t>
      </w:r>
      <w:r w:rsidRPr="005951B5">
        <w:rPr>
          <w:i/>
          <w:iCs/>
          <w:sz w:val="24"/>
          <w:szCs w:val="24"/>
          <w:lang w:val="ru-RU"/>
        </w:rPr>
        <w:t xml:space="preserve"> — сочетание неподтверждённого качества финансового планирования и агрессивной структуры признания выручки; АПРИ — наблюдаемый, но не материализовавшийся дивидендный паттерн (политика утверждена за месяц до </w:t>
      </w:r>
      <w:r w:rsidRPr="005951B5">
        <w:rPr>
          <w:i/>
          <w:iCs/>
          <w:sz w:val="24"/>
          <w:szCs w:val="24"/>
          <w:lang w:val="en-US"/>
        </w:rPr>
        <w:t>IPO</w:t>
      </w:r>
      <w:r w:rsidRPr="005951B5">
        <w:rPr>
          <w:i/>
          <w:iCs/>
          <w:sz w:val="24"/>
          <w:szCs w:val="24"/>
          <w:lang w:val="ru-RU"/>
        </w:rPr>
        <w:t>, выплаты прекращены после размещения).</w:t>
      </w:r>
    </w:p>
    <w:p w14:paraId="3C3D9809" w14:textId="77777777" w:rsidR="00DA485F" w:rsidRPr="005951B5" w:rsidRDefault="00DA485F" w:rsidP="005951B5">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ru-RU"/>
        </w:rPr>
        <w:t xml:space="preserve">Методическое ограничение: для компаний без документированной точки входа начальная точка реконструируется ретроспективно по ранней отчётности, а не по прижизненной оценке; для непубличных ранних сделок (венчур, </w:t>
      </w:r>
      <w:r w:rsidRPr="005951B5">
        <w:rPr>
          <w:i/>
          <w:iCs/>
          <w:sz w:val="24"/>
          <w:szCs w:val="24"/>
          <w:lang w:val="en-US"/>
        </w:rPr>
        <w:t>PE</w:t>
      </w:r>
      <w:r w:rsidRPr="005951B5">
        <w:rPr>
          <w:i/>
          <w:iCs/>
          <w:sz w:val="24"/>
          <w:szCs w:val="24"/>
          <w:lang w:val="ru-RU"/>
        </w:rPr>
        <w:t>) полный количественный цикл ограничен доступностью раскрытия, что оговаривается как граница применимости — расширение глубокой группы кейсом раннего этапа с полным расчётом возможно за счёт данных частных компаний из портфеля научного руководителя.</w:t>
      </w:r>
    </w:p>
    <w:p w14:paraId="0073447E" w14:textId="4E2568FE" w:rsidR="003524CA" w:rsidRPr="005951B5" w:rsidRDefault="00DA485F" w:rsidP="005951B5">
      <w:pPr>
        <w:pBdr>
          <w:top w:val="nil"/>
          <w:left w:val="nil"/>
          <w:bottom w:val="nil"/>
          <w:right w:val="nil"/>
          <w:between w:val="nil"/>
        </w:pBdr>
        <w:tabs>
          <w:tab w:val="left" w:pos="1347"/>
        </w:tabs>
        <w:spacing w:before="1" w:line="360" w:lineRule="auto"/>
        <w:ind w:right="145"/>
        <w:jc w:val="both"/>
        <w:rPr>
          <w:i/>
          <w:iCs/>
          <w:sz w:val="24"/>
          <w:szCs w:val="24"/>
          <w:lang w:val="ru-RU"/>
        </w:rPr>
      </w:pPr>
      <w:r w:rsidRPr="005951B5">
        <w:rPr>
          <w:i/>
          <w:iCs/>
          <w:sz w:val="24"/>
          <w:szCs w:val="24"/>
          <w:lang w:val="ru-RU"/>
        </w:rPr>
        <w:t>Отдельный аналитический разрез по каждому кейсу — мотив привлечения капитала через структуру использования средств (</w:t>
      </w:r>
      <w:r w:rsidRPr="005951B5">
        <w:rPr>
          <w:i/>
          <w:iCs/>
          <w:sz w:val="24"/>
          <w:szCs w:val="24"/>
          <w:lang w:val="en-US"/>
        </w:rPr>
        <w:t>cash</w:t>
      </w:r>
      <w:r w:rsidRPr="005951B5">
        <w:rPr>
          <w:i/>
          <w:iCs/>
          <w:sz w:val="24"/>
          <w:szCs w:val="24"/>
          <w:lang w:val="ru-RU"/>
        </w:rPr>
        <w:t>-</w:t>
      </w:r>
      <w:r w:rsidRPr="005951B5">
        <w:rPr>
          <w:i/>
          <w:iCs/>
          <w:sz w:val="24"/>
          <w:szCs w:val="24"/>
          <w:lang w:val="en-US"/>
        </w:rPr>
        <w:t>in</w:t>
      </w:r>
      <w:r w:rsidRPr="005951B5">
        <w:rPr>
          <w:i/>
          <w:iCs/>
          <w:sz w:val="24"/>
          <w:szCs w:val="24"/>
          <w:lang w:val="ru-RU"/>
        </w:rPr>
        <w:t xml:space="preserve"> против </w:t>
      </w:r>
      <w:r w:rsidRPr="005951B5">
        <w:rPr>
          <w:i/>
          <w:iCs/>
          <w:sz w:val="24"/>
          <w:szCs w:val="24"/>
          <w:lang w:val="en-US"/>
        </w:rPr>
        <w:t>cash</w:t>
      </w:r>
      <w:r w:rsidRPr="005951B5">
        <w:rPr>
          <w:i/>
          <w:iCs/>
          <w:sz w:val="24"/>
          <w:szCs w:val="24"/>
          <w:lang w:val="ru-RU"/>
        </w:rPr>
        <w:t>-</w:t>
      </w:r>
      <w:r w:rsidRPr="005951B5">
        <w:rPr>
          <w:i/>
          <w:iCs/>
          <w:sz w:val="24"/>
          <w:szCs w:val="24"/>
          <w:lang w:val="en-US"/>
        </w:rPr>
        <w:t>out</w:t>
      </w:r>
      <w:r w:rsidRPr="005951B5">
        <w:rPr>
          <w:i/>
          <w:iCs/>
          <w:sz w:val="24"/>
          <w:szCs w:val="24"/>
          <w:lang w:val="ru-RU"/>
        </w:rPr>
        <w:t xml:space="preserve">, доля на погашение долга против роста; шкала от роста до спасения баланса) как самостоятельный сигнал переоценки вне матрицы </w:t>
      </w:r>
      <w:r w:rsidRPr="005951B5">
        <w:rPr>
          <w:i/>
          <w:iCs/>
          <w:sz w:val="24"/>
          <w:szCs w:val="24"/>
          <w:lang w:val="en-US"/>
        </w:rPr>
        <w:t>CSRP</w:t>
      </w:r>
      <w:r w:rsidRPr="005951B5">
        <w:rPr>
          <w:i/>
          <w:iCs/>
          <w:sz w:val="24"/>
          <w:szCs w:val="24"/>
          <w:lang w:val="ru-RU"/>
        </w:rPr>
        <w:t>; иллюстрация на кейсах «Делимобиль», «Кристалл», «ВсеИнструменты»</w:t>
      </w:r>
      <w:r w:rsidR="005951B5" w:rsidRPr="005951B5">
        <w:rPr>
          <w:i/>
          <w:iCs/>
          <w:sz w:val="24"/>
          <w:szCs w:val="24"/>
          <w:lang w:val="ru-RU"/>
        </w:rPr>
        <w:t>)</w:t>
      </w:r>
    </w:p>
    <w:p w14:paraId="2D9770C0" w14:textId="7766797C" w:rsidR="00DE152A" w:rsidRPr="00DE152A" w:rsidRDefault="003524CA" w:rsidP="00DE152A">
      <w:pPr>
        <w:numPr>
          <w:ilvl w:val="1"/>
          <w:numId w:val="1"/>
        </w:numPr>
        <w:pBdr>
          <w:top w:val="nil"/>
          <w:left w:val="nil"/>
          <w:bottom w:val="nil"/>
          <w:right w:val="nil"/>
          <w:between w:val="nil"/>
        </w:pBdr>
        <w:tabs>
          <w:tab w:val="left" w:pos="1347"/>
        </w:tabs>
        <w:spacing w:before="1" w:line="360" w:lineRule="auto"/>
        <w:ind w:right="145" w:firstLine="708"/>
        <w:jc w:val="both"/>
        <w:rPr>
          <w:i/>
          <w:iCs/>
          <w:sz w:val="24"/>
          <w:szCs w:val="24"/>
          <w:lang w:val="ru-RU"/>
        </w:rPr>
      </w:pPr>
      <w:r w:rsidRPr="00DE152A">
        <w:rPr>
          <w:sz w:val="28"/>
          <w:szCs w:val="28"/>
          <w:lang w:val="ru-RU"/>
        </w:rPr>
        <w:t>Практические рекомендации по диагностике и устранению внутренних факторов риска неготовности к публичности</w:t>
      </w:r>
      <w:r w:rsidRPr="00DE152A">
        <w:rPr>
          <w:i/>
          <w:iCs/>
          <w:sz w:val="28"/>
          <w:szCs w:val="28"/>
          <w:lang w:val="ru-RU"/>
        </w:rPr>
        <w:t xml:space="preserve"> </w:t>
      </w:r>
      <w:r w:rsidR="00DE152A" w:rsidRPr="00DE152A">
        <w:rPr>
          <w:i/>
          <w:iCs/>
          <w:sz w:val="28"/>
          <w:szCs w:val="28"/>
          <w:lang w:val="ru-RU"/>
        </w:rPr>
        <w:t>(</w:t>
      </w:r>
      <w:r w:rsidR="00DE152A" w:rsidRPr="00DE152A">
        <w:rPr>
          <w:i/>
          <w:iCs/>
          <w:sz w:val="24"/>
          <w:szCs w:val="24"/>
          <w:lang w:val="ru-RU"/>
        </w:rPr>
        <w:t xml:space="preserve">Диагностический инструмент самооценки — для финансовых служб компаний-кандидатов на привлечение институционального капитала на любом из этапов пути (венчур, </w:t>
      </w:r>
      <w:r w:rsidR="00DE152A" w:rsidRPr="00DE152A">
        <w:rPr>
          <w:i/>
          <w:iCs/>
          <w:sz w:val="24"/>
          <w:szCs w:val="24"/>
          <w:lang w:val="en-US"/>
        </w:rPr>
        <w:t>PE</w:t>
      </w:r>
      <w:r w:rsidR="00DE152A" w:rsidRPr="00DE152A">
        <w:rPr>
          <w:i/>
          <w:iCs/>
          <w:sz w:val="24"/>
          <w:szCs w:val="24"/>
          <w:lang w:val="ru-RU"/>
        </w:rPr>
        <w:t xml:space="preserve">, </w:t>
      </w:r>
      <w:r w:rsidR="00DE152A" w:rsidRPr="00DE152A">
        <w:rPr>
          <w:i/>
          <w:iCs/>
          <w:sz w:val="24"/>
          <w:szCs w:val="24"/>
          <w:lang w:val="en-US"/>
        </w:rPr>
        <w:t>pre</w:t>
      </w:r>
      <w:r w:rsidR="00DE152A" w:rsidRPr="00DE152A">
        <w:rPr>
          <w:i/>
          <w:iCs/>
          <w:sz w:val="24"/>
          <w:szCs w:val="24"/>
          <w:lang w:val="ru-RU"/>
        </w:rPr>
        <w:t>-</w:t>
      </w:r>
      <w:r w:rsidR="00DE152A" w:rsidRPr="00DE152A">
        <w:rPr>
          <w:i/>
          <w:iCs/>
          <w:sz w:val="24"/>
          <w:szCs w:val="24"/>
          <w:lang w:val="en-US"/>
        </w:rPr>
        <w:t>IPO</w:t>
      </w:r>
      <w:r w:rsidR="00DE152A" w:rsidRPr="00DE152A">
        <w:rPr>
          <w:i/>
          <w:iCs/>
          <w:sz w:val="24"/>
          <w:szCs w:val="24"/>
          <w:lang w:val="ru-RU"/>
        </w:rPr>
        <w:t xml:space="preserve">, </w:t>
      </w:r>
      <w:r w:rsidR="00DE152A" w:rsidRPr="00DE152A">
        <w:rPr>
          <w:i/>
          <w:iCs/>
          <w:sz w:val="24"/>
          <w:szCs w:val="24"/>
          <w:lang w:val="en-US"/>
        </w:rPr>
        <w:t>IPO</w:t>
      </w:r>
      <w:r w:rsidR="00DE152A" w:rsidRPr="00DE152A">
        <w:rPr>
          <w:i/>
          <w:iCs/>
          <w:sz w:val="24"/>
          <w:szCs w:val="24"/>
          <w:lang w:val="ru-RU"/>
        </w:rPr>
        <w:t xml:space="preserve">), позволяющий выявить приоритетные для устранения внутренние процессы до начала самой подготовки к сделке или размещению. Протокол содержательной проверки каждого из пяти факторов — что именно анализировать в источниках и какой сигнал считать высоким риском. Отдельного внимания заслуживает протокол проверки К3: наличие аудитора компании в реестре Банка России для аудита общественно значимых организаций финансового рынка и отсутствие у него признанных регулятором ненадлежащими заключений — первый по-настоящему верифицируемый внешний критерий качества аудитора; до появления этого прецедента (2026 г.) протокол мог опираться лишь на косвенные признаки — смену аудитора и оговорки в заключении. Рекомендации организаторам размещений по встраиванию методики в формирование ценового диапазона на этапе </w:t>
      </w:r>
      <w:r w:rsidR="00DE152A" w:rsidRPr="00DE152A">
        <w:rPr>
          <w:i/>
          <w:iCs/>
          <w:sz w:val="24"/>
          <w:szCs w:val="24"/>
          <w:lang w:val="en-US"/>
        </w:rPr>
        <w:t>pre</w:t>
      </w:r>
      <w:r w:rsidR="00DE152A" w:rsidRPr="00DE152A">
        <w:rPr>
          <w:i/>
          <w:iCs/>
          <w:sz w:val="24"/>
          <w:szCs w:val="24"/>
          <w:lang w:val="ru-RU"/>
        </w:rPr>
        <w:t>-</w:t>
      </w:r>
      <w:r w:rsidR="00DE152A" w:rsidRPr="00DE152A">
        <w:rPr>
          <w:i/>
          <w:iCs/>
          <w:sz w:val="24"/>
          <w:szCs w:val="24"/>
          <w:lang w:val="en-US"/>
        </w:rPr>
        <w:t>IPO</w:t>
      </w:r>
      <w:r w:rsidR="00DE152A" w:rsidRPr="00DE152A">
        <w:rPr>
          <w:i/>
          <w:iCs/>
          <w:sz w:val="24"/>
          <w:szCs w:val="24"/>
          <w:lang w:val="ru-RU"/>
        </w:rPr>
        <w:t>/</w:t>
      </w:r>
      <w:r w:rsidR="00DE152A" w:rsidRPr="00DE152A">
        <w:rPr>
          <w:i/>
          <w:iCs/>
          <w:sz w:val="24"/>
          <w:szCs w:val="24"/>
          <w:lang w:val="en-US"/>
        </w:rPr>
        <w:t>IPO</w:t>
      </w:r>
      <w:r w:rsidR="00DE152A" w:rsidRPr="00DE152A">
        <w:rPr>
          <w:i/>
          <w:iCs/>
          <w:sz w:val="24"/>
          <w:szCs w:val="24"/>
          <w:lang w:val="ru-RU"/>
        </w:rPr>
        <w:t xml:space="preserve">. Рекомендация по раскрытию структуры использования средств привлекаемого капитала как самостоятельного индикатора мотивации компании — на любом этапе, а не только при </w:t>
      </w:r>
      <w:r w:rsidR="00DE152A" w:rsidRPr="00DE152A">
        <w:rPr>
          <w:i/>
          <w:iCs/>
          <w:sz w:val="24"/>
          <w:szCs w:val="24"/>
          <w:lang w:val="en-US"/>
        </w:rPr>
        <w:t>IPO</w:t>
      </w:r>
      <w:r w:rsidR="00DE152A" w:rsidRPr="00DE152A">
        <w:rPr>
          <w:i/>
          <w:iCs/>
          <w:sz w:val="24"/>
          <w:szCs w:val="24"/>
          <w:lang w:val="ru-RU"/>
        </w:rPr>
        <w:t xml:space="preserve">. Предложения Банку России и Министерству финансов Российской Федерации по использованию показателей качества внутренней готовности компаний как индикаторов реализации Указа Президента РФ №309, а также венчурной части Стратегии </w:t>
      </w:r>
      <w:r w:rsidR="00DE152A" w:rsidRPr="00DE152A">
        <w:rPr>
          <w:i/>
          <w:iCs/>
          <w:sz w:val="24"/>
          <w:szCs w:val="24"/>
          <w:lang w:val="ru-RU"/>
        </w:rPr>
        <w:lastRenderedPageBreak/>
        <w:t>развития финансового рынка Российской Федерации до 2030 года — то есть не только объёмных, но и качественных индикаторов прогресса по обеим государственным задачам одновременно)</w:t>
      </w:r>
      <w:r w:rsidR="00DE152A" w:rsidRPr="00DE152A">
        <w:rPr>
          <w:i/>
          <w:iCs/>
          <w:sz w:val="24"/>
          <w:szCs w:val="24"/>
          <w:lang w:val="en-US"/>
        </w:rPr>
        <w:t> </w:t>
      </w:r>
    </w:p>
    <w:p w14:paraId="1C1F26D1" w14:textId="66341715" w:rsidR="00A63D1B" w:rsidRPr="00DE152A" w:rsidRDefault="00A63D1B" w:rsidP="00DE152A">
      <w:pPr>
        <w:pBdr>
          <w:top w:val="nil"/>
          <w:left w:val="nil"/>
          <w:bottom w:val="nil"/>
          <w:right w:val="nil"/>
          <w:between w:val="nil"/>
        </w:pBdr>
        <w:tabs>
          <w:tab w:val="left" w:pos="1347"/>
        </w:tabs>
        <w:spacing w:before="1" w:line="360" w:lineRule="auto"/>
        <w:ind w:left="848" w:right="145"/>
        <w:jc w:val="both"/>
        <w:rPr>
          <w:i/>
          <w:iCs/>
          <w:color w:val="808080" w:themeColor="background1" w:themeShade="80"/>
          <w:sz w:val="28"/>
          <w:szCs w:val="28"/>
          <w:lang w:val="ru-RU"/>
        </w:rPr>
      </w:pPr>
    </w:p>
    <w:p w14:paraId="1C1F26D2" w14:textId="77777777" w:rsidR="00A63D1B" w:rsidRPr="00BD4F9E" w:rsidRDefault="0018149E">
      <w:pPr>
        <w:pStyle w:val="1"/>
        <w:ind w:left="849"/>
        <w:rPr>
          <w:color w:val="808080" w:themeColor="background1" w:themeShade="80"/>
        </w:rPr>
      </w:pPr>
      <w:r w:rsidRPr="00BD4F9E">
        <w:rPr>
          <w:color w:val="808080" w:themeColor="background1" w:themeShade="80"/>
        </w:rPr>
        <w:t>Заключение</w:t>
      </w:r>
    </w:p>
    <w:p w14:paraId="08C48246" w14:textId="5201F873" w:rsidR="00A978A8" w:rsidRPr="00BD4F9E" w:rsidRDefault="00A978A8" w:rsidP="00A978A8">
      <w:pPr>
        <w:pStyle w:val="1"/>
        <w:ind w:left="849"/>
        <w:rPr>
          <w:color w:val="808080" w:themeColor="background1" w:themeShade="80"/>
        </w:rPr>
      </w:pPr>
      <w:r w:rsidRPr="00BD4F9E">
        <w:rPr>
          <w:color w:val="808080" w:themeColor="background1" w:themeShade="80"/>
        </w:rPr>
        <w:t>Список сокращений и условных обозначений*</w:t>
      </w:r>
    </w:p>
    <w:p w14:paraId="75C67731" w14:textId="422160A7" w:rsidR="00A978A8" w:rsidRPr="00BD4F9E" w:rsidRDefault="00A978A8" w:rsidP="00A978A8">
      <w:pPr>
        <w:pStyle w:val="1"/>
        <w:ind w:left="849"/>
        <w:rPr>
          <w:color w:val="808080" w:themeColor="background1" w:themeShade="80"/>
          <w:lang w:val="ru-RU"/>
        </w:rPr>
      </w:pPr>
      <w:r w:rsidRPr="00BD4F9E">
        <w:rPr>
          <w:color w:val="808080" w:themeColor="background1" w:themeShade="80"/>
          <w:lang w:val="ru-RU"/>
        </w:rPr>
        <w:t>С</w:t>
      </w:r>
      <w:r w:rsidRPr="00BD4F9E">
        <w:rPr>
          <w:color w:val="808080" w:themeColor="background1" w:themeShade="80"/>
        </w:rPr>
        <w:t>ловарь терминов*</w:t>
      </w:r>
    </w:p>
    <w:p w14:paraId="48EBBA67" w14:textId="30442A8E" w:rsidR="00A978A8" w:rsidRPr="00BD4F9E" w:rsidRDefault="00A978A8" w:rsidP="00A978A8">
      <w:pPr>
        <w:pStyle w:val="1"/>
        <w:ind w:left="849"/>
        <w:rPr>
          <w:color w:val="808080" w:themeColor="background1" w:themeShade="80"/>
        </w:rPr>
      </w:pPr>
      <w:r w:rsidRPr="00BD4F9E">
        <w:rPr>
          <w:color w:val="808080" w:themeColor="background1" w:themeShade="80"/>
        </w:rPr>
        <w:t>Список литературы</w:t>
      </w:r>
    </w:p>
    <w:p w14:paraId="165ACADA" w14:textId="3C6B5B83" w:rsidR="00A978A8" w:rsidRPr="00BD4F9E" w:rsidRDefault="00A978A8" w:rsidP="00A978A8">
      <w:pPr>
        <w:pStyle w:val="1"/>
        <w:ind w:left="849"/>
        <w:rPr>
          <w:color w:val="808080" w:themeColor="background1" w:themeShade="80"/>
        </w:rPr>
      </w:pPr>
      <w:r w:rsidRPr="00BD4F9E">
        <w:rPr>
          <w:color w:val="808080" w:themeColor="background1" w:themeShade="80"/>
        </w:rPr>
        <w:t>Список иллюстративного материала*</w:t>
      </w:r>
    </w:p>
    <w:p w14:paraId="5EA7D80F" w14:textId="7B7F883F" w:rsidR="00A978A8" w:rsidRPr="00BD4F9E" w:rsidRDefault="00A978A8" w:rsidP="00A978A8">
      <w:pPr>
        <w:pStyle w:val="1"/>
        <w:ind w:left="849"/>
        <w:rPr>
          <w:color w:val="808080" w:themeColor="background1" w:themeShade="80"/>
        </w:rPr>
      </w:pPr>
      <w:r w:rsidRPr="00BD4F9E">
        <w:rPr>
          <w:color w:val="808080" w:themeColor="background1" w:themeShade="80"/>
        </w:rPr>
        <w:t>Приложения</w:t>
      </w:r>
    </w:p>
    <w:sectPr w:rsidR="00A978A8" w:rsidRPr="00BD4F9E">
      <w:pgSz w:w="11910" w:h="16840"/>
      <w:pgMar w:top="760" w:right="708" w:bottom="1240" w:left="992" w:header="0" w:footer="1051"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Арабян Кнарик Карапетовна" w:date="2026-10-16T15:54:00Z" w:initials="АКК">
    <w:p w14:paraId="653763C1" w14:textId="77777777" w:rsidR="00986688" w:rsidRDefault="00986688">
      <w:pPr>
        <w:pStyle w:val="af3"/>
        <w:rPr>
          <w:lang w:val="ru-RU"/>
        </w:rPr>
      </w:pPr>
      <w:r>
        <w:rPr>
          <w:rStyle w:val="af2"/>
        </w:rPr>
        <w:annotationRef/>
      </w:r>
      <w:r>
        <w:rPr>
          <w:lang w:val="ru-RU"/>
        </w:rPr>
        <w:t>Что значит граница</w:t>
      </w:r>
    </w:p>
    <w:p w14:paraId="5C354D40" w14:textId="683F734E" w:rsidR="00986688" w:rsidRPr="00350DCE" w:rsidRDefault="00986688">
      <w:pPr>
        <w:pStyle w:val="af3"/>
        <w:rPr>
          <w:lang w:val="ru-RU"/>
        </w:rPr>
      </w:pPr>
      <w:r>
        <w:rPr>
          <w:lang w:val="ru-RU"/>
        </w:rPr>
        <w:t xml:space="preserve"> применимости как термин </w:t>
      </w:r>
    </w:p>
  </w:comment>
  <w:comment w:id="2" w:author="Арабян Кнарик Карапетовна" w:date="2026-10-16T15:54:00Z" w:initials="АКК">
    <w:p w14:paraId="75CDFBAE" w14:textId="77777777" w:rsidR="00986688" w:rsidRPr="00986688" w:rsidRDefault="00986688">
      <w:pPr>
        <w:pStyle w:val="af3"/>
        <w:rPr>
          <w:lang w:val="ru-RU"/>
        </w:rPr>
      </w:pPr>
      <w:r>
        <w:rPr>
          <w:rStyle w:val="af2"/>
        </w:rPr>
        <w:annotationRef/>
      </w:r>
      <w:r>
        <w:rPr>
          <w:lang w:val="ru-RU"/>
        </w:rPr>
        <w:t xml:space="preserve">новая методика или дополненная </w:t>
      </w:r>
      <w:r w:rsidRPr="00986688">
        <w:rPr>
          <w:lang w:val="ru-RU"/>
        </w:rPr>
        <w:t>?</w:t>
      </w:r>
    </w:p>
    <w:p w14:paraId="18FADCF3" w14:textId="26A7289E" w:rsidR="00986688" w:rsidRPr="00986688" w:rsidRDefault="00986688">
      <w:pPr>
        <w:pStyle w:val="af3"/>
        <w:rPr>
          <w:lang w:val="ru-RU"/>
        </w:rPr>
      </w:pPr>
    </w:p>
  </w:comment>
  <w:comment w:id="3" w:author="Арабян Кнарик Карапетовна" w:date="2026-10-16T15:55:00Z" w:initials="АКК">
    <w:p w14:paraId="7A3D2A95" w14:textId="4F942E6E" w:rsidR="00986688" w:rsidRPr="00350DCE" w:rsidRDefault="00986688">
      <w:pPr>
        <w:pStyle w:val="af3"/>
        <w:rPr>
          <w:lang w:val="ru-RU"/>
        </w:rPr>
      </w:pPr>
      <w:r>
        <w:rPr>
          <w:rStyle w:val="af2"/>
        </w:rPr>
        <w:annotationRef/>
      </w:r>
      <w:r>
        <w:rPr>
          <w:lang w:val="ru-RU"/>
        </w:rPr>
        <w:t xml:space="preserve">структурная готовность и деградация – как доказывается – корреляция </w:t>
      </w:r>
      <w:r w:rsidRPr="00350DCE">
        <w:rPr>
          <w:lang w:val="ru-RU"/>
        </w:rPr>
        <w:t>?</w:t>
      </w:r>
    </w:p>
  </w:comment>
  <w:comment w:id="4" w:author="Арабян Кнарик Карапетовна" w:date="2026-10-16T16:01:00Z" w:initials="АКК">
    <w:p w14:paraId="480CF4FB" w14:textId="44268199" w:rsidR="00986688" w:rsidRPr="00986688" w:rsidRDefault="00986688">
      <w:pPr>
        <w:pStyle w:val="af3"/>
        <w:rPr>
          <w:lang w:val="ru-RU"/>
        </w:rPr>
      </w:pPr>
      <w:r>
        <w:rPr>
          <w:rStyle w:val="af2"/>
        </w:rPr>
        <w:annotationRef/>
      </w:r>
      <w:r>
        <w:rPr>
          <w:lang w:val="ru-RU"/>
        </w:rPr>
        <w:t>всегда так</w:t>
      </w:r>
      <w:r w:rsidRPr="00986688">
        <w:rPr>
          <w:lang w:val="ru-RU"/>
        </w:rPr>
        <w:t>?</w:t>
      </w:r>
    </w:p>
  </w:comment>
  <w:comment w:id="5" w:author="Арабян Кнарик Карапетовна" w:date="2026-10-16T16:01:00Z" w:initials="АКК">
    <w:p w14:paraId="4AD8E3B7" w14:textId="77777777" w:rsidR="00986688" w:rsidRDefault="00986688">
      <w:pPr>
        <w:pStyle w:val="af3"/>
        <w:rPr>
          <w:lang w:val="ru-RU"/>
        </w:rPr>
      </w:pPr>
      <w:r>
        <w:rPr>
          <w:rStyle w:val="af2"/>
        </w:rPr>
        <w:annotationRef/>
      </w:r>
      <w:r>
        <w:rPr>
          <w:lang w:val="ru-RU"/>
        </w:rPr>
        <w:t>Можно ли представить циклы компаний через привлечение инвестиций, или альтернативный жизненный цикл</w:t>
      </w:r>
      <w:r w:rsidRPr="000B2458">
        <w:rPr>
          <w:lang w:val="ru-RU"/>
        </w:rPr>
        <w:t>?</w:t>
      </w:r>
    </w:p>
    <w:p w14:paraId="14469DD5" w14:textId="0EDCE20E" w:rsidR="00986688" w:rsidRPr="000B2458" w:rsidRDefault="00986688">
      <w:pPr>
        <w:pStyle w:val="af3"/>
        <w:rPr>
          <w:lang w:val="ru-RU"/>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354D40" w15:done="0"/>
  <w15:commentEx w15:paraId="18FADCF3" w15:done="0"/>
  <w15:commentEx w15:paraId="7A3D2A95" w15:done="0"/>
  <w15:commentEx w15:paraId="480CF4FB" w15:done="0"/>
  <w15:commentEx w15:paraId="14469D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354D40" w16cid:durableId="2E7CC72A"/>
  <w16cid:commentId w16cid:paraId="18FADCF3" w16cid:durableId="2E7CC74A"/>
  <w16cid:commentId w16cid:paraId="7A3D2A95" w16cid:durableId="2E7CC76B"/>
  <w16cid:commentId w16cid:paraId="480CF4FB" w16cid:durableId="2E7CC8CD"/>
  <w16cid:commentId w16cid:paraId="14469DD5" w16cid:durableId="2E7CC8E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EB7265" w14:textId="77777777" w:rsidR="00081AC0" w:rsidRDefault="00081AC0">
      <w:r>
        <w:separator/>
      </w:r>
    </w:p>
  </w:endnote>
  <w:endnote w:type="continuationSeparator" w:id="0">
    <w:p w14:paraId="1B54F791" w14:textId="77777777" w:rsidR="00081AC0" w:rsidRDefault="00081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1" w:fontKey="{66719CFA-137C-4328-9699-1E85E5C1B920}"/>
  </w:font>
  <w:font w:name="Georgia">
    <w:panose1 w:val="02040502050405020303"/>
    <w:charset w:val="CC"/>
    <w:family w:val="roman"/>
    <w:pitch w:val="variable"/>
    <w:sig w:usb0="00000287" w:usb1="00000000" w:usb2="00000000" w:usb3="00000000" w:csb0="0000009F" w:csb1="00000000"/>
    <w:embedItalic r:id="rId2" w:fontKey="{E15F7FF7-2A5E-4D11-97D3-9EDD4CA2662C}"/>
  </w:font>
  <w:font w:name="Segoe UI">
    <w:panose1 w:val="020B0502040204020203"/>
    <w:charset w:val="CC"/>
    <w:family w:val="swiss"/>
    <w:pitch w:val="variable"/>
    <w:sig w:usb0="E4002EFF" w:usb1="C000E47F" w:usb2="00000009" w:usb3="00000000" w:csb0="000001FF" w:csb1="00000000"/>
    <w:embedRegular r:id="rId3" w:fontKey="{B9B9982B-E864-4752-9E0A-8F224FFBBBCB}"/>
  </w:font>
  <w:font w:name="Cambria Math">
    <w:panose1 w:val="02040503050406030204"/>
    <w:charset w:val="CC"/>
    <w:family w:val="roman"/>
    <w:pitch w:val="variable"/>
    <w:sig w:usb0="E00006FF" w:usb1="420024FF" w:usb2="02000000" w:usb3="00000000" w:csb0="0000019F" w:csb1="00000000"/>
    <w:embedRegular r:id="rId4" w:fontKey="{14D612F1-8F10-4A7C-A671-E807B7E8821A}"/>
    <w:embedItalic r:id="rId5" w:fontKey="{CC8578E6-D75E-4B2B-BB2A-92E13094956D}"/>
  </w:font>
  <w:font w:name="Calibri">
    <w:panose1 w:val="020F0502020204030204"/>
    <w:charset w:val="CC"/>
    <w:family w:val="swiss"/>
    <w:pitch w:val="variable"/>
    <w:sig w:usb0="E4002EFF" w:usb1="C200247B" w:usb2="00000009" w:usb3="00000000" w:csb0="000001FF" w:csb1="00000000"/>
    <w:embedRegular r:id="rId6" w:fontKey="{4B3BAF88-751E-4B00-A6A9-EB798C23B8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1F26D4" w14:textId="77777777" w:rsidR="00986688" w:rsidRDefault="00986688">
    <w:pPr>
      <w:pBdr>
        <w:top w:val="nil"/>
        <w:left w:val="nil"/>
        <w:bottom w:val="nil"/>
        <w:right w:val="nil"/>
        <w:between w:val="nil"/>
      </w:pBdr>
      <w:spacing w:line="14" w:lineRule="auto"/>
      <w:rPr>
        <w:color w:val="000000"/>
        <w:sz w:val="20"/>
        <w:szCs w:val="20"/>
      </w:rPr>
    </w:pPr>
    <w:r>
      <w:rPr>
        <w:noProof/>
        <w:lang w:val="ru-RU" w:eastAsia="ru-RU"/>
      </w:rPr>
      <mc:AlternateContent>
        <mc:Choice Requires="wps">
          <w:drawing>
            <wp:anchor distT="0" distB="0" distL="0" distR="0" simplePos="0" relativeHeight="251658240" behindDoc="1" locked="0" layoutInCell="1" hidden="0" allowOverlap="1" wp14:anchorId="1C1F26D5" wp14:editId="1C1F26D6">
              <wp:simplePos x="0" y="0"/>
              <wp:positionH relativeFrom="column">
                <wp:posOffset>3146489</wp:posOffset>
              </wp:positionH>
              <wp:positionV relativeFrom="paragraph">
                <wp:posOffset>-136535</wp:posOffset>
              </wp:positionV>
              <wp:extent cx="187325" cy="203835"/>
              <wp:effectExtent l="0" t="0" r="0" b="0"/>
              <wp:wrapNone/>
              <wp:docPr id="1" name="Rectangle 1"/>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1C1F2706" w14:textId="77777777" w:rsidR="00986688" w:rsidRDefault="00986688">
                          <w:pPr>
                            <w:spacing w:before="10"/>
                            <w:ind w:left="20" w:firstLine="20"/>
                            <w:textDirection w:val="btLr"/>
                          </w:pPr>
                          <w:r>
                            <w:rPr>
                              <w:color w:val="000000"/>
                              <w:sz w:val="24"/>
                            </w:rPr>
                            <w:t>10</w:t>
                          </w:r>
                        </w:p>
                      </w:txbxContent>
                    </wps:txbx>
                    <wps:bodyPr spcFirstLastPara="1" wrap="square" lIns="0" tIns="0" rIns="0" bIns="0" anchor="t" anchorCtr="0">
                      <a:noAutofit/>
                    </wps:bodyPr>
                  </wps:wsp>
                </a:graphicData>
              </a:graphic>
            </wp:anchor>
          </w:drawing>
        </mc:Choice>
        <mc:Fallback>
          <w:pict>
            <v:rect w14:anchorId="1C1F26D5" id="Rectangle 1" o:spid="_x0000_s1026" style="position:absolute;margin-left:247.75pt;margin-top:-10.75pt;width:14.7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" filled="f" stroked="f">
              <v:textbox inset="0,0,0,0">
                <w:txbxContent>
                  <w:p w14:paraId="1C1F2706" w14:textId="77777777" w:rsidR="00986688" w:rsidRDefault="00986688">
                    <w:pPr>
                      <w:spacing w:before="10"/>
                      <w:ind w:left="20" w:firstLine="20"/>
                      <w:textDirection w:val="btLr"/>
                    </w:pPr>
                    <w:r>
                      <w:rPr>
                        <w:color w:val="000000"/>
                        <w:sz w:val="24"/>
                      </w:rPr>
                      <w:t>10</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FE2A6" w14:textId="77777777" w:rsidR="00081AC0" w:rsidRDefault="00081AC0">
      <w:r>
        <w:separator/>
      </w:r>
    </w:p>
  </w:footnote>
  <w:footnote w:type="continuationSeparator" w:id="0">
    <w:p w14:paraId="47061FB5" w14:textId="77777777" w:rsidR="00081AC0" w:rsidRDefault="00081AC0">
      <w:r>
        <w:continuationSeparator/>
      </w:r>
    </w:p>
  </w:footnote>
  <w:footnote w:id="1">
    <w:p w14:paraId="279F3E10" w14:textId="078F53AA" w:rsidR="00986688" w:rsidRPr="00502F26" w:rsidRDefault="00986688">
      <w:pPr>
        <w:pStyle w:val="a5"/>
      </w:pPr>
      <w:r>
        <w:rPr>
          <w:rStyle w:val="a7"/>
        </w:rPr>
        <w:footnoteRef/>
      </w:r>
      <w:r>
        <w:t xml:space="preserve"> </w:t>
      </w:r>
      <w:r>
        <w:rPr>
          <w:color w:val="000000"/>
        </w:rPr>
        <w:t xml:space="preserve">Единый план по достижению национальных целей развития Российской Федерации до 2030 года и на перспективу до 2036 года" (утв. Правительством РФ). URL: </w:t>
      </w:r>
      <w:hyperlink r:id="rId1">
        <w:r>
          <w:rPr>
            <w:color w:val="0000FF"/>
            <w:u w:val="single"/>
          </w:rPr>
          <w:t>http://static.government.ru/media/files/ZsnFICpxWknEXeTfQdmcFHNei2FhcR0A.pdf</w:t>
        </w:r>
      </w:hyperlink>
      <w:r>
        <w:rPr>
          <w:color w:val="000000"/>
        </w:rPr>
        <w:t xml:space="preserve"> (дата обращения 30.06.2026)</w:t>
      </w:r>
    </w:p>
  </w:footnote>
  <w:footnote w:id="2">
    <w:p w14:paraId="522EB3EA" w14:textId="50A027CB" w:rsidR="00986688" w:rsidRPr="00502F26" w:rsidRDefault="00986688">
      <w:pPr>
        <w:pStyle w:val="a5"/>
      </w:pPr>
      <w:r>
        <w:rPr>
          <w:rStyle w:val="a7"/>
        </w:rPr>
        <w:footnoteRef/>
      </w:r>
      <w:r>
        <w:t xml:space="preserve"> </w:t>
      </w:r>
      <w:r>
        <w:rPr>
          <w:color w:val="000000"/>
        </w:rPr>
        <w:t xml:space="preserve">Эксперты оценили, сколько нужно IPO для выполнения цели из указа Путина. РБК. URL: </w:t>
      </w:r>
      <w:hyperlink r:id="rId2">
        <w:r>
          <w:rPr>
            <w:color w:val="0000FF"/>
            <w:u w:val="single"/>
          </w:rPr>
          <w:t>https://www.rbc.ru/finances/24/04/2025/680a30069a79477307f5a78b</w:t>
        </w:r>
      </w:hyperlink>
      <w:r>
        <w:rPr>
          <w:color w:val="000000"/>
        </w:rPr>
        <w:t xml:space="preserve"> (дата обращения 30.06.2026)</w:t>
      </w:r>
    </w:p>
  </w:footnote>
  <w:footnote w:id="3">
    <w:p w14:paraId="2ADF406F" w14:textId="424951D1" w:rsidR="00986688" w:rsidRPr="00AB384A" w:rsidRDefault="00986688">
      <w:pPr>
        <w:pStyle w:val="a5"/>
        <w:rPr>
          <w:lang w:val="ru-RU"/>
        </w:rPr>
      </w:pPr>
      <w:r>
        <w:rPr>
          <w:rStyle w:val="a7"/>
        </w:rPr>
        <w:footnoteRef/>
      </w:r>
      <w:r>
        <w:t xml:space="preserve"> </w:t>
      </w:r>
      <w:r w:rsidRPr="00DD692A">
        <w:t>Вложения в фонды прямых инвестиций вырастут вдвое в 2026 году</w:t>
      </w:r>
      <w:r>
        <w:rPr>
          <w:lang w:val="ru-RU"/>
        </w:rPr>
        <w:t xml:space="preserve">. </w:t>
      </w:r>
      <w:r w:rsidRPr="00DD692A">
        <w:t>Сетевое издание "СарИнформ". Новости Саратова и Саратовской области</w:t>
      </w:r>
      <w:r>
        <w:rPr>
          <w:lang w:val="ru-RU"/>
        </w:rPr>
        <w:t xml:space="preserve">. </w:t>
      </w:r>
      <w:r>
        <w:rPr>
          <w:lang w:val="en-US"/>
        </w:rPr>
        <w:t>URL</w:t>
      </w:r>
      <w:r w:rsidRPr="00DD692A">
        <w:rPr>
          <w:lang w:val="ru-RU"/>
        </w:rPr>
        <w:t xml:space="preserve">: </w:t>
      </w:r>
      <w:hyperlink r:id="rId3" w:history="1">
        <w:r w:rsidRPr="00EE3AFC">
          <w:rPr>
            <w:rStyle w:val="a8"/>
            <w:lang w:val="en-US"/>
          </w:rPr>
          <w:t>https</w:t>
        </w:r>
        <w:r w:rsidRPr="00DD692A">
          <w:rPr>
            <w:rStyle w:val="a8"/>
            <w:lang w:val="ru-RU"/>
          </w:rPr>
          <w:t>://</w:t>
        </w:r>
        <w:r w:rsidRPr="00EE3AFC">
          <w:rPr>
            <w:rStyle w:val="a8"/>
            <w:lang w:val="en-US"/>
          </w:rPr>
          <w:t>sarinform</w:t>
        </w:r>
        <w:r w:rsidRPr="00DD692A">
          <w:rPr>
            <w:rStyle w:val="a8"/>
            <w:lang w:val="ru-RU"/>
          </w:rPr>
          <w:t>.</w:t>
        </w:r>
        <w:r w:rsidRPr="00EE3AFC">
          <w:rPr>
            <w:rStyle w:val="a8"/>
            <w:lang w:val="en-US"/>
          </w:rPr>
          <w:t>ru</w:t>
        </w:r>
        <w:r w:rsidRPr="00DD692A">
          <w:rPr>
            <w:rStyle w:val="a8"/>
            <w:lang w:val="ru-RU"/>
          </w:rPr>
          <w:t>/</w:t>
        </w:r>
        <w:r w:rsidRPr="00EE3AFC">
          <w:rPr>
            <w:rStyle w:val="a8"/>
            <w:lang w:val="en-US"/>
          </w:rPr>
          <w:t>news</w:t>
        </w:r>
        <w:r w:rsidRPr="00DD692A">
          <w:rPr>
            <w:rStyle w:val="a8"/>
            <w:lang w:val="ru-RU"/>
          </w:rPr>
          <w:t>/</w:t>
        </w:r>
        <w:r w:rsidRPr="00EE3AFC">
          <w:rPr>
            <w:rStyle w:val="a8"/>
            <w:lang w:val="en-US"/>
          </w:rPr>
          <w:t>economics</w:t>
        </w:r>
        <w:r w:rsidRPr="00DD692A">
          <w:rPr>
            <w:rStyle w:val="a8"/>
            <w:lang w:val="ru-RU"/>
          </w:rPr>
          <w:t>/</w:t>
        </w:r>
        <w:r w:rsidRPr="00EE3AFC">
          <w:rPr>
            <w:rStyle w:val="a8"/>
            <w:lang w:val="en-US"/>
          </w:rPr>
          <w:t>vlozheniya</w:t>
        </w:r>
        <w:r w:rsidRPr="00DD692A">
          <w:rPr>
            <w:rStyle w:val="a8"/>
            <w:lang w:val="ru-RU"/>
          </w:rPr>
          <w:t>-</w:t>
        </w:r>
        <w:r w:rsidRPr="00EE3AFC">
          <w:rPr>
            <w:rStyle w:val="a8"/>
            <w:lang w:val="en-US"/>
          </w:rPr>
          <w:t>v</w:t>
        </w:r>
        <w:r w:rsidRPr="00DD692A">
          <w:rPr>
            <w:rStyle w:val="a8"/>
            <w:lang w:val="ru-RU"/>
          </w:rPr>
          <w:t>-</w:t>
        </w:r>
        <w:r w:rsidRPr="00EE3AFC">
          <w:rPr>
            <w:rStyle w:val="a8"/>
            <w:lang w:val="en-US"/>
          </w:rPr>
          <w:t>fondy</w:t>
        </w:r>
        <w:r w:rsidRPr="00DD692A">
          <w:rPr>
            <w:rStyle w:val="a8"/>
            <w:lang w:val="ru-RU"/>
          </w:rPr>
          <w:t>-</w:t>
        </w:r>
        <w:r w:rsidRPr="00EE3AFC">
          <w:rPr>
            <w:rStyle w:val="a8"/>
            <w:lang w:val="en-US"/>
          </w:rPr>
          <w:t>pryamyh</w:t>
        </w:r>
        <w:r w:rsidRPr="00DD692A">
          <w:rPr>
            <w:rStyle w:val="a8"/>
            <w:lang w:val="ru-RU"/>
          </w:rPr>
          <w:t>-</w:t>
        </w:r>
        <w:r w:rsidRPr="00EE3AFC">
          <w:rPr>
            <w:rStyle w:val="a8"/>
            <w:lang w:val="en-US"/>
          </w:rPr>
          <w:t>investitsiy</w:t>
        </w:r>
        <w:r w:rsidRPr="00DD692A">
          <w:rPr>
            <w:rStyle w:val="a8"/>
            <w:lang w:val="ru-RU"/>
          </w:rPr>
          <w:t>-</w:t>
        </w:r>
        <w:r w:rsidRPr="00EE3AFC">
          <w:rPr>
            <w:rStyle w:val="a8"/>
            <w:lang w:val="en-US"/>
          </w:rPr>
          <w:t>vyrastut</w:t>
        </w:r>
        <w:r w:rsidRPr="00DD692A">
          <w:rPr>
            <w:rStyle w:val="a8"/>
            <w:lang w:val="ru-RU"/>
          </w:rPr>
          <w:t>-</w:t>
        </w:r>
        <w:r w:rsidRPr="00EE3AFC">
          <w:rPr>
            <w:rStyle w:val="a8"/>
            <w:lang w:val="en-US"/>
          </w:rPr>
          <w:t>vdvoe</w:t>
        </w:r>
        <w:r w:rsidRPr="00DD692A">
          <w:rPr>
            <w:rStyle w:val="a8"/>
            <w:lang w:val="ru-RU"/>
          </w:rPr>
          <w:t>-</w:t>
        </w:r>
        <w:r w:rsidRPr="00EE3AFC">
          <w:rPr>
            <w:rStyle w:val="a8"/>
            <w:lang w:val="en-US"/>
          </w:rPr>
          <w:t>v</w:t>
        </w:r>
        <w:r w:rsidRPr="00DD692A">
          <w:rPr>
            <w:rStyle w:val="a8"/>
            <w:lang w:val="ru-RU"/>
          </w:rPr>
          <w:t>-2026-</w:t>
        </w:r>
        <w:r w:rsidRPr="00EE3AFC">
          <w:rPr>
            <w:rStyle w:val="a8"/>
            <w:lang w:val="en-US"/>
          </w:rPr>
          <w:t>godu</w:t>
        </w:r>
      </w:hyperlink>
      <w:r w:rsidRPr="00DD692A">
        <w:rPr>
          <w:lang w:val="ru-RU"/>
        </w:rPr>
        <w:t xml:space="preserve"> (</w:t>
      </w:r>
      <w:r>
        <w:rPr>
          <w:lang w:val="ru-RU"/>
        </w:rPr>
        <w:t>дата обращения 24.07.2026)</w:t>
      </w:r>
    </w:p>
  </w:footnote>
  <w:footnote w:id="4">
    <w:p w14:paraId="6701E8A7" w14:textId="3CD6A829" w:rsidR="00986688" w:rsidRPr="00A648EF" w:rsidRDefault="00986688">
      <w:pPr>
        <w:pStyle w:val="a5"/>
        <w:rPr>
          <w:lang w:val="fr-FR"/>
        </w:rPr>
      </w:pPr>
      <w:r>
        <w:rPr>
          <w:rStyle w:val="a7"/>
        </w:rPr>
        <w:footnoteRef/>
      </w:r>
      <w:r>
        <w:t xml:space="preserve"> </w:t>
      </w:r>
      <w:r w:rsidRPr="00895001">
        <w:rPr>
          <w:lang w:val="ru-RU"/>
        </w:rPr>
        <w:t xml:space="preserve">Почему закрылись </w:t>
      </w:r>
      <w:r w:rsidRPr="00895001">
        <w:rPr>
          <w:lang w:val="en-US"/>
        </w:rPr>
        <w:t>KupiVIP</w:t>
      </w:r>
      <w:r w:rsidRPr="00895001">
        <w:rPr>
          <w:lang w:val="ru-RU"/>
        </w:rPr>
        <w:t xml:space="preserve"> и </w:t>
      </w:r>
      <w:r w:rsidRPr="00895001">
        <w:rPr>
          <w:lang w:val="en-US"/>
        </w:rPr>
        <w:t>Mamsy</w:t>
      </w:r>
      <w:r w:rsidRPr="00895001">
        <w:rPr>
          <w:lang w:val="ru-RU"/>
        </w:rPr>
        <w:t>: поставщики подавали в суд, конкуренция росла, а «Яндекс» отказался от покупки</w:t>
      </w:r>
      <w:r w:rsidRPr="00895001">
        <w:rPr>
          <w:lang w:val="en-US"/>
        </w:rPr>
        <w:t> </w:t>
      </w:r>
      <w:r w:rsidRPr="00895001">
        <w:rPr>
          <w:lang w:val="ru-RU"/>
        </w:rPr>
        <w:t>бизнеса</w:t>
      </w:r>
      <w:r>
        <w:rPr>
          <w:lang w:val="ru-RU"/>
        </w:rPr>
        <w:t xml:space="preserve">. </w:t>
      </w:r>
      <w:r w:rsidRPr="00A648EF">
        <w:rPr>
          <w:lang w:val="fr-FR"/>
        </w:rPr>
        <w:t xml:space="preserve">VC.RU. URL: </w:t>
      </w:r>
      <w:hyperlink r:id="rId4" w:history="1">
        <w:r w:rsidRPr="00A648EF">
          <w:rPr>
            <w:rStyle w:val="a8"/>
            <w:lang w:val="fr-FR"/>
          </w:rPr>
          <w:t>https://vc.ru/marketplace/288663-pochemu-zakrylis-kupivip-i-mamsy-postavshiki-podavali-v-sud-konkurenciya-rosla-a-yandeks-otkazalsya-ot-pokupki-biznesa</w:t>
        </w:r>
      </w:hyperlink>
    </w:p>
  </w:footnote>
  <w:footnote w:id="5">
    <w:p w14:paraId="7A30CBB0" w14:textId="2122B5C4" w:rsidR="00986688" w:rsidRPr="004B20A6" w:rsidRDefault="00986688">
      <w:pPr>
        <w:pStyle w:val="a5"/>
        <w:rPr>
          <w:lang w:val="ru-RU"/>
        </w:rPr>
      </w:pPr>
      <w:r>
        <w:rPr>
          <w:rStyle w:val="a7"/>
        </w:rPr>
        <w:footnoteRef/>
      </w:r>
      <w:r>
        <w:t xml:space="preserve"> </w:t>
      </w:r>
      <w:r w:rsidRPr="004B20A6">
        <w:t>Состояние бизнеса в России улучшилось с начала 2023 года</w:t>
      </w:r>
      <w:r>
        <w:rPr>
          <w:lang w:val="ru-RU"/>
        </w:rPr>
        <w:t xml:space="preserve">. СКБ Контур. </w:t>
      </w:r>
      <w:r>
        <w:rPr>
          <w:lang w:val="en-US"/>
        </w:rPr>
        <w:t>URL</w:t>
      </w:r>
      <w:r w:rsidRPr="004B20A6">
        <w:rPr>
          <w:lang w:val="ru-RU"/>
        </w:rPr>
        <w:t xml:space="preserve">: </w:t>
      </w:r>
      <w:hyperlink r:id="rId5" w:history="1">
        <w:r w:rsidRPr="00EE3AFC">
          <w:rPr>
            <w:rStyle w:val="a8"/>
            <w:lang w:val="en-US"/>
          </w:rPr>
          <w:t>https</w:t>
        </w:r>
        <w:r w:rsidRPr="004B20A6">
          <w:rPr>
            <w:rStyle w:val="a8"/>
            <w:lang w:val="ru-RU"/>
          </w:rPr>
          <w:t>://</w:t>
        </w:r>
        <w:r w:rsidRPr="00EE3AFC">
          <w:rPr>
            <w:rStyle w:val="a8"/>
            <w:lang w:val="en-US"/>
          </w:rPr>
          <w:t>kontur</w:t>
        </w:r>
        <w:r w:rsidRPr="004B20A6">
          <w:rPr>
            <w:rStyle w:val="a8"/>
            <w:lang w:val="ru-RU"/>
          </w:rPr>
          <w:t>.</w:t>
        </w:r>
        <w:r w:rsidRPr="00EE3AFC">
          <w:rPr>
            <w:rStyle w:val="a8"/>
            <w:lang w:val="en-US"/>
          </w:rPr>
          <w:t>ru</w:t>
        </w:r>
        <w:r w:rsidRPr="004B20A6">
          <w:rPr>
            <w:rStyle w:val="a8"/>
            <w:lang w:val="ru-RU"/>
          </w:rPr>
          <w:t>/</w:t>
        </w:r>
        <w:r w:rsidRPr="00EE3AFC">
          <w:rPr>
            <w:rStyle w:val="a8"/>
            <w:lang w:val="en-US"/>
          </w:rPr>
          <w:t>press</w:t>
        </w:r>
        <w:r w:rsidRPr="004B20A6">
          <w:rPr>
            <w:rStyle w:val="a8"/>
            <w:lang w:val="ru-RU"/>
          </w:rPr>
          <w:t>/</w:t>
        </w:r>
        <w:r w:rsidRPr="00EE3AFC">
          <w:rPr>
            <w:rStyle w:val="a8"/>
            <w:lang w:val="en-US"/>
          </w:rPr>
          <w:t>news</w:t>
        </w:r>
        <w:r w:rsidRPr="004B20A6">
          <w:rPr>
            <w:rStyle w:val="a8"/>
            <w:lang w:val="ru-RU"/>
          </w:rPr>
          <w:t>/45235-</w:t>
        </w:r>
        <w:r w:rsidRPr="00EE3AFC">
          <w:rPr>
            <w:rStyle w:val="a8"/>
            <w:lang w:val="en-US"/>
          </w:rPr>
          <w:t>sostoyanie</w:t>
        </w:r>
        <w:r w:rsidRPr="004B20A6">
          <w:rPr>
            <w:rStyle w:val="a8"/>
            <w:lang w:val="ru-RU"/>
          </w:rPr>
          <w:t>_</w:t>
        </w:r>
        <w:r w:rsidRPr="00EE3AFC">
          <w:rPr>
            <w:rStyle w:val="a8"/>
            <w:lang w:val="en-US"/>
          </w:rPr>
          <w:t>biznesa</w:t>
        </w:r>
        <w:r w:rsidRPr="004B20A6">
          <w:rPr>
            <w:rStyle w:val="a8"/>
            <w:lang w:val="ru-RU"/>
          </w:rPr>
          <w:t>_</w:t>
        </w:r>
        <w:r w:rsidRPr="00EE3AFC">
          <w:rPr>
            <w:rStyle w:val="a8"/>
            <w:lang w:val="en-US"/>
          </w:rPr>
          <w:t>v</w:t>
        </w:r>
        <w:r w:rsidRPr="004B20A6">
          <w:rPr>
            <w:rStyle w:val="a8"/>
            <w:lang w:val="ru-RU"/>
          </w:rPr>
          <w:t>_</w:t>
        </w:r>
        <w:r w:rsidRPr="00EE3AFC">
          <w:rPr>
            <w:rStyle w:val="a8"/>
            <w:lang w:val="en-US"/>
          </w:rPr>
          <w:t>rossii</w:t>
        </w:r>
      </w:hyperlink>
      <w:r w:rsidRPr="004B20A6">
        <w:rPr>
          <w:lang w:val="ru-RU"/>
        </w:rPr>
        <w:t xml:space="preserve"> (</w:t>
      </w:r>
      <w:r>
        <w:rPr>
          <w:lang w:val="ru-RU"/>
        </w:rPr>
        <w:t>дата обращения 24.07.2026)</w:t>
      </w:r>
    </w:p>
  </w:footnote>
  <w:footnote w:id="6">
    <w:p w14:paraId="3D26CDFD" w14:textId="2D51F6CD" w:rsidR="00986688" w:rsidRPr="00513EE3" w:rsidRDefault="00986688">
      <w:pPr>
        <w:pStyle w:val="a5"/>
      </w:pPr>
      <w:r>
        <w:rPr>
          <w:rStyle w:val="a7"/>
        </w:rPr>
        <w:footnoteRef/>
      </w:r>
      <w:r>
        <w:t xml:space="preserve"> </w:t>
      </w:r>
      <w:r w:rsidRPr="00513EE3">
        <w:t>"Контур. Фокус": ИП обошли юрлиц по числу регистраций в 2024 году в РФ</w:t>
      </w:r>
      <w:r>
        <w:rPr>
          <w:lang w:val="ru-RU"/>
        </w:rPr>
        <w:t xml:space="preserve">. ТАСС. </w:t>
      </w:r>
      <w:r>
        <w:rPr>
          <w:lang w:val="en-US"/>
        </w:rPr>
        <w:t>URL</w:t>
      </w:r>
      <w:r w:rsidRPr="00513EE3">
        <w:rPr>
          <w:lang w:val="ru-RU"/>
        </w:rPr>
        <w:t xml:space="preserve">: </w:t>
      </w:r>
      <w:r w:rsidRPr="00513EE3">
        <w:t>https://tass.ru/ekonomika/22929601</w:t>
      </w:r>
    </w:p>
  </w:footnote>
  <w:footnote w:id="7">
    <w:p w14:paraId="6A9DC8AA" w14:textId="2B0C04E0" w:rsidR="00986688" w:rsidRPr="00940155" w:rsidRDefault="00986688" w:rsidP="00940155">
      <w:pPr>
        <w:pStyle w:val="a5"/>
        <w:rPr>
          <w:lang w:val="ru-RU"/>
        </w:rPr>
      </w:pPr>
      <w:r>
        <w:rPr>
          <w:rStyle w:val="a7"/>
        </w:rPr>
        <w:footnoteRef/>
      </w:r>
      <w:r>
        <w:t xml:space="preserve"> </w:t>
      </w:r>
      <w:r w:rsidRPr="00940155">
        <w:t>Кленова Т.В., Батманова В.В.</w:t>
      </w:r>
      <w:r>
        <w:rPr>
          <w:lang w:val="ru-RU"/>
        </w:rPr>
        <w:t xml:space="preserve">. </w:t>
      </w:r>
      <w:r w:rsidRPr="00940155">
        <w:rPr>
          <w:lang w:val="ru-RU"/>
        </w:rPr>
        <w:t>Оценка и совершенствование мер государственной поддержки</w:t>
      </w:r>
      <w:r>
        <w:rPr>
          <w:lang w:val="ru-RU"/>
        </w:rPr>
        <w:t xml:space="preserve"> </w:t>
      </w:r>
      <w:r w:rsidRPr="00940155">
        <w:rPr>
          <w:lang w:val="ru-RU"/>
        </w:rPr>
        <w:t>субъектов малого и среднего предпринимательства региона</w:t>
      </w:r>
      <w:r>
        <w:rPr>
          <w:lang w:val="ru-RU"/>
        </w:rPr>
        <w:t xml:space="preserve"> </w:t>
      </w:r>
      <w:r w:rsidRPr="00940155">
        <w:rPr>
          <w:lang w:val="ru-RU"/>
        </w:rPr>
        <w:t>в условиях санкционного давления</w:t>
      </w:r>
      <w:r>
        <w:rPr>
          <w:lang w:val="ru-RU"/>
        </w:rPr>
        <w:t xml:space="preserve">. </w:t>
      </w:r>
      <w:r w:rsidRPr="00940155">
        <w:t>Региональная экономика. Юг России. 2024.</w:t>
      </w:r>
      <w:r>
        <w:rPr>
          <w:lang w:val="ru-RU"/>
        </w:rPr>
        <w:t xml:space="preserve"> </w:t>
      </w:r>
      <w:r w:rsidRPr="00940155">
        <w:t>Т. 12. № 2</w:t>
      </w:r>
    </w:p>
  </w:footnote>
  <w:footnote w:id="8">
    <w:p w14:paraId="4FF445F9" w14:textId="7829369A" w:rsidR="00986688" w:rsidRPr="00513EE3" w:rsidRDefault="00986688">
      <w:pPr>
        <w:pStyle w:val="a5"/>
      </w:pPr>
      <w:r>
        <w:rPr>
          <w:rStyle w:val="a7"/>
        </w:rPr>
        <w:footnoteRef/>
      </w:r>
      <w:r>
        <w:t xml:space="preserve"> </w:t>
      </w:r>
      <w:r w:rsidRPr="00513EE3">
        <w:t>"Контур. Фокус": ИП обошли юрлиц по числу регистраций в 2024 году в РФ</w:t>
      </w:r>
      <w:r>
        <w:rPr>
          <w:lang w:val="ru-RU"/>
        </w:rPr>
        <w:t xml:space="preserve">. ТАСС. </w:t>
      </w:r>
      <w:r>
        <w:rPr>
          <w:lang w:val="en-US"/>
        </w:rPr>
        <w:t>URL</w:t>
      </w:r>
      <w:r w:rsidRPr="00513EE3">
        <w:rPr>
          <w:lang w:val="ru-RU"/>
        </w:rPr>
        <w:t xml:space="preserve">: </w:t>
      </w:r>
      <w:r w:rsidRPr="00513EE3">
        <w:t>https://tass.ru/ekonomika/22929601</w:t>
      </w:r>
    </w:p>
  </w:footnote>
  <w:footnote w:id="9">
    <w:p w14:paraId="0EC0C979" w14:textId="4C423015" w:rsidR="00986688" w:rsidRPr="00940155" w:rsidRDefault="00986688">
      <w:pPr>
        <w:pStyle w:val="a5"/>
        <w:rPr>
          <w:lang w:val="ru-RU"/>
        </w:rPr>
      </w:pPr>
      <w:r>
        <w:rPr>
          <w:rStyle w:val="a7"/>
        </w:rPr>
        <w:footnoteRef/>
      </w:r>
      <w:r>
        <w:t xml:space="preserve"> </w:t>
      </w:r>
      <w:r w:rsidRPr="00940155">
        <w:t>Оттолкнулись от дна: венчурные инвесторы снова ищут инвестиционные возможности</w:t>
      </w:r>
      <w:r>
        <w:rPr>
          <w:lang w:val="ru-RU"/>
        </w:rPr>
        <w:t xml:space="preserve">. </w:t>
      </w:r>
      <w:r>
        <w:rPr>
          <w:lang w:val="en-US"/>
        </w:rPr>
        <w:t>DSIGHT</w:t>
      </w:r>
      <w:r w:rsidRPr="00940155">
        <w:rPr>
          <w:lang w:val="ru-RU"/>
        </w:rPr>
        <w:t xml:space="preserve">. </w:t>
      </w:r>
      <w:r>
        <w:rPr>
          <w:lang w:val="en-US"/>
        </w:rPr>
        <w:t>URL</w:t>
      </w:r>
      <w:r w:rsidRPr="00940155">
        <w:rPr>
          <w:lang w:val="ru-RU"/>
        </w:rPr>
        <w:t xml:space="preserve">: </w:t>
      </w:r>
      <w:hyperlink r:id="rId6" w:history="1">
        <w:r w:rsidRPr="00EE3AFC">
          <w:rPr>
            <w:rStyle w:val="a8"/>
          </w:rPr>
          <w:t>https://dsight.ru/venchureu23</w:t>
        </w:r>
      </w:hyperlink>
      <w:r w:rsidRPr="00940155">
        <w:rPr>
          <w:lang w:val="ru-RU"/>
        </w:rPr>
        <w:t xml:space="preserve"> (</w:t>
      </w:r>
      <w:r>
        <w:rPr>
          <w:lang w:val="ru-RU"/>
        </w:rPr>
        <w:t>дата обращения 24.07.2026)</w:t>
      </w:r>
    </w:p>
  </w:footnote>
  <w:footnote w:id="10">
    <w:p w14:paraId="445FDDD5" w14:textId="3CE653FD" w:rsidR="00986688" w:rsidRPr="004D333B" w:rsidRDefault="00986688" w:rsidP="004D333B">
      <w:pPr>
        <w:pStyle w:val="a5"/>
        <w:rPr>
          <w:lang w:val="ru-RU"/>
        </w:rPr>
      </w:pPr>
      <w:r>
        <w:rPr>
          <w:rStyle w:val="a7"/>
        </w:rPr>
        <w:footnoteRef/>
      </w:r>
      <w:r>
        <w:t xml:space="preserve"> Инвесторы рисков не боятся</w:t>
      </w:r>
      <w:r w:rsidRPr="004D333B">
        <w:rPr>
          <w:lang w:val="ru-RU"/>
        </w:rPr>
        <w:t xml:space="preserve">. </w:t>
      </w:r>
      <w:r>
        <w:t>В ближайшие два года рынок венчурных инвестиций может вырасти в 1,5 раза</w:t>
      </w:r>
      <w:r w:rsidRPr="004D333B">
        <w:rPr>
          <w:lang w:val="ru-RU"/>
        </w:rPr>
        <w:t xml:space="preserve">. </w:t>
      </w:r>
      <w:r>
        <w:rPr>
          <w:lang w:val="ru-RU"/>
        </w:rPr>
        <w:t xml:space="preserve">ЭКСПЕРТ. </w:t>
      </w:r>
      <w:r>
        <w:rPr>
          <w:lang w:val="en-US"/>
        </w:rPr>
        <w:t>URL</w:t>
      </w:r>
      <w:r w:rsidRPr="004D333B">
        <w:rPr>
          <w:lang w:val="ru-RU"/>
        </w:rPr>
        <w:t xml:space="preserve">: </w:t>
      </w:r>
      <w:hyperlink r:id="rId7" w:history="1">
        <w:r w:rsidRPr="00EE3AFC">
          <w:rPr>
            <w:rStyle w:val="a8"/>
            <w:lang w:val="en-US"/>
          </w:rPr>
          <w:t>https</w:t>
        </w:r>
        <w:r w:rsidRPr="004D333B">
          <w:rPr>
            <w:rStyle w:val="a8"/>
            <w:lang w:val="ru-RU"/>
          </w:rPr>
          <w:t>://</w:t>
        </w:r>
        <w:r w:rsidRPr="00EE3AFC">
          <w:rPr>
            <w:rStyle w:val="a8"/>
            <w:lang w:val="en-US"/>
          </w:rPr>
          <w:t>expert</w:t>
        </w:r>
        <w:r w:rsidRPr="004D333B">
          <w:rPr>
            <w:rStyle w:val="a8"/>
            <w:lang w:val="ru-RU"/>
          </w:rPr>
          <w:t>.</w:t>
        </w:r>
        <w:r w:rsidRPr="00EE3AFC">
          <w:rPr>
            <w:rStyle w:val="a8"/>
            <w:lang w:val="en-US"/>
          </w:rPr>
          <w:t>ru</w:t>
        </w:r>
        <w:r w:rsidRPr="004D333B">
          <w:rPr>
            <w:rStyle w:val="a8"/>
            <w:lang w:val="ru-RU"/>
          </w:rPr>
          <w:t>/</w:t>
        </w:r>
        <w:r w:rsidRPr="00EE3AFC">
          <w:rPr>
            <w:rStyle w:val="a8"/>
            <w:lang w:val="en-US"/>
          </w:rPr>
          <w:t>promishlennost</w:t>
        </w:r>
        <w:r w:rsidRPr="004D333B">
          <w:rPr>
            <w:rStyle w:val="a8"/>
            <w:lang w:val="ru-RU"/>
          </w:rPr>
          <w:t>/</w:t>
        </w:r>
        <w:r w:rsidRPr="00EE3AFC">
          <w:rPr>
            <w:rStyle w:val="a8"/>
            <w:lang w:val="en-US"/>
          </w:rPr>
          <w:t>investory</w:t>
        </w:r>
        <w:r w:rsidRPr="004D333B">
          <w:rPr>
            <w:rStyle w:val="a8"/>
            <w:lang w:val="ru-RU"/>
          </w:rPr>
          <w:t>-</w:t>
        </w:r>
        <w:r w:rsidRPr="00EE3AFC">
          <w:rPr>
            <w:rStyle w:val="a8"/>
            <w:lang w:val="en-US"/>
          </w:rPr>
          <w:t>riskov</w:t>
        </w:r>
        <w:r w:rsidRPr="004D333B">
          <w:rPr>
            <w:rStyle w:val="a8"/>
            <w:lang w:val="ru-RU"/>
          </w:rPr>
          <w:t>-</w:t>
        </w:r>
        <w:r w:rsidRPr="00EE3AFC">
          <w:rPr>
            <w:rStyle w:val="a8"/>
            <w:lang w:val="en-US"/>
          </w:rPr>
          <w:t>ne</w:t>
        </w:r>
        <w:r w:rsidRPr="004D333B">
          <w:rPr>
            <w:rStyle w:val="a8"/>
            <w:lang w:val="ru-RU"/>
          </w:rPr>
          <w:t>-</w:t>
        </w:r>
        <w:r w:rsidRPr="00EE3AFC">
          <w:rPr>
            <w:rStyle w:val="a8"/>
            <w:lang w:val="en-US"/>
          </w:rPr>
          <w:t>boyatsya</w:t>
        </w:r>
      </w:hyperlink>
      <w:r w:rsidRPr="004D333B">
        <w:rPr>
          <w:lang w:val="ru-RU"/>
        </w:rPr>
        <w:t xml:space="preserve"> </w:t>
      </w:r>
      <w:r w:rsidRPr="00940155">
        <w:rPr>
          <w:lang w:val="ru-RU"/>
        </w:rPr>
        <w:t>(</w:t>
      </w:r>
      <w:r>
        <w:rPr>
          <w:lang w:val="ru-RU"/>
        </w:rPr>
        <w:t>дата обращения 24.07.2026)</w:t>
      </w:r>
    </w:p>
  </w:footnote>
  <w:footnote w:id="11">
    <w:p w14:paraId="26D3B673" w14:textId="7161E5F0" w:rsidR="00986688" w:rsidRPr="00BC3025" w:rsidRDefault="00986688">
      <w:pPr>
        <w:pStyle w:val="a5"/>
        <w:rPr>
          <w:lang w:val="ru-RU"/>
        </w:rPr>
      </w:pPr>
      <w:r>
        <w:rPr>
          <w:rStyle w:val="a7"/>
        </w:rPr>
        <w:footnoteRef/>
      </w:r>
      <w:r>
        <w:t xml:space="preserve"> </w:t>
      </w:r>
      <w:r w:rsidRPr="003C1B72">
        <w:t>Венчурная Евразия: итоги 2025 года</w:t>
      </w:r>
      <w:r w:rsidRPr="003C1B72">
        <w:rPr>
          <w:lang w:val="ru-RU"/>
        </w:rPr>
        <w:t>.</w:t>
      </w:r>
      <w:r w:rsidRPr="00BC3025">
        <w:rPr>
          <w:lang w:val="ru-RU"/>
        </w:rPr>
        <w:t xml:space="preserve"> </w:t>
      </w:r>
      <w:r>
        <w:rPr>
          <w:lang w:val="ru-RU"/>
        </w:rPr>
        <w:t>С</w:t>
      </w:r>
      <w:r w:rsidRPr="002C3C51">
        <w:t>овместно</w:t>
      </w:r>
      <w:r>
        <w:rPr>
          <w:lang w:val="ru-RU"/>
        </w:rPr>
        <w:t>е</w:t>
      </w:r>
      <w:r w:rsidRPr="002C3C51">
        <w:t xml:space="preserve"> исследовани</w:t>
      </w:r>
      <w:r>
        <w:rPr>
          <w:lang w:val="ru-RU"/>
        </w:rPr>
        <w:t>е</w:t>
      </w:r>
      <w:r w:rsidRPr="002C3C51">
        <w:t xml:space="preserve"> аналитической компании Dsight, Группы компаний Б1 и Т-Инвестиций</w:t>
      </w:r>
      <w:r w:rsidRPr="00BC3025">
        <w:rPr>
          <w:lang w:val="ru-RU"/>
        </w:rPr>
        <w:t xml:space="preserve">. </w:t>
      </w:r>
      <w:r>
        <w:rPr>
          <w:lang w:val="en-US"/>
        </w:rPr>
        <w:t>URL</w:t>
      </w:r>
      <w:r w:rsidRPr="00BC3025">
        <w:rPr>
          <w:lang w:val="ru-RU"/>
        </w:rPr>
        <w:t xml:space="preserve">: </w:t>
      </w:r>
      <w:hyperlink r:id="rId8" w:history="1">
        <w:r w:rsidRPr="00EE3AFC">
          <w:rPr>
            <w:rStyle w:val="a8"/>
            <w:lang w:val="en-US"/>
          </w:rPr>
          <w:t>https</w:t>
        </w:r>
        <w:r w:rsidRPr="00BC3025">
          <w:rPr>
            <w:rStyle w:val="a8"/>
            <w:lang w:val="ru-RU"/>
          </w:rPr>
          <w:t>://</w:t>
        </w:r>
        <w:r w:rsidRPr="00EE3AFC">
          <w:rPr>
            <w:rStyle w:val="a8"/>
            <w:lang w:val="en-US"/>
          </w:rPr>
          <w:t>b</w:t>
        </w:r>
        <w:r w:rsidRPr="00BC3025">
          <w:rPr>
            <w:rStyle w:val="a8"/>
            <w:lang w:val="ru-RU"/>
          </w:rPr>
          <w:t>1.</w:t>
        </w:r>
        <w:r w:rsidRPr="00EE3AFC">
          <w:rPr>
            <w:rStyle w:val="a8"/>
            <w:lang w:val="en-US"/>
          </w:rPr>
          <w:t>ru</w:t>
        </w:r>
        <w:r w:rsidRPr="00BC3025">
          <w:rPr>
            <w:rStyle w:val="a8"/>
            <w:lang w:val="ru-RU"/>
          </w:rPr>
          <w:t>/</w:t>
        </w:r>
        <w:r w:rsidRPr="00EE3AFC">
          <w:rPr>
            <w:rStyle w:val="a8"/>
            <w:lang w:val="en-US"/>
          </w:rPr>
          <w:t>analytics</w:t>
        </w:r>
        <w:r w:rsidRPr="00BC3025">
          <w:rPr>
            <w:rStyle w:val="a8"/>
            <w:lang w:val="ru-RU"/>
          </w:rPr>
          <w:t>/</w:t>
        </w:r>
        <w:r w:rsidRPr="00EE3AFC">
          <w:rPr>
            <w:rStyle w:val="a8"/>
            <w:lang w:val="en-US"/>
          </w:rPr>
          <w:t>b</w:t>
        </w:r>
        <w:r w:rsidRPr="00BC3025">
          <w:rPr>
            <w:rStyle w:val="a8"/>
            <w:lang w:val="ru-RU"/>
          </w:rPr>
          <w:t>1-</w:t>
        </w:r>
        <w:r w:rsidRPr="00EE3AFC">
          <w:rPr>
            <w:rStyle w:val="a8"/>
            <w:lang w:val="en-US"/>
          </w:rPr>
          <w:t>dsight</w:t>
        </w:r>
        <w:r w:rsidRPr="00BC3025">
          <w:rPr>
            <w:rStyle w:val="a8"/>
            <w:lang w:val="ru-RU"/>
          </w:rPr>
          <w:t>-</w:t>
        </w:r>
        <w:r w:rsidRPr="00EE3AFC">
          <w:rPr>
            <w:rStyle w:val="a8"/>
            <w:lang w:val="en-US"/>
          </w:rPr>
          <w:t>venture</w:t>
        </w:r>
        <w:r w:rsidRPr="00BC3025">
          <w:rPr>
            <w:rStyle w:val="a8"/>
            <w:lang w:val="ru-RU"/>
          </w:rPr>
          <w:t>-</w:t>
        </w:r>
        <w:r w:rsidRPr="00EE3AFC">
          <w:rPr>
            <w:rStyle w:val="a8"/>
            <w:lang w:val="en-US"/>
          </w:rPr>
          <w:t>eurasia</w:t>
        </w:r>
        <w:r w:rsidRPr="00BC3025">
          <w:rPr>
            <w:rStyle w:val="a8"/>
            <w:lang w:val="ru-RU"/>
          </w:rPr>
          <w:t>-2025-</w:t>
        </w:r>
        <w:r w:rsidRPr="00EE3AFC">
          <w:rPr>
            <w:rStyle w:val="a8"/>
            <w:lang w:val="en-US"/>
          </w:rPr>
          <w:t>results</w:t>
        </w:r>
        <w:r w:rsidRPr="00BC3025">
          <w:rPr>
            <w:rStyle w:val="a8"/>
            <w:lang w:val="ru-RU"/>
          </w:rPr>
          <w:t>-</w:t>
        </w:r>
        <w:r w:rsidRPr="00EE3AFC">
          <w:rPr>
            <w:rStyle w:val="a8"/>
            <w:lang w:val="en-US"/>
          </w:rPr>
          <w:t>review</w:t>
        </w:r>
        <w:r w:rsidRPr="00BC3025">
          <w:rPr>
            <w:rStyle w:val="a8"/>
            <w:lang w:val="ru-RU"/>
          </w:rPr>
          <w:t>/</w:t>
        </w:r>
      </w:hyperlink>
      <w:r w:rsidRPr="00BC3025">
        <w:rPr>
          <w:lang w:val="ru-RU"/>
        </w:rPr>
        <w:t xml:space="preserve"> </w:t>
      </w:r>
      <w:r w:rsidRPr="00940155">
        <w:rPr>
          <w:lang w:val="ru-RU"/>
        </w:rPr>
        <w:t>(</w:t>
      </w:r>
      <w:r>
        <w:rPr>
          <w:lang w:val="ru-RU"/>
        </w:rPr>
        <w:t>дата обращения 24.07.2026)</w:t>
      </w:r>
    </w:p>
  </w:footnote>
  <w:footnote w:id="12">
    <w:p w14:paraId="3DE43831" w14:textId="08B3AB1B" w:rsidR="00986688" w:rsidRPr="00C76C93" w:rsidRDefault="00986688">
      <w:pPr>
        <w:pStyle w:val="a5"/>
      </w:pPr>
      <w:r>
        <w:rPr>
          <w:rStyle w:val="a7"/>
        </w:rPr>
        <w:footnoteRef/>
      </w:r>
      <w:r>
        <w:t xml:space="preserve"> </w:t>
      </w:r>
      <w:r w:rsidRPr="0065723E">
        <w:t>Годовой отчет ПАО Московская Биржа за 2023 г.</w:t>
      </w:r>
      <w:r w:rsidRPr="0065723E">
        <w:rPr>
          <w:lang w:val="ru-RU"/>
        </w:rPr>
        <w:t xml:space="preserve"> </w:t>
      </w:r>
      <w:r>
        <w:rPr>
          <w:lang w:val="en-US"/>
        </w:rPr>
        <w:t>URL</w:t>
      </w:r>
      <w:r w:rsidRPr="0065723E">
        <w:rPr>
          <w:lang w:val="ru-RU"/>
        </w:rPr>
        <w:t xml:space="preserve">: </w:t>
      </w:r>
      <w:r w:rsidRPr="0065723E">
        <w:t>https://report2023.moex.com/ru/2/1/index.html</w:t>
      </w:r>
    </w:p>
  </w:footnote>
  <w:footnote w:id="13">
    <w:p w14:paraId="4BCC7A92" w14:textId="7F8ADC7E" w:rsidR="00986688" w:rsidRPr="00EA0C61" w:rsidRDefault="00986688">
      <w:pPr>
        <w:pStyle w:val="a5"/>
      </w:pPr>
      <w:r>
        <w:rPr>
          <w:rStyle w:val="a7"/>
        </w:rPr>
        <w:footnoteRef/>
      </w:r>
      <w:r>
        <w:t xml:space="preserve"> </w:t>
      </w:r>
      <w:r w:rsidRPr="0065723E">
        <w:t>Годовой отчет ПАО Московская Биржа за 202</w:t>
      </w:r>
      <w:r w:rsidRPr="0065723E">
        <w:rPr>
          <w:lang w:val="ru-RU"/>
        </w:rPr>
        <w:t>4</w:t>
      </w:r>
      <w:r w:rsidRPr="0065723E">
        <w:t xml:space="preserve"> г.</w:t>
      </w:r>
      <w:r w:rsidRPr="0065723E">
        <w:rPr>
          <w:lang w:val="ru-RU"/>
        </w:rPr>
        <w:t xml:space="preserve"> </w:t>
      </w:r>
      <w:r>
        <w:rPr>
          <w:lang w:val="en-US"/>
        </w:rPr>
        <w:t>URL</w:t>
      </w:r>
      <w:r w:rsidRPr="00EA0C61">
        <w:rPr>
          <w:lang w:val="ru-RU"/>
        </w:rPr>
        <w:t xml:space="preserve">: </w:t>
      </w:r>
      <w:r w:rsidRPr="0065723E">
        <w:t>https://www.moex.com/ru/documents/27302</w:t>
      </w:r>
    </w:p>
  </w:footnote>
  <w:footnote w:id="14">
    <w:p w14:paraId="44B97299" w14:textId="6D93CEFE" w:rsidR="00986688" w:rsidRPr="00EA0C61" w:rsidRDefault="00986688">
      <w:pPr>
        <w:pStyle w:val="a5"/>
      </w:pPr>
      <w:r>
        <w:rPr>
          <w:rStyle w:val="a7"/>
        </w:rPr>
        <w:footnoteRef/>
      </w:r>
      <w:r>
        <w:t xml:space="preserve"> </w:t>
      </w:r>
      <w:r w:rsidRPr="0065723E">
        <w:t>Годовой отчет ПАО Московская Биржа за 202</w:t>
      </w:r>
      <w:r w:rsidRPr="00EA0C61">
        <w:rPr>
          <w:lang w:val="ru-RU"/>
        </w:rPr>
        <w:t>5</w:t>
      </w:r>
      <w:r w:rsidRPr="0065723E">
        <w:t xml:space="preserve"> г.</w:t>
      </w:r>
      <w:r w:rsidRPr="00EA0C61">
        <w:rPr>
          <w:lang w:val="ru-RU"/>
        </w:rPr>
        <w:t xml:space="preserve"> </w:t>
      </w:r>
      <w:r>
        <w:rPr>
          <w:lang w:val="en-US"/>
        </w:rPr>
        <w:t>URL</w:t>
      </w:r>
      <w:r w:rsidRPr="00EA0C61">
        <w:rPr>
          <w:lang w:val="ru-RU"/>
        </w:rPr>
        <w:t>: https://www.moex.com/files/4y4ayas5n36a65ceejtww9rw5g</w:t>
      </w:r>
    </w:p>
  </w:footnote>
  <w:footnote w:id="15">
    <w:p w14:paraId="08CCA8FD" w14:textId="06DB87A0" w:rsidR="00986688" w:rsidRPr="00162873" w:rsidRDefault="00986688">
      <w:pPr>
        <w:pStyle w:val="a5"/>
      </w:pPr>
      <w:r>
        <w:rPr>
          <w:rStyle w:val="a7"/>
        </w:rPr>
        <w:footnoteRef/>
      </w:r>
      <w:r>
        <w:t xml:space="preserve"> </w:t>
      </w:r>
      <w:r w:rsidRPr="0065723E">
        <w:t>Годовой отчет ПАО Московская Биржа за 2023 г.</w:t>
      </w:r>
      <w:r w:rsidRPr="0065723E">
        <w:rPr>
          <w:lang w:val="ru-RU"/>
        </w:rPr>
        <w:t xml:space="preserve"> </w:t>
      </w:r>
      <w:r>
        <w:rPr>
          <w:lang w:val="en-US"/>
        </w:rPr>
        <w:t>URL</w:t>
      </w:r>
      <w:r w:rsidRPr="0065723E">
        <w:rPr>
          <w:lang w:val="ru-RU"/>
        </w:rPr>
        <w:t xml:space="preserve">: </w:t>
      </w:r>
      <w:r w:rsidRPr="0065723E">
        <w:t>https://report2023.moex.com/ru/2/1/index.html</w:t>
      </w:r>
    </w:p>
  </w:footnote>
  <w:footnote w:id="16">
    <w:p w14:paraId="450E1F37" w14:textId="456DB05E" w:rsidR="00986688" w:rsidRPr="0065723E" w:rsidRDefault="00986688">
      <w:pPr>
        <w:pStyle w:val="a5"/>
      </w:pPr>
      <w:r>
        <w:rPr>
          <w:rStyle w:val="a7"/>
        </w:rPr>
        <w:footnoteRef/>
      </w:r>
      <w:r>
        <w:t xml:space="preserve"> </w:t>
      </w:r>
      <w:r w:rsidRPr="0065723E">
        <w:t>Годовой отчет ПАО Московская Биржа за 202</w:t>
      </w:r>
      <w:r w:rsidRPr="0065723E">
        <w:rPr>
          <w:lang w:val="ru-RU"/>
        </w:rPr>
        <w:t>4</w:t>
      </w:r>
      <w:r w:rsidRPr="0065723E">
        <w:t xml:space="preserve"> г.</w:t>
      </w:r>
      <w:r w:rsidRPr="0065723E">
        <w:rPr>
          <w:lang w:val="ru-RU"/>
        </w:rPr>
        <w:t xml:space="preserve"> </w:t>
      </w:r>
      <w:r>
        <w:rPr>
          <w:lang w:val="en-US"/>
        </w:rPr>
        <w:t>URL</w:t>
      </w:r>
      <w:r w:rsidRPr="00EA0C61">
        <w:rPr>
          <w:lang w:val="ru-RU"/>
        </w:rPr>
        <w:t xml:space="preserve">: </w:t>
      </w:r>
      <w:r w:rsidRPr="0065723E">
        <w:t>https://www.moex.com/ru/documents/27302</w:t>
      </w:r>
    </w:p>
  </w:footnote>
  <w:footnote w:id="17">
    <w:p w14:paraId="46488B0B" w14:textId="40AF6EF7" w:rsidR="00986688" w:rsidRPr="00EA0C61" w:rsidRDefault="00986688">
      <w:pPr>
        <w:pStyle w:val="a5"/>
        <w:rPr>
          <w:lang w:val="ru-RU"/>
        </w:rPr>
      </w:pPr>
      <w:r>
        <w:rPr>
          <w:rStyle w:val="a7"/>
        </w:rPr>
        <w:footnoteRef/>
      </w:r>
      <w:r>
        <w:t xml:space="preserve"> </w:t>
      </w:r>
      <w:r w:rsidRPr="0065723E">
        <w:t>Годовой отчет ПАО Московская Биржа за 202</w:t>
      </w:r>
      <w:r w:rsidRPr="00EA0C61">
        <w:rPr>
          <w:lang w:val="ru-RU"/>
        </w:rPr>
        <w:t>5</w:t>
      </w:r>
      <w:r w:rsidRPr="0065723E">
        <w:t xml:space="preserve"> г.</w:t>
      </w:r>
      <w:r w:rsidRPr="00EA0C61">
        <w:rPr>
          <w:lang w:val="ru-RU"/>
        </w:rPr>
        <w:t xml:space="preserve"> </w:t>
      </w:r>
      <w:r>
        <w:rPr>
          <w:lang w:val="en-US"/>
        </w:rPr>
        <w:t>URL</w:t>
      </w:r>
      <w:r w:rsidRPr="00EA0C61">
        <w:rPr>
          <w:lang w:val="ru-RU"/>
        </w:rPr>
        <w:t>: https://www.moex.com/files/4y4ayas5n36a65ceejtww9rw5g</w:t>
      </w:r>
    </w:p>
  </w:footnote>
  <w:footnote w:id="18">
    <w:p w14:paraId="08002B87" w14:textId="2443A1C9" w:rsidR="00986688" w:rsidRPr="002C3C51" w:rsidRDefault="00986688">
      <w:pPr>
        <w:pStyle w:val="a5"/>
        <w:rPr>
          <w:lang w:val="ru-RU"/>
        </w:rPr>
      </w:pPr>
      <w:r>
        <w:rPr>
          <w:rStyle w:val="a7"/>
        </w:rPr>
        <w:footnoteRef/>
      </w:r>
      <w:r>
        <w:t xml:space="preserve"> </w:t>
      </w:r>
      <w:r w:rsidRPr="0055372C">
        <w:t xml:space="preserve">Распоряжение Правительства РФ от 29.12.2022 N 4355-р (ред. от 21.12.2023) </w:t>
      </w:r>
      <w:r>
        <w:rPr>
          <w:lang w:val="ru-RU"/>
        </w:rPr>
        <w:t>«</w:t>
      </w:r>
      <w:r w:rsidRPr="0055372C">
        <w:t>Об утверждении Стратегии развития финансового рынка РФ до 2030 года</w:t>
      </w:r>
      <w:r>
        <w:rPr>
          <w:lang w:val="ru-RU"/>
        </w:rPr>
        <w:t xml:space="preserve">». </w:t>
      </w:r>
      <w:r>
        <w:rPr>
          <w:lang w:val="en-US"/>
        </w:rPr>
        <w:t>URL</w:t>
      </w:r>
      <w:r w:rsidRPr="0055372C">
        <w:rPr>
          <w:lang w:val="ru-RU"/>
        </w:rPr>
        <w:t>:</w:t>
      </w:r>
      <w:r w:rsidRPr="002C3C51">
        <w:rPr>
          <w:lang w:val="ru-RU"/>
        </w:rPr>
        <w:t xml:space="preserve"> </w:t>
      </w:r>
      <w:r w:rsidRPr="0055372C">
        <w:rPr>
          <w:lang w:val="en-US"/>
        </w:rPr>
        <w:t>https</w:t>
      </w:r>
      <w:r w:rsidRPr="002C3C51">
        <w:rPr>
          <w:lang w:val="ru-RU"/>
        </w:rPr>
        <w:t>://</w:t>
      </w:r>
      <w:r w:rsidRPr="0055372C">
        <w:rPr>
          <w:lang w:val="en-US"/>
        </w:rPr>
        <w:t>www</w:t>
      </w:r>
      <w:r w:rsidRPr="002C3C51">
        <w:rPr>
          <w:lang w:val="ru-RU"/>
        </w:rPr>
        <w:t>.</w:t>
      </w:r>
      <w:r w:rsidRPr="0055372C">
        <w:rPr>
          <w:lang w:val="en-US"/>
        </w:rPr>
        <w:t>consultant</w:t>
      </w:r>
      <w:r w:rsidRPr="002C3C51">
        <w:rPr>
          <w:lang w:val="ru-RU"/>
        </w:rPr>
        <w:t>.</w:t>
      </w:r>
      <w:r w:rsidRPr="0055372C">
        <w:rPr>
          <w:lang w:val="en-US"/>
        </w:rPr>
        <w:t>ru</w:t>
      </w:r>
      <w:r w:rsidRPr="002C3C51">
        <w:rPr>
          <w:lang w:val="ru-RU"/>
        </w:rPr>
        <w:t>/</w:t>
      </w:r>
      <w:r w:rsidRPr="0055372C">
        <w:rPr>
          <w:lang w:val="en-US"/>
        </w:rPr>
        <w:t>document</w:t>
      </w:r>
      <w:r w:rsidRPr="002C3C51">
        <w:rPr>
          <w:lang w:val="ru-RU"/>
        </w:rPr>
        <w:t>/</w:t>
      </w:r>
      <w:r w:rsidRPr="0055372C">
        <w:rPr>
          <w:lang w:val="en-US"/>
        </w:rPr>
        <w:t>cons</w:t>
      </w:r>
      <w:r w:rsidRPr="002C3C51">
        <w:rPr>
          <w:lang w:val="ru-RU"/>
        </w:rPr>
        <w:t>_</w:t>
      </w:r>
      <w:r w:rsidRPr="0055372C">
        <w:rPr>
          <w:lang w:val="en-US"/>
        </w:rPr>
        <w:t>doc</w:t>
      </w:r>
      <w:r w:rsidRPr="002C3C51">
        <w:rPr>
          <w:lang w:val="ru-RU"/>
        </w:rPr>
        <w:t>_</w:t>
      </w:r>
      <w:r w:rsidRPr="0055372C">
        <w:rPr>
          <w:lang w:val="en-US"/>
        </w:rPr>
        <w:t>LAW</w:t>
      </w:r>
      <w:r w:rsidRPr="002C3C51">
        <w:rPr>
          <w:lang w:val="ru-RU"/>
        </w:rPr>
        <w:t>_436693/</w:t>
      </w:r>
    </w:p>
  </w:footnote>
  <w:footnote w:id="19">
    <w:p w14:paraId="7FB71699" w14:textId="680E74F2" w:rsidR="00986688" w:rsidRPr="002C3C51" w:rsidRDefault="00986688">
      <w:pPr>
        <w:pStyle w:val="a5"/>
        <w:rPr>
          <w:lang w:val="ru-RU"/>
        </w:rPr>
      </w:pPr>
      <w:r>
        <w:rPr>
          <w:rStyle w:val="a7"/>
        </w:rPr>
        <w:footnoteRef/>
      </w:r>
      <w:r>
        <w:t xml:space="preserve"> </w:t>
      </w:r>
      <w:r w:rsidRPr="003C1B72">
        <w:t>Венчурная Евразия: итоги 2025 года</w:t>
      </w:r>
      <w:r w:rsidRPr="003C1B72">
        <w:rPr>
          <w:lang w:val="ru-RU"/>
        </w:rPr>
        <w:t>.</w:t>
      </w:r>
      <w:r w:rsidRPr="00BC3025">
        <w:rPr>
          <w:lang w:val="ru-RU"/>
        </w:rPr>
        <w:t xml:space="preserve"> </w:t>
      </w:r>
      <w:r>
        <w:rPr>
          <w:lang w:val="ru-RU"/>
        </w:rPr>
        <w:t>С</w:t>
      </w:r>
      <w:r w:rsidRPr="002C3C51">
        <w:t>овместно</w:t>
      </w:r>
      <w:r>
        <w:rPr>
          <w:lang w:val="ru-RU"/>
        </w:rPr>
        <w:t>е</w:t>
      </w:r>
      <w:r w:rsidRPr="002C3C51">
        <w:t xml:space="preserve"> исследовани</w:t>
      </w:r>
      <w:r>
        <w:rPr>
          <w:lang w:val="ru-RU"/>
        </w:rPr>
        <w:t>е</w:t>
      </w:r>
      <w:r w:rsidRPr="002C3C51">
        <w:t xml:space="preserve"> аналитической компании Dsight, Группы компаний Б1 и Т-Инвестиций</w:t>
      </w:r>
      <w:r w:rsidRPr="00BC3025">
        <w:rPr>
          <w:lang w:val="ru-RU"/>
        </w:rPr>
        <w:t xml:space="preserve">. </w:t>
      </w:r>
      <w:r>
        <w:rPr>
          <w:lang w:val="en-US"/>
        </w:rPr>
        <w:t>URL</w:t>
      </w:r>
      <w:r w:rsidRPr="00BC3025">
        <w:rPr>
          <w:lang w:val="ru-RU"/>
        </w:rPr>
        <w:t xml:space="preserve">: </w:t>
      </w:r>
      <w:hyperlink r:id="rId9" w:history="1">
        <w:r w:rsidRPr="00EE3AFC">
          <w:rPr>
            <w:rStyle w:val="a8"/>
            <w:lang w:val="en-US"/>
          </w:rPr>
          <w:t>https</w:t>
        </w:r>
        <w:r w:rsidRPr="00BC3025">
          <w:rPr>
            <w:rStyle w:val="a8"/>
            <w:lang w:val="ru-RU"/>
          </w:rPr>
          <w:t>://</w:t>
        </w:r>
        <w:r w:rsidRPr="00EE3AFC">
          <w:rPr>
            <w:rStyle w:val="a8"/>
            <w:lang w:val="en-US"/>
          </w:rPr>
          <w:t>b</w:t>
        </w:r>
        <w:r w:rsidRPr="00BC3025">
          <w:rPr>
            <w:rStyle w:val="a8"/>
            <w:lang w:val="ru-RU"/>
          </w:rPr>
          <w:t>1.</w:t>
        </w:r>
        <w:r w:rsidRPr="00EE3AFC">
          <w:rPr>
            <w:rStyle w:val="a8"/>
            <w:lang w:val="en-US"/>
          </w:rPr>
          <w:t>ru</w:t>
        </w:r>
        <w:r w:rsidRPr="00BC3025">
          <w:rPr>
            <w:rStyle w:val="a8"/>
            <w:lang w:val="ru-RU"/>
          </w:rPr>
          <w:t>/</w:t>
        </w:r>
        <w:r w:rsidRPr="00EE3AFC">
          <w:rPr>
            <w:rStyle w:val="a8"/>
            <w:lang w:val="en-US"/>
          </w:rPr>
          <w:t>analytics</w:t>
        </w:r>
        <w:r w:rsidRPr="00BC3025">
          <w:rPr>
            <w:rStyle w:val="a8"/>
            <w:lang w:val="ru-RU"/>
          </w:rPr>
          <w:t>/</w:t>
        </w:r>
        <w:r w:rsidRPr="00EE3AFC">
          <w:rPr>
            <w:rStyle w:val="a8"/>
            <w:lang w:val="en-US"/>
          </w:rPr>
          <w:t>b</w:t>
        </w:r>
        <w:r w:rsidRPr="00BC3025">
          <w:rPr>
            <w:rStyle w:val="a8"/>
            <w:lang w:val="ru-RU"/>
          </w:rPr>
          <w:t>1-</w:t>
        </w:r>
        <w:r w:rsidRPr="00EE3AFC">
          <w:rPr>
            <w:rStyle w:val="a8"/>
            <w:lang w:val="en-US"/>
          </w:rPr>
          <w:t>dsight</w:t>
        </w:r>
        <w:r w:rsidRPr="00BC3025">
          <w:rPr>
            <w:rStyle w:val="a8"/>
            <w:lang w:val="ru-RU"/>
          </w:rPr>
          <w:t>-</w:t>
        </w:r>
        <w:r w:rsidRPr="00EE3AFC">
          <w:rPr>
            <w:rStyle w:val="a8"/>
            <w:lang w:val="en-US"/>
          </w:rPr>
          <w:t>venture</w:t>
        </w:r>
        <w:r w:rsidRPr="00BC3025">
          <w:rPr>
            <w:rStyle w:val="a8"/>
            <w:lang w:val="ru-RU"/>
          </w:rPr>
          <w:t>-</w:t>
        </w:r>
        <w:r w:rsidRPr="00EE3AFC">
          <w:rPr>
            <w:rStyle w:val="a8"/>
            <w:lang w:val="en-US"/>
          </w:rPr>
          <w:t>eurasia</w:t>
        </w:r>
        <w:r w:rsidRPr="00BC3025">
          <w:rPr>
            <w:rStyle w:val="a8"/>
            <w:lang w:val="ru-RU"/>
          </w:rPr>
          <w:t>-2025-</w:t>
        </w:r>
        <w:r w:rsidRPr="00EE3AFC">
          <w:rPr>
            <w:rStyle w:val="a8"/>
            <w:lang w:val="en-US"/>
          </w:rPr>
          <w:t>results</w:t>
        </w:r>
        <w:r w:rsidRPr="00BC3025">
          <w:rPr>
            <w:rStyle w:val="a8"/>
            <w:lang w:val="ru-RU"/>
          </w:rPr>
          <w:t>-</w:t>
        </w:r>
        <w:r w:rsidRPr="00EE3AFC">
          <w:rPr>
            <w:rStyle w:val="a8"/>
            <w:lang w:val="en-US"/>
          </w:rPr>
          <w:t>review</w:t>
        </w:r>
        <w:r w:rsidRPr="00BC3025">
          <w:rPr>
            <w:rStyle w:val="a8"/>
            <w:lang w:val="ru-RU"/>
          </w:rPr>
          <w:t>/</w:t>
        </w:r>
      </w:hyperlink>
      <w:r w:rsidRPr="00BC3025">
        <w:rPr>
          <w:lang w:val="ru-RU"/>
        </w:rPr>
        <w:t xml:space="preserve"> </w:t>
      </w:r>
      <w:r w:rsidRPr="00940155">
        <w:rPr>
          <w:lang w:val="ru-RU"/>
        </w:rPr>
        <w:t>(</w:t>
      </w:r>
      <w:r>
        <w:rPr>
          <w:lang w:val="ru-RU"/>
        </w:rPr>
        <w:t>дата обращения 24.07.2026)</w:t>
      </w:r>
    </w:p>
  </w:footnote>
  <w:footnote w:id="20">
    <w:p w14:paraId="4C17BCAC" w14:textId="32BFF1DB" w:rsidR="00986688" w:rsidRPr="002C3C51" w:rsidRDefault="00986688">
      <w:pPr>
        <w:pStyle w:val="a5"/>
        <w:rPr>
          <w:lang w:val="ru-RU"/>
        </w:rPr>
      </w:pPr>
      <w:r>
        <w:rPr>
          <w:rStyle w:val="a7"/>
        </w:rPr>
        <w:footnoteRef/>
      </w:r>
      <w:r w:rsidRPr="002C3C51">
        <w:rPr>
          <w:lang w:val="ru-RU"/>
        </w:rPr>
        <w:t xml:space="preserve"> Гендиректор </w:t>
      </w:r>
      <w:r w:rsidRPr="002C3C51">
        <w:rPr>
          <w:lang w:val="en-US"/>
        </w:rPr>
        <w:t>Dsight</w:t>
      </w:r>
      <w:r w:rsidRPr="002C3C51">
        <w:rPr>
          <w:lang w:val="ru-RU"/>
        </w:rPr>
        <w:t>: венчурный рынок России вернулся к уровням 2009–2011 годов.</w:t>
      </w:r>
      <w:r>
        <w:t xml:space="preserve"> </w:t>
      </w:r>
      <w:r w:rsidRPr="002C3C51">
        <w:t>Деловая электронная газета «Бизнес Online»</w:t>
      </w:r>
      <w:r w:rsidRPr="002C3C51">
        <w:rPr>
          <w:lang w:val="ru-RU"/>
        </w:rPr>
        <w:t xml:space="preserve">. </w:t>
      </w:r>
      <w:r>
        <w:rPr>
          <w:lang w:val="en-US"/>
        </w:rPr>
        <w:t>URL</w:t>
      </w:r>
      <w:r w:rsidRPr="002C3C51">
        <w:rPr>
          <w:lang w:val="ru-RU"/>
        </w:rPr>
        <w:t xml:space="preserve">: </w:t>
      </w:r>
      <w:r w:rsidRPr="002C3C51">
        <w:rPr>
          <w:lang w:val="en-US"/>
        </w:rPr>
        <w:t>https</w:t>
      </w:r>
      <w:r w:rsidRPr="002C3C51">
        <w:rPr>
          <w:lang w:val="ru-RU"/>
        </w:rPr>
        <w:t>://</w:t>
      </w:r>
      <w:r w:rsidRPr="002C3C51">
        <w:rPr>
          <w:lang w:val="en-US"/>
        </w:rPr>
        <w:t>m</w:t>
      </w:r>
      <w:r w:rsidRPr="002C3C51">
        <w:rPr>
          <w:lang w:val="ru-RU"/>
        </w:rPr>
        <w:t>.</w:t>
      </w:r>
      <w:r w:rsidRPr="002C3C51">
        <w:rPr>
          <w:lang w:val="en-US"/>
        </w:rPr>
        <w:t>business</w:t>
      </w:r>
      <w:r w:rsidRPr="002C3C51">
        <w:rPr>
          <w:lang w:val="ru-RU"/>
        </w:rPr>
        <w:t>-</w:t>
      </w:r>
      <w:r w:rsidRPr="002C3C51">
        <w:rPr>
          <w:lang w:val="en-US"/>
        </w:rPr>
        <w:t>gazeta</w:t>
      </w:r>
      <w:r w:rsidRPr="002C3C51">
        <w:rPr>
          <w:lang w:val="ru-RU"/>
        </w:rPr>
        <w:t>.</w:t>
      </w:r>
      <w:r w:rsidRPr="002C3C51">
        <w:rPr>
          <w:lang w:val="en-US"/>
        </w:rPr>
        <w:t>ru</w:t>
      </w:r>
      <w:r w:rsidRPr="002C3C51">
        <w:rPr>
          <w:lang w:val="ru-RU"/>
        </w:rPr>
        <w:t>/</w:t>
      </w:r>
      <w:r w:rsidRPr="002C3C51">
        <w:rPr>
          <w:lang w:val="en-US"/>
        </w:rPr>
        <w:t>news</w:t>
      </w:r>
      <w:r w:rsidRPr="002C3C51">
        <w:rPr>
          <w:lang w:val="ru-RU"/>
        </w:rPr>
        <w:t>/699292</w:t>
      </w:r>
    </w:p>
  </w:footnote>
  <w:footnote w:id="21">
    <w:p w14:paraId="3BDB8EF1" w14:textId="69660A69" w:rsidR="00986688" w:rsidRPr="003D2DD8" w:rsidRDefault="00986688">
      <w:pPr>
        <w:pStyle w:val="a5"/>
        <w:rPr>
          <w:lang w:val="ru-RU"/>
        </w:rPr>
      </w:pPr>
      <w:r>
        <w:rPr>
          <w:rStyle w:val="a7"/>
        </w:rPr>
        <w:footnoteRef/>
      </w:r>
      <w:r>
        <w:t xml:space="preserve"> </w:t>
      </w:r>
      <w:r w:rsidRPr="003D2DD8">
        <w:t>Дмитрий Брейтенбихер на ПМЭФ спрогнозировал бум на рынке прямых инвестиций</w:t>
      </w:r>
      <w:r w:rsidRPr="003D2DD8">
        <w:rPr>
          <w:lang w:val="ru-RU"/>
        </w:rPr>
        <w:t xml:space="preserve">. </w:t>
      </w:r>
      <w:r w:rsidRPr="003D2DD8">
        <w:t>Сетевое издание «STOLICA58»</w:t>
      </w:r>
      <w:r w:rsidRPr="003D2DD8">
        <w:rPr>
          <w:lang w:val="ru-RU"/>
        </w:rPr>
        <w:t xml:space="preserve">. </w:t>
      </w:r>
      <w:r>
        <w:rPr>
          <w:lang w:val="en-US"/>
        </w:rPr>
        <w:t>URL</w:t>
      </w:r>
      <w:r w:rsidRPr="003D2DD8">
        <w:rPr>
          <w:lang w:val="ru-RU"/>
        </w:rPr>
        <w:t xml:space="preserve">: </w:t>
      </w:r>
      <w:r w:rsidRPr="003D2DD8">
        <w:rPr>
          <w:lang w:val="en-US"/>
        </w:rPr>
        <w:t>https</w:t>
      </w:r>
      <w:r w:rsidRPr="003D2DD8">
        <w:rPr>
          <w:lang w:val="ru-RU"/>
        </w:rPr>
        <w:t>://</w:t>
      </w:r>
      <w:r w:rsidRPr="003D2DD8">
        <w:rPr>
          <w:lang w:val="en-US"/>
        </w:rPr>
        <w:t>stolica</w:t>
      </w:r>
      <w:r w:rsidRPr="003D2DD8">
        <w:rPr>
          <w:lang w:val="ru-RU"/>
        </w:rPr>
        <w:t>58.</w:t>
      </w:r>
      <w:r w:rsidRPr="003D2DD8">
        <w:rPr>
          <w:lang w:val="en-US"/>
        </w:rPr>
        <w:t>ru</w:t>
      </w:r>
      <w:r w:rsidRPr="003D2DD8">
        <w:rPr>
          <w:lang w:val="ru-RU"/>
        </w:rPr>
        <w:t>/</w:t>
      </w:r>
      <w:r w:rsidRPr="003D2DD8">
        <w:rPr>
          <w:lang w:val="en-US"/>
        </w:rPr>
        <w:t>news</w:t>
      </w:r>
      <w:r w:rsidRPr="003D2DD8">
        <w:rPr>
          <w:lang w:val="ru-RU"/>
        </w:rPr>
        <w:t>/</w:t>
      </w:r>
      <w:r w:rsidRPr="003D2DD8">
        <w:rPr>
          <w:lang w:val="en-US"/>
        </w:rPr>
        <w:t>ekonomika</w:t>
      </w:r>
      <w:r w:rsidRPr="003D2DD8">
        <w:rPr>
          <w:lang w:val="ru-RU"/>
        </w:rPr>
        <w:t>/</w:t>
      </w:r>
      <w:r w:rsidRPr="003D2DD8">
        <w:rPr>
          <w:lang w:val="en-US"/>
        </w:rPr>
        <w:t>dmitrij</w:t>
      </w:r>
      <w:r w:rsidRPr="003D2DD8">
        <w:rPr>
          <w:lang w:val="ru-RU"/>
        </w:rPr>
        <w:t>-</w:t>
      </w:r>
      <w:r w:rsidRPr="003D2DD8">
        <w:rPr>
          <w:lang w:val="en-US"/>
        </w:rPr>
        <w:t>brejtenbiher</w:t>
      </w:r>
      <w:r w:rsidRPr="003D2DD8">
        <w:rPr>
          <w:lang w:val="ru-RU"/>
        </w:rPr>
        <w:t>-</w:t>
      </w:r>
      <w:r w:rsidRPr="003D2DD8">
        <w:rPr>
          <w:lang w:val="en-US"/>
        </w:rPr>
        <w:t>na</w:t>
      </w:r>
      <w:r w:rsidRPr="003D2DD8">
        <w:rPr>
          <w:lang w:val="ru-RU"/>
        </w:rPr>
        <w:t>-</w:t>
      </w:r>
      <w:r w:rsidRPr="003D2DD8">
        <w:rPr>
          <w:lang w:val="en-US"/>
        </w:rPr>
        <w:t>pmef</w:t>
      </w:r>
      <w:r w:rsidRPr="003D2DD8">
        <w:rPr>
          <w:lang w:val="ru-RU"/>
        </w:rPr>
        <w:t>-</w:t>
      </w:r>
      <w:r w:rsidRPr="003D2DD8">
        <w:rPr>
          <w:lang w:val="en-US"/>
        </w:rPr>
        <w:t>sprognoziroval</w:t>
      </w:r>
      <w:r w:rsidRPr="003D2DD8">
        <w:rPr>
          <w:lang w:val="ru-RU"/>
        </w:rPr>
        <w:t>-</w:t>
      </w:r>
      <w:r w:rsidRPr="003D2DD8">
        <w:rPr>
          <w:lang w:val="en-US"/>
        </w:rPr>
        <w:t>bum</w:t>
      </w:r>
      <w:r w:rsidRPr="003D2DD8">
        <w:rPr>
          <w:lang w:val="ru-RU"/>
        </w:rPr>
        <w:t>-</w:t>
      </w:r>
      <w:r w:rsidRPr="003D2DD8">
        <w:rPr>
          <w:lang w:val="en-US"/>
        </w:rPr>
        <w:t>na</w:t>
      </w:r>
      <w:r w:rsidRPr="003D2DD8">
        <w:rPr>
          <w:lang w:val="ru-RU"/>
        </w:rPr>
        <w:t>-</w:t>
      </w:r>
      <w:r w:rsidRPr="003D2DD8">
        <w:rPr>
          <w:lang w:val="en-US"/>
        </w:rPr>
        <w:t>rynke</w:t>
      </w:r>
      <w:r w:rsidRPr="003D2DD8">
        <w:rPr>
          <w:lang w:val="ru-RU"/>
        </w:rPr>
        <w:t>-</w:t>
      </w:r>
      <w:r w:rsidRPr="003D2DD8">
        <w:rPr>
          <w:lang w:val="en-US"/>
        </w:rPr>
        <w:t>pryamyh</w:t>
      </w:r>
      <w:r w:rsidRPr="003D2DD8">
        <w:rPr>
          <w:lang w:val="ru-RU"/>
        </w:rPr>
        <w:t>-</w:t>
      </w:r>
      <w:r w:rsidRPr="003D2DD8">
        <w:rPr>
          <w:lang w:val="en-US"/>
        </w:rPr>
        <w:t>investitsij</w:t>
      </w:r>
    </w:p>
  </w:footnote>
  <w:footnote w:id="22">
    <w:p w14:paraId="2BEC0F02" w14:textId="50B8DA64" w:rsidR="00986688" w:rsidRPr="004B20C1" w:rsidRDefault="00986688">
      <w:pPr>
        <w:pStyle w:val="a5"/>
      </w:pPr>
      <w:r>
        <w:rPr>
          <w:rStyle w:val="a7"/>
        </w:rPr>
        <w:footnoteRef/>
      </w:r>
      <w:r>
        <w:t xml:space="preserve"> </w:t>
      </w:r>
      <w:r w:rsidRPr="0065723E">
        <w:t>Годовой отчет ПАО Московская Биржа за 202</w:t>
      </w:r>
      <w:r w:rsidRPr="00EA0C61">
        <w:rPr>
          <w:lang w:val="ru-RU"/>
        </w:rPr>
        <w:t>5</w:t>
      </w:r>
      <w:r w:rsidRPr="0065723E">
        <w:t xml:space="preserve"> г.</w:t>
      </w:r>
      <w:r w:rsidRPr="00EA0C61">
        <w:rPr>
          <w:lang w:val="ru-RU"/>
        </w:rPr>
        <w:t xml:space="preserve"> </w:t>
      </w:r>
      <w:r>
        <w:rPr>
          <w:lang w:val="en-US"/>
        </w:rPr>
        <w:t>URL</w:t>
      </w:r>
      <w:r w:rsidRPr="00EA0C61">
        <w:rPr>
          <w:lang w:val="ru-RU"/>
        </w:rPr>
        <w:t>: https://www.moex.com/files/4y4ayas5n36a65ceejtww9rw5g</w:t>
      </w:r>
    </w:p>
  </w:footnote>
  <w:footnote w:id="23">
    <w:p w14:paraId="754454EA" w14:textId="4B29F5D7" w:rsidR="00986688" w:rsidRPr="00AB384A" w:rsidRDefault="00986688">
      <w:pPr>
        <w:pStyle w:val="a5"/>
        <w:rPr>
          <w:b/>
          <w:bCs/>
          <w:lang w:val="ru-RU"/>
        </w:rPr>
      </w:pPr>
      <w:r>
        <w:rPr>
          <w:rStyle w:val="a7"/>
        </w:rPr>
        <w:footnoteRef/>
      </w:r>
      <w:r>
        <w:t xml:space="preserve"> </w:t>
      </w:r>
      <w:r w:rsidRPr="002B5F0C">
        <w:rPr>
          <w:lang w:val="en-US"/>
        </w:rPr>
        <w:t>Pre</w:t>
      </w:r>
      <w:r w:rsidRPr="002B5F0C">
        <w:rPr>
          <w:lang w:val="ru-RU"/>
        </w:rPr>
        <w:t>-</w:t>
      </w:r>
      <w:r w:rsidRPr="002B5F0C">
        <w:rPr>
          <w:lang w:val="en-US"/>
        </w:rPr>
        <w:t>IPO</w:t>
      </w:r>
      <w:r w:rsidRPr="002B5F0C">
        <w:rPr>
          <w:lang w:val="ru-RU"/>
        </w:rPr>
        <w:t xml:space="preserve">: что это такое и стоит ли в нем участвовать в 2026 году. </w:t>
      </w:r>
      <w:r w:rsidRPr="002B5F0C">
        <w:rPr>
          <w:lang w:val="en-US"/>
        </w:rPr>
        <w:t>Investfunds</w:t>
      </w:r>
      <w:r w:rsidRPr="002B5F0C">
        <w:rPr>
          <w:lang w:val="ru-RU"/>
        </w:rPr>
        <w:t xml:space="preserve">, независимый источник данных для частных инвесторов в России. </w:t>
      </w:r>
      <w:r w:rsidRPr="002B5F0C">
        <w:rPr>
          <w:lang w:val="en-US"/>
        </w:rPr>
        <w:t>URL</w:t>
      </w:r>
      <w:r w:rsidRPr="002B5F0C">
        <w:rPr>
          <w:lang w:val="ru-RU"/>
        </w:rPr>
        <w:t xml:space="preserve">: </w:t>
      </w:r>
      <w:r w:rsidRPr="002B5F0C">
        <w:rPr>
          <w:lang w:val="en-US"/>
        </w:rPr>
        <w:t>https</w:t>
      </w:r>
      <w:r w:rsidRPr="002B5F0C">
        <w:rPr>
          <w:lang w:val="ru-RU"/>
        </w:rPr>
        <w:t>://</w:t>
      </w:r>
      <w:r w:rsidRPr="002B5F0C">
        <w:rPr>
          <w:lang w:val="en-US"/>
        </w:rPr>
        <w:t>investfunds</w:t>
      </w:r>
      <w:r w:rsidRPr="002B5F0C">
        <w:rPr>
          <w:lang w:val="ru-RU"/>
        </w:rPr>
        <w:t>.</w:t>
      </w:r>
      <w:r w:rsidRPr="002B5F0C">
        <w:rPr>
          <w:lang w:val="en-US"/>
        </w:rPr>
        <w:t>ru</w:t>
      </w:r>
      <w:r w:rsidRPr="002B5F0C">
        <w:rPr>
          <w:lang w:val="ru-RU"/>
        </w:rPr>
        <w:t>/</w:t>
      </w:r>
      <w:r w:rsidRPr="002B5F0C">
        <w:rPr>
          <w:lang w:val="en-US"/>
        </w:rPr>
        <w:t>news</w:t>
      </w:r>
      <w:r w:rsidRPr="002B5F0C">
        <w:rPr>
          <w:lang w:val="ru-RU"/>
        </w:rPr>
        <w:t>/171513/</w:t>
      </w:r>
      <w:r w:rsidRPr="002B5F0C">
        <w:rPr>
          <w:b/>
          <w:bCs/>
          <w:lang w:val="ru-RU"/>
        </w:rPr>
        <w:t xml:space="preserve"> </w:t>
      </w:r>
    </w:p>
  </w:footnote>
  <w:footnote w:id="24">
    <w:p w14:paraId="4E7FFE42" w14:textId="659CC712" w:rsidR="00986688" w:rsidRPr="00AB384A" w:rsidRDefault="00986688">
      <w:pPr>
        <w:pStyle w:val="a5"/>
        <w:rPr>
          <w:lang w:val="ru-RU"/>
        </w:rPr>
      </w:pPr>
      <w:r>
        <w:rPr>
          <w:rStyle w:val="a7"/>
        </w:rPr>
        <w:footnoteRef/>
      </w:r>
      <w:r>
        <w:t xml:space="preserve"> </w:t>
      </w:r>
      <w:r w:rsidRPr="006D0EDD">
        <w:t>Рынок триллионных инвестиций</w:t>
      </w:r>
      <w:r w:rsidRPr="006D0EDD">
        <w:rPr>
          <w:lang w:val="ru-RU"/>
        </w:rPr>
        <w:t>. В 2025 году объем привлечения в ПИФы установил исторический рекорд.</w:t>
      </w:r>
      <w:r>
        <w:rPr>
          <w:lang w:val="ru-RU"/>
        </w:rPr>
        <w:t xml:space="preserve"> </w:t>
      </w:r>
      <w:r w:rsidRPr="006D0EDD">
        <w:rPr>
          <w:lang w:val="ru-RU"/>
        </w:rPr>
        <w:t>Коммерсантъ</w:t>
      </w:r>
      <w:r>
        <w:rPr>
          <w:lang w:val="ru-RU"/>
        </w:rPr>
        <w:t xml:space="preserve">. </w:t>
      </w:r>
      <w:r>
        <w:rPr>
          <w:lang w:val="en-US"/>
        </w:rPr>
        <w:t>URL</w:t>
      </w:r>
      <w:r w:rsidRPr="00AB384A">
        <w:rPr>
          <w:lang w:val="ru-RU"/>
        </w:rPr>
        <w:t xml:space="preserve">: </w:t>
      </w:r>
      <w:r w:rsidRPr="006D0EDD">
        <w:rPr>
          <w:lang w:val="en-US"/>
        </w:rPr>
        <w:t>https</w:t>
      </w:r>
      <w:r w:rsidRPr="00AB384A">
        <w:rPr>
          <w:lang w:val="ru-RU"/>
        </w:rPr>
        <w:t>://</w:t>
      </w:r>
      <w:r w:rsidRPr="006D0EDD">
        <w:rPr>
          <w:lang w:val="en-US"/>
        </w:rPr>
        <w:t>www</w:t>
      </w:r>
      <w:r w:rsidRPr="00AB384A">
        <w:rPr>
          <w:lang w:val="ru-RU"/>
        </w:rPr>
        <w:t>.</w:t>
      </w:r>
      <w:r w:rsidRPr="006D0EDD">
        <w:rPr>
          <w:lang w:val="en-US"/>
        </w:rPr>
        <w:t>kommersant</w:t>
      </w:r>
      <w:r w:rsidRPr="00AB384A">
        <w:rPr>
          <w:lang w:val="ru-RU"/>
        </w:rPr>
        <w:t>.</w:t>
      </w:r>
      <w:r w:rsidRPr="006D0EDD">
        <w:rPr>
          <w:lang w:val="en-US"/>
        </w:rPr>
        <w:t>ru</w:t>
      </w:r>
      <w:r w:rsidRPr="00AB384A">
        <w:rPr>
          <w:lang w:val="ru-RU"/>
        </w:rPr>
        <w:t>/</w:t>
      </w:r>
      <w:r w:rsidRPr="006D0EDD">
        <w:rPr>
          <w:lang w:val="en-US"/>
        </w:rPr>
        <w:t>doc</w:t>
      </w:r>
      <w:r w:rsidRPr="00AB384A">
        <w:rPr>
          <w:lang w:val="ru-RU"/>
        </w:rPr>
        <w:t>/8360524</w:t>
      </w:r>
    </w:p>
  </w:footnote>
  <w:footnote w:id="25">
    <w:p w14:paraId="2CA668BC" w14:textId="0ADD0073" w:rsidR="00986688" w:rsidRPr="00AB384A" w:rsidRDefault="00986688">
      <w:pPr>
        <w:pStyle w:val="a5"/>
        <w:rPr>
          <w:lang w:val="ru-RU"/>
        </w:rPr>
      </w:pPr>
      <w:r>
        <w:rPr>
          <w:rStyle w:val="a7"/>
        </w:rPr>
        <w:footnoteRef/>
      </w:r>
      <w:r w:rsidRPr="00C9676D">
        <w:rPr>
          <w:lang w:val="ru-RU"/>
        </w:rPr>
        <w:t xml:space="preserve"> Банк России отменил </w:t>
      </w:r>
      <w:r w:rsidRPr="00C9676D">
        <w:rPr>
          <w:lang w:val="en-US"/>
        </w:rPr>
        <w:t>pre</w:t>
      </w:r>
      <w:r w:rsidRPr="00C9676D">
        <w:rPr>
          <w:lang w:val="ru-RU"/>
        </w:rPr>
        <w:t>-</w:t>
      </w:r>
      <w:r w:rsidRPr="00C9676D">
        <w:rPr>
          <w:lang w:val="en-US"/>
        </w:rPr>
        <w:t>IPO</w:t>
      </w:r>
      <w:r w:rsidRPr="00C9676D">
        <w:rPr>
          <w:lang w:val="ru-RU"/>
        </w:rPr>
        <w:t xml:space="preserve"> Петрокартона на 310 млн рублей. </w:t>
      </w:r>
      <w:r>
        <w:rPr>
          <w:lang w:val="ru-RU"/>
        </w:rPr>
        <w:t xml:space="preserve">Агентство Бизнес Новостей. </w:t>
      </w:r>
      <w:r>
        <w:rPr>
          <w:lang w:val="en-US"/>
        </w:rPr>
        <w:t>URL</w:t>
      </w:r>
      <w:r w:rsidRPr="00AB384A">
        <w:rPr>
          <w:lang w:val="ru-RU"/>
        </w:rPr>
        <w:t xml:space="preserve">: </w:t>
      </w:r>
      <w:r w:rsidRPr="00B70D0D">
        <w:rPr>
          <w:lang w:val="en-US"/>
        </w:rPr>
        <w:t>https</w:t>
      </w:r>
      <w:r w:rsidRPr="00AB384A">
        <w:rPr>
          <w:lang w:val="ru-RU"/>
        </w:rPr>
        <w:t>://</w:t>
      </w:r>
      <w:r w:rsidRPr="00B70D0D">
        <w:rPr>
          <w:lang w:val="en-US"/>
        </w:rPr>
        <w:t>abn</w:t>
      </w:r>
      <w:r w:rsidRPr="00AB384A">
        <w:rPr>
          <w:lang w:val="ru-RU"/>
        </w:rPr>
        <w:t>.</w:t>
      </w:r>
      <w:r w:rsidRPr="00B70D0D">
        <w:rPr>
          <w:lang w:val="en-US"/>
        </w:rPr>
        <w:t>agency</w:t>
      </w:r>
      <w:r w:rsidRPr="00AB384A">
        <w:rPr>
          <w:lang w:val="ru-RU"/>
        </w:rPr>
        <w:t>/2026/06/02/</w:t>
      </w:r>
      <w:r w:rsidRPr="00B70D0D">
        <w:rPr>
          <w:lang w:val="en-US"/>
        </w:rPr>
        <w:t>bank</w:t>
      </w:r>
      <w:r w:rsidRPr="00AB384A">
        <w:rPr>
          <w:lang w:val="ru-RU"/>
        </w:rPr>
        <w:t>-</w:t>
      </w:r>
      <w:r w:rsidRPr="00B70D0D">
        <w:rPr>
          <w:lang w:val="en-US"/>
        </w:rPr>
        <w:t>rossii</w:t>
      </w:r>
      <w:r w:rsidRPr="00AB384A">
        <w:rPr>
          <w:lang w:val="ru-RU"/>
        </w:rPr>
        <w:t>-</w:t>
      </w:r>
      <w:r w:rsidRPr="00B70D0D">
        <w:rPr>
          <w:lang w:val="en-US"/>
        </w:rPr>
        <w:t>otmenil</w:t>
      </w:r>
      <w:r w:rsidRPr="00AB384A">
        <w:rPr>
          <w:lang w:val="ru-RU"/>
        </w:rPr>
        <w:t>-</w:t>
      </w:r>
      <w:r w:rsidRPr="00B70D0D">
        <w:rPr>
          <w:lang w:val="en-US"/>
        </w:rPr>
        <w:t>pre</w:t>
      </w:r>
      <w:r w:rsidRPr="00AB384A">
        <w:rPr>
          <w:lang w:val="ru-RU"/>
        </w:rPr>
        <w:t>-</w:t>
      </w:r>
      <w:r w:rsidRPr="00B70D0D">
        <w:rPr>
          <w:lang w:val="en-US"/>
        </w:rPr>
        <w:t>ipo</w:t>
      </w:r>
      <w:r w:rsidRPr="00AB384A">
        <w:rPr>
          <w:lang w:val="ru-RU"/>
        </w:rPr>
        <w:t>-</w:t>
      </w:r>
      <w:r w:rsidRPr="00B70D0D">
        <w:rPr>
          <w:lang w:val="en-US"/>
        </w:rPr>
        <w:t>petrokartona</w:t>
      </w:r>
      <w:r w:rsidRPr="00AB384A">
        <w:rPr>
          <w:lang w:val="ru-RU"/>
        </w:rPr>
        <w:t>-</w:t>
      </w:r>
      <w:r w:rsidRPr="00B70D0D">
        <w:rPr>
          <w:lang w:val="en-US"/>
        </w:rPr>
        <w:t>na</w:t>
      </w:r>
      <w:r w:rsidRPr="00AB384A">
        <w:rPr>
          <w:lang w:val="ru-RU"/>
        </w:rPr>
        <w:t>-310-</w:t>
      </w:r>
      <w:r w:rsidRPr="00B70D0D">
        <w:rPr>
          <w:lang w:val="en-US"/>
        </w:rPr>
        <w:t>mln</w:t>
      </w:r>
      <w:r w:rsidRPr="00AB384A">
        <w:rPr>
          <w:lang w:val="ru-RU"/>
        </w:rPr>
        <w:t>-</w:t>
      </w:r>
      <w:r w:rsidRPr="00B70D0D">
        <w:rPr>
          <w:lang w:val="en-US"/>
        </w:rPr>
        <w:t>rublej</w:t>
      </w:r>
      <w:r w:rsidRPr="00AB384A">
        <w:rPr>
          <w:lang w:val="ru-RU"/>
        </w:rPr>
        <w:t>/</w:t>
      </w:r>
    </w:p>
  </w:footnote>
  <w:footnote w:id="26">
    <w:p w14:paraId="2AACDA5D" w14:textId="77777777" w:rsidR="00986688" w:rsidRPr="00AB384A" w:rsidRDefault="00986688" w:rsidP="00FE0F8E">
      <w:pPr>
        <w:pStyle w:val="a5"/>
        <w:rPr>
          <w:b/>
          <w:bCs/>
          <w:lang w:val="ru-RU"/>
        </w:rPr>
      </w:pPr>
      <w:r>
        <w:rPr>
          <w:rStyle w:val="a7"/>
        </w:rPr>
        <w:footnoteRef/>
      </w:r>
      <w:r>
        <w:t xml:space="preserve"> </w:t>
      </w:r>
      <w:r w:rsidRPr="002B5F0C">
        <w:rPr>
          <w:lang w:val="en-US"/>
        </w:rPr>
        <w:t>Pre</w:t>
      </w:r>
      <w:r w:rsidRPr="002B5F0C">
        <w:rPr>
          <w:lang w:val="ru-RU"/>
        </w:rPr>
        <w:t>-</w:t>
      </w:r>
      <w:r w:rsidRPr="002B5F0C">
        <w:rPr>
          <w:lang w:val="en-US"/>
        </w:rPr>
        <w:t>IPO</w:t>
      </w:r>
      <w:r w:rsidRPr="002B5F0C">
        <w:rPr>
          <w:lang w:val="ru-RU"/>
        </w:rPr>
        <w:t xml:space="preserve">: что это такое и стоит ли в нем участвовать в 2026 году. </w:t>
      </w:r>
      <w:r w:rsidRPr="002B5F0C">
        <w:rPr>
          <w:lang w:val="en-US"/>
        </w:rPr>
        <w:t>Investfunds</w:t>
      </w:r>
      <w:r w:rsidRPr="002B5F0C">
        <w:rPr>
          <w:lang w:val="ru-RU"/>
        </w:rPr>
        <w:t xml:space="preserve">, независимый источник данных для частных инвесторов в России. </w:t>
      </w:r>
      <w:r w:rsidRPr="002B5F0C">
        <w:rPr>
          <w:lang w:val="en-US"/>
        </w:rPr>
        <w:t>URL</w:t>
      </w:r>
      <w:r w:rsidRPr="002B5F0C">
        <w:rPr>
          <w:lang w:val="ru-RU"/>
        </w:rPr>
        <w:t xml:space="preserve">: </w:t>
      </w:r>
      <w:r w:rsidRPr="002B5F0C">
        <w:rPr>
          <w:lang w:val="en-US"/>
        </w:rPr>
        <w:t>https</w:t>
      </w:r>
      <w:r w:rsidRPr="002B5F0C">
        <w:rPr>
          <w:lang w:val="ru-RU"/>
        </w:rPr>
        <w:t>://</w:t>
      </w:r>
      <w:r w:rsidRPr="002B5F0C">
        <w:rPr>
          <w:lang w:val="en-US"/>
        </w:rPr>
        <w:t>investfunds</w:t>
      </w:r>
      <w:r w:rsidRPr="002B5F0C">
        <w:rPr>
          <w:lang w:val="ru-RU"/>
        </w:rPr>
        <w:t>.</w:t>
      </w:r>
      <w:r w:rsidRPr="002B5F0C">
        <w:rPr>
          <w:lang w:val="en-US"/>
        </w:rPr>
        <w:t>ru</w:t>
      </w:r>
      <w:r w:rsidRPr="002B5F0C">
        <w:rPr>
          <w:lang w:val="ru-RU"/>
        </w:rPr>
        <w:t>/</w:t>
      </w:r>
      <w:r w:rsidRPr="002B5F0C">
        <w:rPr>
          <w:lang w:val="en-US"/>
        </w:rPr>
        <w:t>news</w:t>
      </w:r>
      <w:r w:rsidRPr="002B5F0C">
        <w:rPr>
          <w:lang w:val="ru-RU"/>
        </w:rPr>
        <w:t>/171513/</w:t>
      </w:r>
      <w:r w:rsidRPr="002B5F0C">
        <w:rPr>
          <w:b/>
          <w:bCs/>
          <w:lang w:val="ru-RU"/>
        </w:rPr>
        <w:t xml:space="preserve"> </w:t>
      </w:r>
    </w:p>
    <w:p w14:paraId="688FE9C8" w14:textId="4441E4C5" w:rsidR="00986688" w:rsidRPr="00FE0F8E" w:rsidRDefault="00986688">
      <w:pPr>
        <w:pStyle w:val="a5"/>
        <w:rPr>
          <w:lang w:val="ru-RU"/>
        </w:rPr>
      </w:pPr>
    </w:p>
  </w:footnote>
  <w:footnote w:id="27">
    <w:p w14:paraId="2436A2E7" w14:textId="6D96D873" w:rsidR="00986688" w:rsidRPr="00DA6458" w:rsidRDefault="00986688">
      <w:pPr>
        <w:pStyle w:val="a5"/>
      </w:pPr>
      <w:r>
        <w:rPr>
          <w:rStyle w:val="a7"/>
        </w:rPr>
        <w:footnoteRef/>
      </w:r>
      <w:r>
        <w:t xml:space="preserve"> </w:t>
      </w:r>
      <w:r w:rsidRPr="00C05A94">
        <w:t>Правила листинга Публичного акционерного общества «Московская Биржа ММВБ-РТС» : утв. Наблюдательным советом 26 февраля 2026 г., Протокол № 12. – Москва, 2026. – 285 с.</w:t>
      </w:r>
    </w:p>
  </w:footnote>
  <w:footnote w:id="28">
    <w:p w14:paraId="00DEEDA5" w14:textId="73A2E5BC" w:rsidR="00986688" w:rsidRPr="00A938D8" w:rsidRDefault="00986688">
      <w:pPr>
        <w:pStyle w:val="a5"/>
      </w:pPr>
      <w:r>
        <w:rPr>
          <w:rStyle w:val="a7"/>
        </w:rPr>
        <w:footnoteRef/>
      </w:r>
      <w:r>
        <w:t xml:space="preserve"> </w:t>
      </w:r>
      <w:r w:rsidRPr="00A938D8">
        <w:t>Рынок прямых инвестиций в России: ключевые тренды и идеи в 2026 году</w:t>
      </w:r>
      <w:r>
        <w:rPr>
          <w:lang w:val="ru-RU"/>
        </w:rPr>
        <w:t xml:space="preserve">. </w:t>
      </w:r>
      <w:r w:rsidRPr="00A938D8">
        <w:t>Финансист.py : официальный сайт. – URL: </w:t>
      </w:r>
      <w:hyperlink r:id="rId10" w:tgtFrame="_blank" w:history="1">
        <w:r w:rsidRPr="00A938D8">
          <w:rPr>
            <w:rStyle w:val="a8"/>
          </w:rPr>
          <w:t>https://finansist-kras.ru/news/analitics/rynok-pryamykh-investitsiy-v-rossii-klyuchevye-trendy-i-idei-v-2026-godu/</w:t>
        </w:r>
      </w:hyperlink>
      <w:r w:rsidRPr="00A938D8">
        <w:t> (дата обращения: 25.07.2026).</w:t>
      </w:r>
    </w:p>
  </w:footnote>
  <w:footnote w:id="29">
    <w:p w14:paraId="1C1F26E4" w14:textId="35814B25" w:rsidR="00986688" w:rsidRPr="00986688" w:rsidRDefault="00986688">
      <w:pPr>
        <w:pBdr>
          <w:top w:val="nil"/>
          <w:left w:val="nil"/>
          <w:bottom w:val="nil"/>
          <w:right w:val="nil"/>
          <w:between w:val="nil"/>
        </w:pBdr>
        <w:rPr>
          <w:color w:val="000000"/>
          <w:sz w:val="20"/>
          <w:szCs w:val="20"/>
          <w:lang w:val="ru-RU"/>
        </w:rPr>
      </w:pPr>
      <w:r>
        <w:rPr>
          <w:vertAlign w:val="superscript"/>
        </w:rPr>
        <w:footnoteRef/>
      </w:r>
      <w:r w:rsidRPr="0086614D">
        <w:rPr>
          <w:color w:val="000000"/>
          <w:sz w:val="20"/>
          <w:szCs w:val="20"/>
          <w:lang w:val="en-US"/>
        </w:rPr>
        <w:t xml:space="preserve">Rappaport, A. </w:t>
      </w:r>
      <w:hyperlink r:id="rId11">
        <w:r w:rsidRPr="0086614D">
          <w:rPr>
            <w:color w:val="000000"/>
            <w:sz w:val="20"/>
            <w:szCs w:val="20"/>
            <w:lang w:val="en-US"/>
          </w:rPr>
          <w:t>Creating Shareholder Value: A Guide for Managers and Investors</w:t>
        </w:r>
      </w:hyperlink>
      <w:r w:rsidRPr="0086614D">
        <w:rPr>
          <w:color w:val="000000"/>
          <w:sz w:val="20"/>
          <w:szCs w:val="20"/>
          <w:lang w:val="en-US"/>
        </w:rPr>
        <w:t xml:space="preserve">. </w:t>
      </w:r>
      <w:r w:rsidRPr="00A648EF">
        <w:rPr>
          <w:color w:val="000000"/>
          <w:sz w:val="20"/>
          <w:szCs w:val="20"/>
          <w:lang w:val="en-US"/>
        </w:rPr>
        <w:t>Free</w:t>
      </w:r>
      <w:r w:rsidRPr="00986688">
        <w:rPr>
          <w:color w:val="000000"/>
          <w:sz w:val="20"/>
          <w:szCs w:val="20"/>
          <w:lang w:val="ru-RU"/>
        </w:rPr>
        <w:t xml:space="preserve"> </w:t>
      </w:r>
      <w:r w:rsidRPr="00A648EF">
        <w:rPr>
          <w:color w:val="000000"/>
          <w:sz w:val="20"/>
          <w:szCs w:val="20"/>
          <w:lang w:val="en-US"/>
        </w:rPr>
        <w:t>Press</w:t>
      </w:r>
      <w:r w:rsidRPr="00986688">
        <w:rPr>
          <w:color w:val="000000"/>
          <w:sz w:val="20"/>
          <w:szCs w:val="20"/>
          <w:lang w:val="ru-RU"/>
        </w:rPr>
        <w:t>,</w:t>
      </w:r>
      <w:r w:rsidRPr="00A648EF">
        <w:rPr>
          <w:color w:val="000000"/>
          <w:sz w:val="20"/>
          <w:szCs w:val="20"/>
          <w:lang w:val="en-US"/>
        </w:rPr>
        <w:t> </w:t>
      </w:r>
      <w:r w:rsidRPr="00986688">
        <w:rPr>
          <w:color w:val="000000"/>
          <w:sz w:val="20"/>
          <w:szCs w:val="20"/>
          <w:lang w:val="ru-RU"/>
        </w:rPr>
        <w:t>1998.</w:t>
      </w:r>
    </w:p>
  </w:footnote>
  <w:footnote w:id="30">
    <w:p w14:paraId="1C1F26E5" w14:textId="77777777" w:rsidR="00986688" w:rsidRDefault="00986688">
      <w:pPr>
        <w:pBdr>
          <w:top w:val="nil"/>
          <w:left w:val="nil"/>
          <w:bottom w:val="nil"/>
          <w:right w:val="nil"/>
          <w:between w:val="nil"/>
        </w:pBdr>
        <w:rPr>
          <w:color w:val="000000"/>
          <w:sz w:val="20"/>
          <w:szCs w:val="20"/>
        </w:rPr>
      </w:pPr>
      <w:r>
        <w:rPr>
          <w:vertAlign w:val="superscript"/>
        </w:rPr>
        <w:footnoteRef/>
      </w:r>
      <w:r w:rsidRPr="00986688">
        <w:rPr>
          <w:color w:val="000000"/>
          <w:sz w:val="20"/>
          <w:szCs w:val="20"/>
          <w:lang w:val="ru-RU"/>
        </w:rPr>
        <w:t xml:space="preserve"> </w:t>
      </w:r>
      <w:r>
        <w:rPr>
          <w:color w:val="000000"/>
          <w:sz w:val="20"/>
          <w:szCs w:val="20"/>
        </w:rPr>
        <w:t>Коупленд</w:t>
      </w:r>
      <w:r w:rsidRPr="00986688">
        <w:rPr>
          <w:color w:val="000000"/>
          <w:sz w:val="20"/>
          <w:szCs w:val="20"/>
          <w:lang w:val="ru-RU"/>
        </w:rPr>
        <w:t xml:space="preserve"> </w:t>
      </w:r>
      <w:r>
        <w:rPr>
          <w:color w:val="000000"/>
          <w:sz w:val="20"/>
          <w:szCs w:val="20"/>
        </w:rPr>
        <w:t>Т</w:t>
      </w:r>
      <w:r w:rsidRPr="00986688">
        <w:rPr>
          <w:color w:val="000000"/>
          <w:sz w:val="20"/>
          <w:szCs w:val="20"/>
          <w:lang w:val="ru-RU"/>
        </w:rPr>
        <w:t xml:space="preserve">., </w:t>
      </w:r>
      <w:r>
        <w:rPr>
          <w:color w:val="000000"/>
          <w:sz w:val="20"/>
          <w:szCs w:val="20"/>
        </w:rPr>
        <w:t>Коллер</w:t>
      </w:r>
      <w:r w:rsidRPr="00986688">
        <w:rPr>
          <w:color w:val="000000"/>
          <w:sz w:val="20"/>
          <w:szCs w:val="20"/>
          <w:lang w:val="ru-RU"/>
        </w:rPr>
        <w:t xml:space="preserve"> </w:t>
      </w:r>
      <w:r>
        <w:rPr>
          <w:color w:val="000000"/>
          <w:sz w:val="20"/>
          <w:szCs w:val="20"/>
        </w:rPr>
        <w:t>Т</w:t>
      </w:r>
      <w:r w:rsidRPr="00986688">
        <w:rPr>
          <w:color w:val="000000"/>
          <w:sz w:val="20"/>
          <w:szCs w:val="20"/>
          <w:lang w:val="ru-RU"/>
        </w:rPr>
        <w:t xml:space="preserve">., </w:t>
      </w:r>
      <w:r>
        <w:rPr>
          <w:color w:val="000000"/>
          <w:sz w:val="20"/>
          <w:szCs w:val="20"/>
        </w:rPr>
        <w:t>Муррин</w:t>
      </w:r>
      <w:r w:rsidRPr="00986688">
        <w:rPr>
          <w:color w:val="000000"/>
          <w:sz w:val="20"/>
          <w:szCs w:val="20"/>
          <w:lang w:val="ru-RU"/>
        </w:rPr>
        <w:t xml:space="preserve"> </w:t>
      </w:r>
      <w:r>
        <w:rPr>
          <w:color w:val="000000"/>
          <w:sz w:val="20"/>
          <w:szCs w:val="20"/>
        </w:rPr>
        <w:t>Дж</w:t>
      </w:r>
      <w:r w:rsidRPr="00986688">
        <w:rPr>
          <w:color w:val="000000"/>
          <w:sz w:val="20"/>
          <w:szCs w:val="20"/>
          <w:lang w:val="ru-RU"/>
        </w:rPr>
        <w:t xml:space="preserve">. </w:t>
      </w:r>
      <w:r>
        <w:rPr>
          <w:color w:val="000000"/>
          <w:sz w:val="20"/>
          <w:szCs w:val="20"/>
        </w:rPr>
        <w:t xml:space="preserve">Стоимость компаний: оценка и управление. М.: ЗАО «Олимп - Бизнес», 2005. </w:t>
      </w:r>
    </w:p>
  </w:footnote>
  <w:footnote w:id="31">
    <w:p w14:paraId="1C1F26E6"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Ивашковская И.В. Моделирование стоимости компании. Стратегическая ответственность совета директоров. М.: НИЦ ИНФРА-М, 2024.</w:t>
      </w:r>
    </w:p>
  </w:footnote>
  <w:footnote w:id="32">
    <w:p w14:paraId="1C1F26E7"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Берзон Н.И., Хасанов А.Б. Оценка стоимости компаний развивающихся рынков Европы на основе модели Ольсона. Вестник Московского университета. Серия 6. Экономика. 2019.</w:t>
      </w:r>
    </w:p>
  </w:footnote>
  <w:footnote w:id="33">
    <w:p w14:paraId="1C1F26E8"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Теплова, Т. В. Инвестиции : учебник для бакалавров / Т. В. Теплова. — М. : Издательство Юрайт, 2014. </w:t>
      </w:r>
    </w:p>
  </w:footnote>
  <w:footnote w:id="34">
    <w:p w14:paraId="1C1F26E9"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Вожик С.В. Разработка методов оценки стоимости компании для принятия стратегических решений: дис. ... канд. эконом. наук: 08.00.10 / Вожик Сергей Владимирович, — Москва, 2005.</w:t>
      </w:r>
    </w:p>
  </w:footnote>
  <w:footnote w:id="35">
    <w:p w14:paraId="1C1F26EA" w14:textId="77777777" w:rsidR="00986688" w:rsidRDefault="00986688">
      <w:pPr>
        <w:pBdr>
          <w:top w:val="nil"/>
          <w:left w:val="nil"/>
          <w:bottom w:val="nil"/>
          <w:right w:val="nil"/>
          <w:between w:val="nil"/>
        </w:pBdr>
        <w:rPr>
          <w:b/>
          <w:bCs/>
          <w:color w:val="000000"/>
          <w:sz w:val="20"/>
          <w:szCs w:val="20"/>
        </w:rPr>
      </w:pPr>
      <w:r>
        <w:rPr>
          <w:vertAlign w:val="superscript"/>
        </w:rPr>
        <w:footnoteRef/>
      </w:r>
      <w:r>
        <w:rPr>
          <w:color w:val="000000"/>
          <w:sz w:val="20"/>
          <w:szCs w:val="20"/>
        </w:rPr>
        <w:t xml:space="preserve"> Алферова И.А. Стоимостно-ориентированное управление горнодобывающим предприятием на основе бюджетной модели: дис. ... канд. эконом. наук: 08.00.10 / Алферова Ирина Александровна, — Москва 2011.</w:t>
      </w:r>
    </w:p>
  </w:footnote>
  <w:footnote w:id="36">
    <w:p w14:paraId="1C1F26EB"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Косорукова И.В. Развитие теории, методологии и практики оценки стоимости бизнеса: дис. ... канд. эконом. наук: 08.00.10 / Косорукова Ирина Вячеславовна, — Москва 2013.</w:t>
      </w:r>
    </w:p>
  </w:footnote>
  <w:footnote w:id="37">
    <w:p w14:paraId="1C1F26EC"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Рожковский А. Л. Организационная структура как фактор стоимости компании: дис. ... канд. эконом. наук: 08.00.10 / Рожковский Алексей Леонидович, — Москва, 2017.</w:t>
      </w:r>
    </w:p>
  </w:footnote>
  <w:footnote w:id="38">
    <w:p w14:paraId="1C1F26ED"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Толстов Н. С. Оценка стоимости компании в системе ценностно-ориентированного управления: дис. ... канд. эконом. наук: 08.00.10 / Толстов Николай Сергеевич, — Москва, 2022.</w:t>
      </w:r>
    </w:p>
  </w:footnote>
  <w:footnote w:id="39">
    <w:p w14:paraId="1C1F26EE"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Килинский М. А. </w:t>
      </w:r>
      <w:hyperlink r:id="rId12">
        <w:r>
          <w:rPr>
            <w:color w:val="000000"/>
            <w:sz w:val="20"/>
            <w:szCs w:val="20"/>
          </w:rPr>
          <w:t>Финансовые и нефинансовые детерминанты в оценке стоимости бизнеса</w:t>
        </w:r>
      </w:hyperlink>
      <w:r>
        <w:rPr>
          <w:color w:val="000000"/>
          <w:sz w:val="20"/>
          <w:szCs w:val="20"/>
        </w:rPr>
        <w:t>: дис. ... канд. эконом. наук: 08.00.10 / Килинский Михаил Александрович, — Москва, 2021.</w:t>
      </w:r>
    </w:p>
  </w:footnote>
  <w:footnote w:id="40">
    <w:p w14:paraId="1C1F26EF"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Дохоян З. М. Оценка стоимости диверсифицированных компаний: дис. ... канд. эконом. наук: 08.00.10 / Дохоян Зограб Мнацаканович, — Москва, 2015.</w:t>
      </w:r>
    </w:p>
  </w:footnote>
  <w:footnote w:id="41">
    <w:p w14:paraId="1C1F26F0" w14:textId="77777777" w:rsidR="00986688" w:rsidRDefault="00986688">
      <w:pPr>
        <w:rPr>
          <w:sz w:val="20"/>
          <w:szCs w:val="20"/>
        </w:rPr>
      </w:pPr>
      <w:r>
        <w:rPr>
          <w:vertAlign w:val="superscript"/>
        </w:rPr>
        <w:footnoteRef/>
      </w:r>
      <w:r>
        <w:t xml:space="preserve"> Лебедев О. В. </w:t>
      </w:r>
      <w:hyperlink r:id="rId13">
        <w:r>
          <w:rPr>
            <w:sz w:val="20"/>
            <w:szCs w:val="20"/>
          </w:rPr>
          <w:t>Формирование акционерной стоимости на несовершенном рынке капитала</w:t>
        </w:r>
      </w:hyperlink>
      <w:r>
        <w:t>: дис. ... канд. эконом. наук: 08.00.10 / Лебедев Олег Владимирович, — Москва, 2015.</w:t>
      </w:r>
    </w:p>
  </w:footnote>
  <w:footnote w:id="42">
    <w:p w14:paraId="1C1F26F1" w14:textId="77777777" w:rsidR="00986688" w:rsidRDefault="00986688">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Гусейнов Ш. Р. Методология управления стоимостью корпоративных образований в условиях цифровой экономики: дис. ... докт. эконом. наук: 08.00.05 / Гусейнов Шахин Рагим оглы, — Москва, 2019.</w:t>
      </w:r>
    </w:p>
  </w:footnote>
  <w:footnote w:id="43">
    <w:p w14:paraId="1C1F26F2" w14:textId="77777777" w:rsidR="00986688" w:rsidRPr="0086614D" w:rsidRDefault="00986688">
      <w:pPr>
        <w:pBdr>
          <w:top w:val="nil"/>
          <w:left w:val="nil"/>
          <w:bottom w:val="nil"/>
          <w:right w:val="nil"/>
          <w:between w:val="nil"/>
        </w:pBdr>
        <w:rPr>
          <w:color w:val="000000"/>
          <w:sz w:val="20"/>
          <w:szCs w:val="20"/>
          <w:lang w:val="en-US"/>
        </w:rPr>
      </w:pPr>
      <w:r>
        <w:rPr>
          <w:vertAlign w:val="superscript"/>
        </w:rPr>
        <w:footnoteRef/>
      </w:r>
      <w:r>
        <w:rPr>
          <w:color w:val="000000"/>
          <w:sz w:val="20"/>
          <w:szCs w:val="20"/>
        </w:rPr>
        <w:t xml:space="preserve"> Пурлик В.М. Управление компанией с ориентацией на рост стоимости бизнеса / В.М. Пурлик // Государственное управление. Электронный</w:t>
      </w:r>
      <w:r w:rsidRPr="0086614D">
        <w:rPr>
          <w:color w:val="000000"/>
          <w:sz w:val="20"/>
          <w:szCs w:val="20"/>
          <w:lang w:val="en-US"/>
        </w:rPr>
        <w:t xml:space="preserve"> </w:t>
      </w:r>
      <w:r>
        <w:rPr>
          <w:color w:val="000000"/>
          <w:sz w:val="20"/>
          <w:szCs w:val="20"/>
        </w:rPr>
        <w:t>вестник</w:t>
      </w:r>
      <w:r w:rsidRPr="0086614D">
        <w:rPr>
          <w:color w:val="000000"/>
          <w:sz w:val="20"/>
          <w:szCs w:val="20"/>
          <w:lang w:val="en-US"/>
        </w:rPr>
        <w:t>. – 2018. – №69.</w:t>
      </w:r>
    </w:p>
  </w:footnote>
  <w:footnote w:id="44">
    <w:p w14:paraId="1C3DACDC" w14:textId="4D5402D5" w:rsidR="00986688" w:rsidRPr="002316FA" w:rsidRDefault="00986688">
      <w:pPr>
        <w:pStyle w:val="a5"/>
        <w:rPr>
          <w:lang w:val="en-US"/>
        </w:rPr>
      </w:pPr>
      <w:r>
        <w:rPr>
          <w:rStyle w:val="a7"/>
        </w:rPr>
        <w:footnoteRef/>
      </w:r>
      <w:r w:rsidRPr="004955F0">
        <w:rPr>
          <w:lang w:val="en-US"/>
        </w:rPr>
        <w:t xml:space="preserve"> </w:t>
      </w:r>
      <w:r>
        <w:rPr>
          <w:lang w:val="en-US"/>
        </w:rPr>
        <w:t xml:space="preserve">Adizes, I. </w:t>
      </w:r>
      <w:r w:rsidRPr="002316FA">
        <w:rPr>
          <w:lang w:val="en-US"/>
        </w:rPr>
        <w:t>Managing Corporate Lifecycle. Adizes Institute Publications</w:t>
      </w:r>
      <w:r w:rsidRPr="00213287">
        <w:rPr>
          <w:lang w:val="en-US"/>
        </w:rPr>
        <w:t>,</w:t>
      </w:r>
      <w:r w:rsidRPr="002316FA">
        <w:rPr>
          <w:lang w:val="en-US"/>
        </w:rPr>
        <w:t xml:space="preserve"> 2023.</w:t>
      </w:r>
    </w:p>
  </w:footnote>
  <w:footnote w:id="45">
    <w:p w14:paraId="42083CC7" w14:textId="0F816747" w:rsidR="00986688" w:rsidRPr="00213287" w:rsidRDefault="00986688">
      <w:pPr>
        <w:pStyle w:val="a5"/>
        <w:rPr>
          <w:lang w:val="ru-RU"/>
        </w:rPr>
      </w:pPr>
      <w:r>
        <w:rPr>
          <w:rStyle w:val="a7"/>
        </w:rPr>
        <w:footnoteRef/>
      </w:r>
      <w:r w:rsidRPr="004955F0">
        <w:rPr>
          <w:lang w:val="en-US"/>
        </w:rPr>
        <w:t xml:space="preserve"> </w:t>
      </w:r>
      <w:r>
        <w:rPr>
          <w:lang w:val="en-US"/>
        </w:rPr>
        <w:t xml:space="preserve">Greiner, L.E. </w:t>
      </w:r>
      <w:r w:rsidRPr="00C86B19">
        <w:rPr>
          <w:lang w:val="en-US"/>
        </w:rPr>
        <w:t>Evolution and revolution as organizations grow</w:t>
      </w:r>
      <w:r>
        <w:rPr>
          <w:lang w:val="en-US"/>
        </w:rPr>
        <w:t xml:space="preserve">. </w:t>
      </w:r>
      <w:r w:rsidRPr="009B4332">
        <w:rPr>
          <w:lang w:val="en-US"/>
        </w:rPr>
        <w:t>Harvard</w:t>
      </w:r>
      <w:r w:rsidRPr="00213287">
        <w:rPr>
          <w:lang w:val="ru-RU"/>
        </w:rPr>
        <w:t xml:space="preserve"> </w:t>
      </w:r>
      <w:r w:rsidRPr="009B4332">
        <w:rPr>
          <w:lang w:val="en-US"/>
        </w:rPr>
        <w:t>Business</w:t>
      </w:r>
      <w:r w:rsidRPr="00213287">
        <w:rPr>
          <w:lang w:val="ru-RU"/>
        </w:rPr>
        <w:t xml:space="preserve"> </w:t>
      </w:r>
      <w:r w:rsidRPr="009B4332">
        <w:rPr>
          <w:lang w:val="en-US"/>
        </w:rPr>
        <w:t>Review</w:t>
      </w:r>
      <w:r w:rsidRPr="00213287">
        <w:rPr>
          <w:lang w:val="ru-RU"/>
        </w:rPr>
        <w:t>, 1972.</w:t>
      </w:r>
    </w:p>
  </w:footnote>
  <w:footnote w:id="46">
    <w:p w14:paraId="0EFFC716" w14:textId="67A72906" w:rsidR="00986688" w:rsidRPr="009B4332" w:rsidRDefault="00986688">
      <w:pPr>
        <w:pStyle w:val="a5"/>
        <w:rPr>
          <w:lang w:val="ru-RU"/>
        </w:rPr>
      </w:pPr>
      <w:r>
        <w:rPr>
          <w:rStyle w:val="a7"/>
        </w:rPr>
        <w:footnoteRef/>
      </w:r>
      <w:r w:rsidRPr="009B4332">
        <w:rPr>
          <w:lang w:val="ru-RU"/>
        </w:rPr>
        <w:t xml:space="preserve"> </w:t>
      </w:r>
      <w:r>
        <w:rPr>
          <w:lang w:val="ru-RU"/>
        </w:rPr>
        <w:t>Захаров</w:t>
      </w:r>
      <w:r w:rsidRPr="009B4332">
        <w:rPr>
          <w:lang w:val="ru-RU"/>
        </w:rPr>
        <w:t xml:space="preserve"> </w:t>
      </w:r>
      <w:r>
        <w:rPr>
          <w:lang w:val="ru-RU"/>
        </w:rPr>
        <w:t xml:space="preserve">С.В. </w:t>
      </w:r>
      <w:r w:rsidRPr="009B4332">
        <w:rPr>
          <w:lang w:val="ru-RU"/>
        </w:rPr>
        <w:t>Стратегия финансирования компании на различных стадиях жизненного цикла как инструмент увеличения ее стоимости для акционеров</w:t>
      </w:r>
      <w:r>
        <w:rPr>
          <w:color w:val="000000"/>
        </w:rPr>
        <w:t xml:space="preserve">: дис. ... канд. эконом. наук: 08.00.10 / </w:t>
      </w:r>
      <w:r w:rsidRPr="009B4332">
        <w:rPr>
          <w:color w:val="000000"/>
        </w:rPr>
        <w:t>Захаров Сергей Викторович</w:t>
      </w:r>
      <w:r>
        <w:rPr>
          <w:color w:val="000000"/>
        </w:rPr>
        <w:t>, — Москва, 201</w:t>
      </w:r>
      <w:r>
        <w:rPr>
          <w:color w:val="000000"/>
          <w:lang w:val="ru-RU"/>
        </w:rPr>
        <w:t>1</w:t>
      </w:r>
      <w:r>
        <w:rPr>
          <w:color w:val="000000"/>
        </w:rPr>
        <w:t>.</w:t>
      </w:r>
    </w:p>
  </w:footnote>
  <w:footnote w:id="47">
    <w:p w14:paraId="5CD5EF07" w14:textId="2BBEB1E0" w:rsidR="00986688" w:rsidRPr="00A40485" w:rsidRDefault="00986688">
      <w:pPr>
        <w:pStyle w:val="a5"/>
        <w:rPr>
          <w:lang w:val="ru-RU"/>
        </w:rPr>
      </w:pPr>
      <w:r>
        <w:rPr>
          <w:rStyle w:val="a7"/>
        </w:rPr>
        <w:footnoteRef/>
      </w:r>
      <w:r w:rsidRPr="0050053D">
        <w:rPr>
          <w:lang w:val="ru-RU"/>
        </w:rPr>
        <w:t xml:space="preserve"> </w:t>
      </w:r>
      <w:r w:rsidRPr="0050053D">
        <w:t>Красильникова Е</w:t>
      </w:r>
      <w:r>
        <w:rPr>
          <w:lang w:val="ru-RU"/>
        </w:rPr>
        <w:t>.</w:t>
      </w:r>
      <w:r w:rsidRPr="0050053D">
        <w:t xml:space="preserve"> В</w:t>
      </w:r>
      <w:r>
        <w:rPr>
          <w:lang w:val="ru-RU"/>
        </w:rPr>
        <w:t xml:space="preserve">. </w:t>
      </w:r>
      <w:r w:rsidRPr="001A5102">
        <w:rPr>
          <w:lang w:val="ru-RU"/>
        </w:rPr>
        <w:t xml:space="preserve">Стратегии финансирования компаний на стадиях жизненного цикла с позиции устойчивого развития: </w:t>
      </w:r>
      <w:r>
        <w:rPr>
          <w:color w:val="000000"/>
        </w:rPr>
        <w:t>дис. ... канд. эконом. наук: 0</w:t>
      </w:r>
      <w:r w:rsidRPr="001A5102">
        <w:rPr>
          <w:color w:val="000000"/>
          <w:lang w:val="ru-RU"/>
        </w:rPr>
        <w:t>0</w:t>
      </w:r>
      <w:r>
        <w:rPr>
          <w:color w:val="000000"/>
        </w:rPr>
        <w:t>.00.</w:t>
      </w:r>
      <w:r w:rsidRPr="001A5102">
        <w:rPr>
          <w:color w:val="000000"/>
          <w:lang w:val="ru-RU"/>
        </w:rPr>
        <w:t>0</w:t>
      </w:r>
      <w:r>
        <w:rPr>
          <w:color w:val="000000"/>
        </w:rPr>
        <w:t xml:space="preserve">0 / </w:t>
      </w:r>
      <w:r w:rsidRPr="0050053D">
        <w:t>Красильникова Елена Вадимовна</w:t>
      </w:r>
      <w:r w:rsidRPr="001A5102">
        <w:rPr>
          <w:lang w:val="ru-RU"/>
        </w:rPr>
        <w:t xml:space="preserve">, - </w:t>
      </w:r>
      <w:r>
        <w:rPr>
          <w:lang w:val="ru-RU"/>
        </w:rPr>
        <w:t>Москва, 2024.</w:t>
      </w:r>
    </w:p>
  </w:footnote>
  <w:footnote w:id="48">
    <w:p w14:paraId="006847D3" w14:textId="61AC5827" w:rsidR="00986688" w:rsidRPr="00A40485" w:rsidRDefault="00986688" w:rsidP="00A40485">
      <w:pPr>
        <w:pStyle w:val="a5"/>
        <w:rPr>
          <w:lang w:val="en-US"/>
        </w:rPr>
      </w:pPr>
      <w:r>
        <w:rPr>
          <w:rStyle w:val="a7"/>
        </w:rPr>
        <w:footnoteRef/>
      </w:r>
      <w:r w:rsidRPr="00A40485">
        <w:rPr>
          <w:lang w:val="en-US"/>
        </w:rPr>
        <w:t xml:space="preserve"> Dickinson, V. Cash Flow Patterns as a Proxy for Firm Life Cycle // The Accounting Review. — 2011. — Vol. 86, No. 6. — P. 1969–1994.</w:t>
      </w:r>
    </w:p>
  </w:footnote>
  <w:footnote w:id="49">
    <w:p w14:paraId="4B4DDF2B" w14:textId="5C38686D" w:rsidR="00986688" w:rsidRPr="00992F33" w:rsidRDefault="00986688">
      <w:pPr>
        <w:pStyle w:val="a5"/>
        <w:rPr>
          <w:lang w:val="en-US"/>
        </w:rPr>
      </w:pPr>
      <w:r>
        <w:rPr>
          <w:rStyle w:val="a7"/>
        </w:rPr>
        <w:footnoteRef/>
      </w:r>
      <w:r w:rsidRPr="00992F33">
        <w:rPr>
          <w:lang w:val="en-US"/>
        </w:rPr>
        <w:t xml:space="preserve"> </w:t>
      </w:r>
      <w:r w:rsidRPr="0086614D">
        <w:rPr>
          <w:color w:val="000000"/>
          <w:lang w:val="en-US"/>
        </w:rPr>
        <w:t>Pratt, Shannon P. Valuing a Business, 6th Edition: The Analysis and Appraisal of Closely Held Companies. McGraw Hill, 2022.</w:t>
      </w:r>
    </w:p>
  </w:footnote>
  <w:footnote w:id="50">
    <w:p w14:paraId="0B87E4CC" w14:textId="776123B3" w:rsidR="00986688" w:rsidRPr="00E22DF1" w:rsidRDefault="00986688">
      <w:pPr>
        <w:pStyle w:val="a5"/>
        <w:rPr>
          <w:color w:val="000000"/>
          <w:lang w:val="ru-RU"/>
        </w:rPr>
      </w:pPr>
      <w:r>
        <w:rPr>
          <w:rStyle w:val="a7"/>
        </w:rPr>
        <w:footnoteRef/>
      </w:r>
      <w:r w:rsidRPr="00992F33">
        <w:rPr>
          <w:lang w:val="en-US"/>
        </w:rPr>
        <w:t xml:space="preserve"> </w:t>
      </w:r>
      <w:r w:rsidRPr="0086614D">
        <w:rPr>
          <w:color w:val="000000"/>
          <w:lang w:val="en-US"/>
        </w:rPr>
        <w:t xml:space="preserve">Damodaran A. Investment Valuation: Tools and Techniques for Determining the Value of Any Asset, 4th Edition. </w:t>
      </w:r>
      <w:r>
        <w:rPr>
          <w:color w:val="000000"/>
        </w:rPr>
        <w:t>Wiley, 2025.</w:t>
      </w:r>
    </w:p>
  </w:footnote>
  <w:footnote w:id="51">
    <w:p w14:paraId="137405D0" w14:textId="55E03C82" w:rsidR="00986688" w:rsidRPr="008422E0" w:rsidRDefault="00986688" w:rsidP="001140C2">
      <w:pPr>
        <w:pBdr>
          <w:top w:val="nil"/>
          <w:left w:val="nil"/>
          <w:bottom w:val="nil"/>
          <w:right w:val="nil"/>
          <w:between w:val="nil"/>
        </w:pBdr>
        <w:rPr>
          <w:color w:val="000000"/>
          <w:sz w:val="20"/>
          <w:szCs w:val="20"/>
          <w:lang w:val="ru-RU"/>
        </w:rPr>
      </w:pPr>
      <w:r>
        <w:rPr>
          <w:rStyle w:val="a7"/>
        </w:rPr>
        <w:footnoteRef/>
      </w:r>
      <w:r>
        <w:t xml:space="preserve"> </w:t>
      </w:r>
      <w:r>
        <w:rPr>
          <w:color w:val="000000"/>
          <w:sz w:val="20"/>
          <w:szCs w:val="20"/>
        </w:rPr>
        <w:t>Нужденов А.Д. Определение рыночной стоимости бизнеса с использованием метода реальных опционов: дис. ... канд. эконом. наук: 08.00.10 / Нужденов Артем Дмитриевич, — Москва, 2016.</w:t>
      </w:r>
    </w:p>
  </w:footnote>
  <w:footnote w:id="52">
    <w:p w14:paraId="355DA45C" w14:textId="009C1148" w:rsidR="00986688" w:rsidRPr="001140C2" w:rsidRDefault="00986688">
      <w:pPr>
        <w:pStyle w:val="a5"/>
        <w:rPr>
          <w:lang w:val="ru-RU"/>
        </w:rPr>
      </w:pPr>
      <w:r>
        <w:rPr>
          <w:rStyle w:val="a7"/>
        </w:rPr>
        <w:footnoteRef/>
      </w:r>
      <w:r>
        <w:t xml:space="preserve"> </w:t>
      </w:r>
      <w:r>
        <w:rPr>
          <w:color w:val="000000"/>
        </w:rPr>
        <w:t>Коклев П. С. Оценка стоимости компании с использованием статистического обучения: дис. ... канд. эконом. наук: 00.00.00 / Коклев Пётр Сергеевич, — Москва, 2023.</w:t>
      </w:r>
    </w:p>
  </w:footnote>
  <w:footnote w:id="53">
    <w:p w14:paraId="7D32517F" w14:textId="27B633EC" w:rsidR="00986688" w:rsidRPr="008422E0" w:rsidRDefault="00986688" w:rsidP="001140C2">
      <w:pPr>
        <w:pBdr>
          <w:top w:val="nil"/>
          <w:left w:val="nil"/>
          <w:bottom w:val="nil"/>
          <w:right w:val="nil"/>
          <w:between w:val="nil"/>
        </w:pBdr>
        <w:rPr>
          <w:color w:val="000000"/>
          <w:sz w:val="20"/>
          <w:szCs w:val="20"/>
          <w:lang w:val="ru-RU"/>
        </w:rPr>
      </w:pPr>
      <w:r>
        <w:rPr>
          <w:rStyle w:val="a7"/>
        </w:rPr>
        <w:footnoteRef/>
      </w:r>
      <w:r>
        <w:t xml:space="preserve"> </w:t>
      </w:r>
      <w:r>
        <w:rPr>
          <w:color w:val="000000"/>
          <w:sz w:val="20"/>
          <w:szCs w:val="20"/>
        </w:rPr>
        <w:t>Хасанов А. Б. Межстрановой анализ оценки стоимости компаний на развитых и развивающихся рынках на основе модели Ольсона: дис. ... канд. эконом. наук: 08.00.10 /  Хасанов Адиль Болатович, — Москва, 2022.</w:t>
      </w:r>
    </w:p>
  </w:footnote>
  <w:footnote w:id="54">
    <w:p w14:paraId="521A1E37" w14:textId="70A1495A" w:rsidR="00986688" w:rsidRPr="008422E0" w:rsidRDefault="00986688" w:rsidP="00CF2693">
      <w:pPr>
        <w:pBdr>
          <w:top w:val="nil"/>
          <w:left w:val="nil"/>
          <w:bottom w:val="nil"/>
          <w:right w:val="nil"/>
          <w:between w:val="nil"/>
        </w:pBdr>
        <w:rPr>
          <w:color w:val="000000"/>
          <w:sz w:val="20"/>
          <w:szCs w:val="20"/>
          <w:lang w:val="ru-RU"/>
        </w:rPr>
      </w:pPr>
      <w:r>
        <w:rPr>
          <w:rStyle w:val="a7"/>
        </w:rPr>
        <w:footnoteRef/>
      </w:r>
      <w:r>
        <w:t xml:space="preserve"> </w:t>
      </w:r>
      <w:r>
        <w:rPr>
          <w:color w:val="000000"/>
          <w:sz w:val="20"/>
          <w:szCs w:val="20"/>
        </w:rPr>
        <w:t>Аббясова Д. Р. Модели оценки стоимости и управления капиталом корпорации на развивающемся рынке: дис. ... канд. эконом. наук: 00.00.00 / Аббясова Диана Рустямовна, — Москва, 2024.</w:t>
      </w:r>
    </w:p>
  </w:footnote>
  <w:footnote w:id="55">
    <w:p w14:paraId="17983885" w14:textId="371E88EA" w:rsidR="00986688" w:rsidRPr="00CF2693" w:rsidRDefault="00986688">
      <w:pPr>
        <w:pStyle w:val="a5"/>
      </w:pPr>
      <w:r>
        <w:rPr>
          <w:rStyle w:val="a7"/>
        </w:rPr>
        <w:footnoteRef/>
      </w:r>
      <w:r>
        <w:t xml:space="preserve"> </w:t>
      </w:r>
      <w:r w:rsidRPr="00CF2693">
        <w:t>Дубровин В.В. Оценка стоимости высокотехнологичной компании на различных этапах развития: дис. ... канд. эконом. наук: 08.00.10 / Дубровин Вадим Владленович, — Москва, 2009.</w:t>
      </w:r>
    </w:p>
  </w:footnote>
  <w:footnote w:id="56">
    <w:p w14:paraId="5FE0758B" w14:textId="3698D436" w:rsidR="00986688" w:rsidRPr="00CF2693" w:rsidRDefault="00986688">
      <w:pPr>
        <w:pStyle w:val="a5"/>
      </w:pPr>
      <w:r>
        <w:rPr>
          <w:rStyle w:val="a7"/>
        </w:rPr>
        <w:footnoteRef/>
      </w:r>
      <w:r>
        <w:t xml:space="preserve"> </w:t>
      </w:r>
      <w:r w:rsidRPr="00CF2693">
        <w:t>Мочалина Я.В. Совершенствование методов оценки инвестиционной стоимости инновационной компании на различных этапах жизненного цикла: дис. ... канд. эконом. наук: 08.00.10 / Мочалина Яна Владимировна, — Пенза, 2011.</w:t>
      </w:r>
    </w:p>
  </w:footnote>
  <w:footnote w:id="57">
    <w:p w14:paraId="5758D00C" w14:textId="6C07E91A" w:rsidR="00986688" w:rsidRPr="009F2B24" w:rsidRDefault="00986688">
      <w:pPr>
        <w:pStyle w:val="a5"/>
      </w:pPr>
      <w:r>
        <w:rPr>
          <w:rStyle w:val="a7"/>
        </w:rPr>
        <w:footnoteRef/>
      </w:r>
      <w:r>
        <w:t xml:space="preserve"> </w:t>
      </w:r>
      <w:r w:rsidRPr="009F2B24">
        <w:t>Лукина Ю.А. Совершенствование учётно-аналитического обеспечения оценки инвестиционной привлекательности быстрорастущих компаний: дис. ... канд. наук / Лукина Юлия Александровна, — Москва, 2025.</w:t>
      </w:r>
    </w:p>
  </w:footnote>
  <w:footnote w:id="58">
    <w:p w14:paraId="7373B71D" w14:textId="0EBFF8EB" w:rsidR="00986688" w:rsidRPr="00CF2693" w:rsidRDefault="00986688">
      <w:pPr>
        <w:pStyle w:val="a5"/>
      </w:pPr>
      <w:r>
        <w:rPr>
          <w:rStyle w:val="a7"/>
        </w:rPr>
        <w:footnoteRef/>
      </w:r>
      <w:r>
        <w:t xml:space="preserve"> </w:t>
      </w:r>
      <w:r>
        <w:rPr>
          <w:color w:val="000000"/>
        </w:rPr>
        <w:t>Зимин В. В. Развитие инструментария стоимостной оценки синергетического эффекта сделок слияния и поглощения: дис. ... канд. эконом. наук: 08.00.10 / Зимин Владислав Владимирович, — Москва, 2020.</w:t>
      </w:r>
    </w:p>
  </w:footnote>
  <w:footnote w:id="59">
    <w:p w14:paraId="07368767" w14:textId="13451DE5" w:rsidR="00986688" w:rsidRPr="00CF2693" w:rsidRDefault="00986688">
      <w:pPr>
        <w:pStyle w:val="a5"/>
        <w:rPr>
          <w:lang w:val="ru-RU"/>
        </w:rPr>
      </w:pPr>
      <w:r>
        <w:rPr>
          <w:rStyle w:val="a7"/>
        </w:rPr>
        <w:footnoteRef/>
      </w:r>
      <w:r>
        <w:t xml:space="preserve"> </w:t>
      </w:r>
      <w:r>
        <w:rPr>
          <w:color w:val="000000"/>
        </w:rPr>
        <w:t>Темукуева Ж. Х. Анализ создания стоимости бизнеса в сделках слияния и поглощения: дис. ... канд. эконом. наук: 00.00.00 / Темукуева Жанета Хусейновна, — Москва, 2024.</w:t>
      </w:r>
    </w:p>
  </w:footnote>
  <w:footnote w:id="60">
    <w:p w14:paraId="71D077C5" w14:textId="4CF832C4" w:rsidR="00986688" w:rsidRPr="00CF2693" w:rsidRDefault="00986688">
      <w:pPr>
        <w:pStyle w:val="a5"/>
        <w:rPr>
          <w:lang w:val="ru-RU"/>
        </w:rPr>
      </w:pPr>
      <w:r>
        <w:rPr>
          <w:rStyle w:val="a7"/>
        </w:rPr>
        <w:footnoteRef/>
      </w:r>
      <w:r>
        <w:t xml:space="preserve"> </w:t>
      </w:r>
      <w:r>
        <w:rPr>
          <w:color w:val="000000"/>
        </w:rPr>
        <w:t>Давиденко Алексей Александрович. Оценка ожидаемой премии в сделках слияния и поглощения: дис. ... канд. эконом. наук: 00.00.00 / Давиденко Алексей Александрович, — Москва, 2023.</w:t>
      </w:r>
    </w:p>
  </w:footnote>
  <w:footnote w:id="61">
    <w:p w14:paraId="4489ADDD" w14:textId="6D3DC0F1" w:rsidR="00986688" w:rsidRPr="00CF2693" w:rsidRDefault="00986688">
      <w:pPr>
        <w:pStyle w:val="a5"/>
        <w:rPr>
          <w:lang w:val="ru-RU"/>
        </w:rPr>
      </w:pPr>
      <w:r>
        <w:rPr>
          <w:rStyle w:val="a7"/>
        </w:rPr>
        <w:footnoteRef/>
      </w:r>
      <w:r>
        <w:t xml:space="preserve"> </w:t>
      </w:r>
      <w:r>
        <w:rPr>
          <w:color w:val="000000"/>
        </w:rPr>
        <w:t>Антонова Н. А. Совершенствование процедуры дью-дилидженс с применением сценарного метода на основе риск-ориентированного подхода: дис. ... канд. эконом. наук: 00.00.00 / Антонова Надежда Александровна, — Москва, 2022.</w:t>
      </w:r>
    </w:p>
  </w:footnote>
  <w:footnote w:id="62">
    <w:p w14:paraId="1B2AF94F" w14:textId="6BD62279" w:rsidR="00986688" w:rsidRPr="0093286D" w:rsidRDefault="00986688">
      <w:pPr>
        <w:pStyle w:val="a5"/>
        <w:rPr>
          <w:lang w:val="ru-RU"/>
        </w:rPr>
      </w:pPr>
      <w:r>
        <w:rPr>
          <w:rStyle w:val="a7"/>
        </w:rPr>
        <w:footnoteRef/>
      </w:r>
      <w:r>
        <w:t xml:space="preserve"> </w:t>
      </w:r>
      <w:r>
        <w:rPr>
          <w:color w:val="000000"/>
        </w:rPr>
        <w:t>Гулевич И. И. Развитие методов оценки стоимости бизнеса в условиях санкционных экономических изменений: дис. ... канд. эконом. наук: 00.00.00 / Гулевич Иван Иванович, — Москва, 2024.</w:t>
      </w:r>
    </w:p>
  </w:footnote>
  <w:footnote w:id="63">
    <w:p w14:paraId="528BDBC7" w14:textId="73F1B08B" w:rsidR="00986688" w:rsidRPr="008422E0" w:rsidRDefault="00986688">
      <w:pPr>
        <w:pStyle w:val="a5"/>
        <w:rPr>
          <w:lang w:val="en-US"/>
        </w:rPr>
      </w:pPr>
      <w:r>
        <w:rPr>
          <w:rStyle w:val="a7"/>
        </w:rPr>
        <w:footnoteRef/>
      </w:r>
      <w:r>
        <w:t xml:space="preserve"> </w:t>
      </w:r>
      <w:r w:rsidRPr="0093286D">
        <w:t>Ксенофонтова О.Д. Влияние корпоративного управления на формирование стоимости бизнеса: дис. ... канд. наук: 00.00.00 / Ксенофонтова Ольга Дмитриевна, — Москва: РЭУ им. Г</w:t>
      </w:r>
      <w:r w:rsidRPr="008422E0">
        <w:rPr>
          <w:lang w:val="en-US"/>
        </w:rPr>
        <w:t>.</w:t>
      </w:r>
      <w:r w:rsidRPr="0093286D">
        <w:t>В</w:t>
      </w:r>
      <w:r w:rsidRPr="008422E0">
        <w:rPr>
          <w:lang w:val="en-US"/>
        </w:rPr>
        <w:t xml:space="preserve">. </w:t>
      </w:r>
      <w:r w:rsidRPr="0093286D">
        <w:t>Плеханова</w:t>
      </w:r>
      <w:r w:rsidRPr="008422E0">
        <w:rPr>
          <w:lang w:val="en-US"/>
        </w:rPr>
        <w:t>, 2023.</w:t>
      </w:r>
    </w:p>
  </w:footnote>
  <w:footnote w:id="64">
    <w:p w14:paraId="3A4496C9" w14:textId="78B8EA9F" w:rsidR="00986688" w:rsidRPr="008422E0" w:rsidRDefault="00986688">
      <w:pPr>
        <w:pStyle w:val="a5"/>
        <w:rPr>
          <w:lang w:val="en-US"/>
        </w:rPr>
      </w:pPr>
      <w:r>
        <w:rPr>
          <w:rStyle w:val="a7"/>
        </w:rPr>
        <w:footnoteRef/>
      </w:r>
      <w:r w:rsidRPr="004A748B">
        <w:rPr>
          <w:lang w:val="en-US"/>
        </w:rPr>
        <w:t xml:space="preserve"> Sahlman, W.A. The Structure and Governance of Venture-Capital Organizations</w:t>
      </w:r>
      <w:r>
        <w:rPr>
          <w:lang w:val="en-US"/>
        </w:rPr>
        <w:t>.</w:t>
      </w:r>
      <w:r w:rsidRPr="004A748B">
        <w:rPr>
          <w:lang w:val="en-US"/>
        </w:rPr>
        <w:t xml:space="preserve"> Journal</w:t>
      </w:r>
      <w:r w:rsidRPr="008422E0">
        <w:rPr>
          <w:lang w:val="en-US"/>
        </w:rPr>
        <w:t xml:space="preserve"> </w:t>
      </w:r>
      <w:r w:rsidRPr="004A748B">
        <w:rPr>
          <w:lang w:val="en-US"/>
        </w:rPr>
        <w:t>of</w:t>
      </w:r>
      <w:r w:rsidRPr="008422E0">
        <w:rPr>
          <w:lang w:val="en-US"/>
        </w:rPr>
        <w:t xml:space="preserve"> </w:t>
      </w:r>
      <w:r w:rsidRPr="004A748B">
        <w:rPr>
          <w:lang w:val="en-US"/>
        </w:rPr>
        <w:t>Financial</w:t>
      </w:r>
      <w:r w:rsidRPr="008422E0">
        <w:rPr>
          <w:lang w:val="en-US"/>
        </w:rPr>
        <w:t xml:space="preserve"> </w:t>
      </w:r>
      <w:r w:rsidRPr="004A748B">
        <w:rPr>
          <w:lang w:val="en-US"/>
        </w:rPr>
        <w:t>Economics</w:t>
      </w:r>
      <w:r w:rsidRPr="008422E0">
        <w:rPr>
          <w:lang w:val="en-US"/>
        </w:rPr>
        <w:t xml:space="preserve">. — 1990. — </w:t>
      </w:r>
      <w:r w:rsidRPr="004A748B">
        <w:rPr>
          <w:lang w:val="en-US"/>
        </w:rPr>
        <w:t>Vol</w:t>
      </w:r>
      <w:r w:rsidRPr="008422E0">
        <w:rPr>
          <w:lang w:val="en-US"/>
        </w:rPr>
        <w:t xml:space="preserve">. 27, </w:t>
      </w:r>
      <w:r w:rsidRPr="004A748B">
        <w:rPr>
          <w:lang w:val="en-US"/>
        </w:rPr>
        <w:t>No</w:t>
      </w:r>
      <w:r w:rsidRPr="008422E0">
        <w:rPr>
          <w:lang w:val="en-US"/>
        </w:rPr>
        <w:t xml:space="preserve">. 2. — </w:t>
      </w:r>
      <w:r w:rsidRPr="004A748B">
        <w:rPr>
          <w:lang w:val="en-US"/>
        </w:rPr>
        <w:t>P</w:t>
      </w:r>
      <w:r w:rsidRPr="008422E0">
        <w:rPr>
          <w:lang w:val="en-US"/>
        </w:rPr>
        <w:t>. 473-521.</w:t>
      </w:r>
    </w:p>
  </w:footnote>
  <w:footnote w:id="65">
    <w:p w14:paraId="01682BD1" w14:textId="4821DF02" w:rsidR="00986688" w:rsidRPr="00AA3090" w:rsidRDefault="00986688" w:rsidP="00AA3090">
      <w:pPr>
        <w:pStyle w:val="a5"/>
        <w:rPr>
          <w:lang w:val="en-US"/>
        </w:rPr>
      </w:pPr>
      <w:r>
        <w:rPr>
          <w:rStyle w:val="a7"/>
        </w:rPr>
        <w:footnoteRef/>
      </w:r>
      <w:r w:rsidRPr="00AA3090">
        <w:rPr>
          <w:lang w:val="en-US"/>
        </w:rPr>
        <w:t xml:space="preserve"> Gompers, P.A. Optimal Investment, Monitoring, and the Staging of Venture Capital</w:t>
      </w:r>
      <w:r>
        <w:rPr>
          <w:lang w:val="en-US"/>
        </w:rPr>
        <w:t xml:space="preserve">. </w:t>
      </w:r>
      <w:r w:rsidRPr="00AA3090">
        <w:rPr>
          <w:lang w:val="en-US"/>
        </w:rPr>
        <w:t>The Journal of Finance. — 1995. — Vol. 50, No. 5. — P. 1461-1489.</w:t>
      </w:r>
    </w:p>
  </w:footnote>
  <w:footnote w:id="66">
    <w:p w14:paraId="7DF60852" w14:textId="1831770B" w:rsidR="00986688" w:rsidRPr="00AA3090" w:rsidRDefault="00986688">
      <w:pPr>
        <w:pStyle w:val="a5"/>
        <w:rPr>
          <w:lang w:val="en-US"/>
        </w:rPr>
      </w:pPr>
      <w:r>
        <w:rPr>
          <w:rStyle w:val="a7"/>
        </w:rPr>
        <w:footnoteRef/>
      </w:r>
      <w:r w:rsidRPr="00AA3090">
        <w:rPr>
          <w:lang w:val="en-US"/>
        </w:rPr>
        <w:t xml:space="preserve"> Gompers, P., Lerner, J. The Venture Capital Cycle. — 2nd Edition. — MIT Press, 2004.</w:t>
      </w:r>
    </w:p>
  </w:footnote>
  <w:footnote w:id="67">
    <w:p w14:paraId="299629B9" w14:textId="6696D5A4" w:rsidR="00986688" w:rsidRPr="003F4D0D" w:rsidRDefault="00986688">
      <w:pPr>
        <w:pStyle w:val="a5"/>
        <w:rPr>
          <w:lang w:val="ru-RU"/>
        </w:rPr>
      </w:pPr>
      <w:r>
        <w:rPr>
          <w:rStyle w:val="a7"/>
        </w:rPr>
        <w:footnoteRef/>
      </w:r>
      <w:r w:rsidRPr="00AA3090">
        <w:rPr>
          <w:lang w:val="en-US"/>
        </w:rPr>
        <w:t xml:space="preserve"> Kaplan, S.N., Strömberg, P. Financial Contracting Theory Meets the Real World: An Empirical Analysis of Venture Capital Contracts</w:t>
      </w:r>
      <w:r>
        <w:rPr>
          <w:lang w:val="en-US"/>
        </w:rPr>
        <w:t xml:space="preserve">. </w:t>
      </w:r>
      <w:r w:rsidRPr="00AA3090">
        <w:rPr>
          <w:lang w:val="en-US"/>
        </w:rPr>
        <w:t>The</w:t>
      </w:r>
      <w:r w:rsidRPr="003F4D0D">
        <w:rPr>
          <w:lang w:val="ru-RU"/>
        </w:rPr>
        <w:t xml:space="preserve"> </w:t>
      </w:r>
      <w:r w:rsidRPr="00AA3090">
        <w:rPr>
          <w:lang w:val="en-US"/>
        </w:rPr>
        <w:t>Review</w:t>
      </w:r>
      <w:r w:rsidRPr="003F4D0D">
        <w:rPr>
          <w:lang w:val="ru-RU"/>
        </w:rPr>
        <w:t xml:space="preserve"> </w:t>
      </w:r>
      <w:r w:rsidRPr="00AA3090">
        <w:rPr>
          <w:lang w:val="en-US"/>
        </w:rPr>
        <w:t>of</w:t>
      </w:r>
      <w:r w:rsidRPr="003F4D0D">
        <w:rPr>
          <w:lang w:val="ru-RU"/>
        </w:rPr>
        <w:t xml:space="preserve"> </w:t>
      </w:r>
      <w:r w:rsidRPr="00AA3090">
        <w:rPr>
          <w:lang w:val="en-US"/>
        </w:rPr>
        <w:t>Economic</w:t>
      </w:r>
      <w:r w:rsidRPr="003F4D0D">
        <w:rPr>
          <w:lang w:val="ru-RU"/>
        </w:rPr>
        <w:t xml:space="preserve"> </w:t>
      </w:r>
      <w:r w:rsidRPr="00AA3090">
        <w:rPr>
          <w:lang w:val="en-US"/>
        </w:rPr>
        <w:t>Studies</w:t>
      </w:r>
      <w:r w:rsidRPr="003F4D0D">
        <w:rPr>
          <w:lang w:val="ru-RU"/>
        </w:rPr>
        <w:t xml:space="preserve">. — 2003. — </w:t>
      </w:r>
      <w:r w:rsidRPr="00AA3090">
        <w:rPr>
          <w:lang w:val="en-US"/>
        </w:rPr>
        <w:t>Vol</w:t>
      </w:r>
      <w:r w:rsidRPr="003F4D0D">
        <w:rPr>
          <w:lang w:val="ru-RU"/>
        </w:rPr>
        <w:t xml:space="preserve">. 70, </w:t>
      </w:r>
      <w:r w:rsidRPr="00AA3090">
        <w:rPr>
          <w:lang w:val="en-US"/>
        </w:rPr>
        <w:t>No</w:t>
      </w:r>
      <w:r w:rsidRPr="003F4D0D">
        <w:rPr>
          <w:lang w:val="ru-RU"/>
        </w:rPr>
        <w:t xml:space="preserve">. 2. — </w:t>
      </w:r>
      <w:r w:rsidRPr="00AA3090">
        <w:rPr>
          <w:lang w:val="en-US"/>
        </w:rPr>
        <w:t>P</w:t>
      </w:r>
      <w:r w:rsidRPr="003F4D0D">
        <w:rPr>
          <w:lang w:val="ru-RU"/>
        </w:rPr>
        <w:t>. 281-315.</w:t>
      </w:r>
    </w:p>
  </w:footnote>
  <w:footnote w:id="68">
    <w:p w14:paraId="69FE175E" w14:textId="6C2FD82E" w:rsidR="00986688" w:rsidRPr="00F51137" w:rsidRDefault="00986688">
      <w:pPr>
        <w:pStyle w:val="a5"/>
        <w:rPr>
          <w:lang w:val="ru-RU"/>
        </w:rPr>
      </w:pPr>
      <w:r>
        <w:rPr>
          <w:rStyle w:val="a7"/>
        </w:rPr>
        <w:footnoteRef/>
      </w:r>
      <w:r>
        <w:t xml:space="preserve"> </w:t>
      </w:r>
      <w:r w:rsidRPr="00F51137">
        <w:t>Муслимова Э.Р. Венчурное финансирование высоких технологий: опыт зарубежных стран и современные тенденции : дис. ... канд. эконом. наук / Муслимова Эльвира Робертовна. – Москва, 2015.</w:t>
      </w:r>
    </w:p>
  </w:footnote>
  <w:footnote w:id="69">
    <w:p w14:paraId="50A955FF" w14:textId="16B017E6" w:rsidR="00986688" w:rsidRPr="00F51137" w:rsidRDefault="00986688">
      <w:pPr>
        <w:pStyle w:val="a5"/>
        <w:rPr>
          <w:lang w:val="ru-RU"/>
        </w:rPr>
      </w:pPr>
      <w:r>
        <w:rPr>
          <w:rStyle w:val="a7"/>
        </w:rPr>
        <w:footnoteRef/>
      </w:r>
      <w:r>
        <w:t xml:space="preserve"> </w:t>
      </w:r>
      <w:r w:rsidRPr="00F51137">
        <w:t>Далал А. Венчурный капитал для финансирования инновационных проектов в странах БРИКС : дис. ... канд. эконом. наук / Далал Ануп. – Москва, 2022.</w:t>
      </w:r>
    </w:p>
  </w:footnote>
  <w:footnote w:id="70">
    <w:p w14:paraId="2CA91BB4" w14:textId="6743A943" w:rsidR="00986688" w:rsidRPr="00B02609" w:rsidRDefault="00986688">
      <w:pPr>
        <w:pStyle w:val="a5"/>
        <w:rPr>
          <w:lang w:val="ru-RU"/>
        </w:rPr>
      </w:pPr>
      <w:r>
        <w:rPr>
          <w:rStyle w:val="a7"/>
        </w:rPr>
        <w:footnoteRef/>
      </w:r>
      <w:r>
        <w:t xml:space="preserve"> </w:t>
      </w:r>
      <w:r w:rsidRPr="00B02609">
        <w:t>Курило А.Е. Развитие малого и среднего предпринимательства в условиях формирования нового технологического уклада : дис. ... канд. эконом. наук / Курило Анастасия Евгеньевна. – Москва, 2018.</w:t>
      </w:r>
    </w:p>
  </w:footnote>
  <w:footnote w:id="71">
    <w:p w14:paraId="7158C1C2" w14:textId="1F0ED3C0" w:rsidR="00986688" w:rsidRPr="003F4D0D" w:rsidRDefault="00986688">
      <w:pPr>
        <w:pStyle w:val="a5"/>
      </w:pPr>
      <w:r>
        <w:rPr>
          <w:rStyle w:val="a7"/>
        </w:rPr>
        <w:footnoteRef/>
      </w:r>
      <w:r>
        <w:t xml:space="preserve"> </w:t>
      </w:r>
      <w:r w:rsidRPr="003F4D0D">
        <w:t xml:space="preserve">Синютин Л.П. Развитие венчурного финансирования в Российской Федерации в условиях изменившейся геополитической реальности: дис. ... канд. </w:t>
      </w:r>
      <w:r>
        <w:rPr>
          <w:lang w:val="ru-RU"/>
        </w:rPr>
        <w:t>н</w:t>
      </w:r>
      <w:r w:rsidRPr="003F4D0D">
        <w:t>аук</w:t>
      </w:r>
      <w:r w:rsidRPr="003F4D0D">
        <w:rPr>
          <w:lang w:val="ru-RU"/>
        </w:rPr>
        <w:t>:</w:t>
      </w:r>
      <w:r w:rsidRPr="003F4D0D">
        <w:t xml:space="preserve"> 00.00.00 / Синютин Леонид Петрович, — Москва: РАНХиГС, 2024.</w:t>
      </w:r>
    </w:p>
  </w:footnote>
  <w:footnote w:id="72">
    <w:p w14:paraId="38963206" w14:textId="2523F15F" w:rsidR="00986688" w:rsidRPr="008422E0" w:rsidRDefault="00986688">
      <w:pPr>
        <w:pStyle w:val="a5"/>
        <w:rPr>
          <w:lang w:val="en-US"/>
        </w:rPr>
      </w:pPr>
      <w:r>
        <w:rPr>
          <w:rStyle w:val="a7"/>
        </w:rPr>
        <w:footnoteRef/>
      </w:r>
      <w:r w:rsidRPr="003F4D0D">
        <w:rPr>
          <w:lang w:val="en-US"/>
        </w:rPr>
        <w:t xml:space="preserve"> Jensen, M.C. Eclipse of the Public Corporation. Harvard</w:t>
      </w:r>
      <w:r w:rsidRPr="008422E0">
        <w:rPr>
          <w:lang w:val="en-US"/>
        </w:rPr>
        <w:t xml:space="preserve"> </w:t>
      </w:r>
      <w:r w:rsidRPr="003F4D0D">
        <w:rPr>
          <w:lang w:val="en-US"/>
        </w:rPr>
        <w:t>Business</w:t>
      </w:r>
      <w:r w:rsidRPr="008422E0">
        <w:rPr>
          <w:lang w:val="en-US"/>
        </w:rPr>
        <w:t xml:space="preserve"> </w:t>
      </w:r>
      <w:r w:rsidRPr="003F4D0D">
        <w:rPr>
          <w:lang w:val="en-US"/>
        </w:rPr>
        <w:t>Review</w:t>
      </w:r>
      <w:r w:rsidRPr="008422E0">
        <w:rPr>
          <w:lang w:val="en-US"/>
        </w:rPr>
        <w:t xml:space="preserve">. — 1989. </w:t>
      </w:r>
    </w:p>
  </w:footnote>
  <w:footnote w:id="73">
    <w:p w14:paraId="3D0E68D1" w14:textId="1CFA27A1" w:rsidR="00986688" w:rsidRPr="008422E0" w:rsidRDefault="00986688">
      <w:pPr>
        <w:pStyle w:val="a5"/>
        <w:rPr>
          <w:lang w:val="en-US"/>
        </w:rPr>
      </w:pPr>
      <w:r>
        <w:rPr>
          <w:rStyle w:val="a7"/>
        </w:rPr>
        <w:footnoteRef/>
      </w:r>
      <w:r w:rsidRPr="00037683">
        <w:rPr>
          <w:lang w:val="en-US"/>
        </w:rPr>
        <w:t xml:space="preserve"> Kaplan, S.N., Strömberg, P. Leveraged Buyouts and Private Equity</w:t>
      </w:r>
      <w:r>
        <w:rPr>
          <w:lang w:val="en-US"/>
        </w:rPr>
        <w:t xml:space="preserve">. </w:t>
      </w:r>
      <w:r w:rsidRPr="00037683">
        <w:rPr>
          <w:lang w:val="en-US"/>
        </w:rPr>
        <w:t>Journal</w:t>
      </w:r>
      <w:r w:rsidRPr="008422E0">
        <w:rPr>
          <w:lang w:val="en-US"/>
        </w:rPr>
        <w:t xml:space="preserve"> </w:t>
      </w:r>
      <w:r w:rsidRPr="00037683">
        <w:rPr>
          <w:lang w:val="en-US"/>
        </w:rPr>
        <w:t>of</w:t>
      </w:r>
      <w:r w:rsidRPr="008422E0">
        <w:rPr>
          <w:lang w:val="en-US"/>
        </w:rPr>
        <w:t xml:space="preserve"> </w:t>
      </w:r>
      <w:r w:rsidRPr="00037683">
        <w:rPr>
          <w:lang w:val="en-US"/>
        </w:rPr>
        <w:t>Economic</w:t>
      </w:r>
      <w:r w:rsidRPr="008422E0">
        <w:rPr>
          <w:lang w:val="en-US"/>
        </w:rPr>
        <w:t xml:space="preserve"> </w:t>
      </w:r>
      <w:r w:rsidRPr="00037683">
        <w:rPr>
          <w:lang w:val="en-US"/>
        </w:rPr>
        <w:t>Perspectives</w:t>
      </w:r>
      <w:r w:rsidRPr="008422E0">
        <w:rPr>
          <w:lang w:val="en-US"/>
        </w:rPr>
        <w:t xml:space="preserve">. — 2009. — </w:t>
      </w:r>
      <w:r w:rsidRPr="00037683">
        <w:rPr>
          <w:lang w:val="en-US"/>
        </w:rPr>
        <w:t>Vol</w:t>
      </w:r>
      <w:r w:rsidRPr="008422E0">
        <w:rPr>
          <w:lang w:val="en-US"/>
        </w:rPr>
        <w:t xml:space="preserve">. 23, </w:t>
      </w:r>
      <w:r w:rsidRPr="00037683">
        <w:rPr>
          <w:lang w:val="en-US"/>
        </w:rPr>
        <w:t>No</w:t>
      </w:r>
      <w:r w:rsidRPr="008422E0">
        <w:rPr>
          <w:lang w:val="en-US"/>
        </w:rPr>
        <w:t xml:space="preserve">. 1. — </w:t>
      </w:r>
      <w:r w:rsidRPr="00037683">
        <w:rPr>
          <w:lang w:val="en-US"/>
        </w:rPr>
        <w:t>P</w:t>
      </w:r>
      <w:r w:rsidRPr="008422E0">
        <w:rPr>
          <w:lang w:val="en-US"/>
        </w:rPr>
        <w:t>. 121-146.</w:t>
      </w:r>
    </w:p>
  </w:footnote>
  <w:footnote w:id="74">
    <w:p w14:paraId="7891D284" w14:textId="0C16B6CC" w:rsidR="00986688" w:rsidRPr="00037683" w:rsidRDefault="00986688">
      <w:pPr>
        <w:pStyle w:val="a5"/>
        <w:rPr>
          <w:lang w:val="en-US"/>
        </w:rPr>
      </w:pPr>
      <w:r>
        <w:rPr>
          <w:rStyle w:val="a7"/>
        </w:rPr>
        <w:footnoteRef/>
      </w:r>
      <w:r w:rsidRPr="00037683">
        <w:rPr>
          <w:lang w:val="en-US"/>
        </w:rPr>
        <w:t xml:space="preserve"> Kaplan, S.N., Schoar, A. Private Equity Performance: Returns, Persistence, and Capital Flows // The Journal of Finance. — 2005. — Vol. 60, No. 4. — P. 1791-1823.</w:t>
      </w:r>
    </w:p>
  </w:footnote>
  <w:footnote w:id="75">
    <w:p w14:paraId="2A7A0F02" w14:textId="236F7E29" w:rsidR="00986688" w:rsidRPr="00B67F72" w:rsidRDefault="00986688">
      <w:pPr>
        <w:pStyle w:val="a5"/>
        <w:rPr>
          <w:lang w:val="ru-RU"/>
        </w:rPr>
      </w:pPr>
      <w:r>
        <w:rPr>
          <w:rStyle w:val="a7"/>
        </w:rPr>
        <w:footnoteRef/>
      </w:r>
      <w:r>
        <w:t xml:space="preserve"> </w:t>
      </w:r>
      <w:r w:rsidRPr="00037683">
        <w:t>Гусева О.А.</w:t>
      </w:r>
      <w:r>
        <w:rPr>
          <w:lang w:val="ru-RU"/>
        </w:rPr>
        <w:t xml:space="preserve"> </w:t>
      </w:r>
      <w:r w:rsidRPr="00037683">
        <w:rPr>
          <w:lang w:val="ru-RU"/>
        </w:rPr>
        <w:t>Финансирование малых и средних технологических компаний в России: гранты и собственный капитал</w:t>
      </w:r>
      <w:r>
        <w:rPr>
          <w:lang w:val="ru-RU"/>
        </w:rPr>
        <w:t xml:space="preserve">. </w:t>
      </w:r>
      <w:r w:rsidRPr="003F4D0D">
        <w:t xml:space="preserve">: дис. ... канд. </w:t>
      </w:r>
      <w:r>
        <w:rPr>
          <w:lang w:val="ru-RU"/>
        </w:rPr>
        <w:t>н</w:t>
      </w:r>
      <w:r w:rsidRPr="003F4D0D">
        <w:t>аук</w:t>
      </w:r>
      <w:r w:rsidRPr="003F4D0D">
        <w:rPr>
          <w:lang w:val="ru-RU"/>
        </w:rPr>
        <w:t>:</w:t>
      </w:r>
      <w:r w:rsidRPr="003F4D0D">
        <w:t xml:space="preserve"> 00.00.00 /</w:t>
      </w:r>
      <w:r>
        <w:rPr>
          <w:lang w:val="ru-RU"/>
        </w:rPr>
        <w:t xml:space="preserve"> </w:t>
      </w:r>
      <w:r w:rsidRPr="00B67F72">
        <w:rPr>
          <w:color w:val="000000"/>
        </w:rPr>
        <w:t>Гусева Ольга Александровна</w:t>
      </w:r>
      <w:r>
        <w:rPr>
          <w:color w:val="000000"/>
        </w:rPr>
        <w:t>, — Москва, 2024.</w:t>
      </w:r>
    </w:p>
  </w:footnote>
  <w:footnote w:id="76">
    <w:p w14:paraId="5A2FD48E" w14:textId="68F684BD" w:rsidR="00986688" w:rsidRPr="008A0DBE" w:rsidRDefault="00986688" w:rsidP="008A0DBE">
      <w:pPr>
        <w:pBdr>
          <w:top w:val="nil"/>
          <w:left w:val="nil"/>
          <w:bottom w:val="nil"/>
          <w:right w:val="nil"/>
          <w:between w:val="nil"/>
        </w:pBdr>
        <w:rPr>
          <w:color w:val="000000"/>
          <w:sz w:val="20"/>
          <w:szCs w:val="20"/>
          <w:lang w:val="en-US"/>
        </w:rPr>
      </w:pPr>
      <w:r>
        <w:rPr>
          <w:rStyle w:val="a7"/>
        </w:rPr>
        <w:footnoteRef/>
      </w:r>
      <w:r w:rsidRPr="00052A0A">
        <w:rPr>
          <w:lang w:val="en-US"/>
        </w:rPr>
        <w:t xml:space="preserve"> </w:t>
      </w:r>
      <w:r w:rsidRPr="0086614D">
        <w:rPr>
          <w:color w:val="000000"/>
          <w:sz w:val="20"/>
          <w:szCs w:val="20"/>
          <w:lang w:val="en-US"/>
        </w:rPr>
        <w:t>Rock K. Why New Issues Are Underpriced. Journal</w:t>
      </w:r>
      <w:r w:rsidRPr="008422E0">
        <w:rPr>
          <w:color w:val="000000"/>
          <w:sz w:val="20"/>
          <w:szCs w:val="20"/>
          <w:lang w:val="en-US"/>
        </w:rPr>
        <w:t xml:space="preserve"> </w:t>
      </w:r>
      <w:r w:rsidRPr="0086614D">
        <w:rPr>
          <w:color w:val="000000"/>
          <w:sz w:val="20"/>
          <w:szCs w:val="20"/>
          <w:lang w:val="en-US"/>
        </w:rPr>
        <w:t>of</w:t>
      </w:r>
      <w:r w:rsidRPr="008422E0">
        <w:rPr>
          <w:color w:val="000000"/>
          <w:sz w:val="20"/>
          <w:szCs w:val="20"/>
          <w:lang w:val="en-US"/>
        </w:rPr>
        <w:t xml:space="preserve"> </w:t>
      </w:r>
      <w:r w:rsidRPr="0086614D">
        <w:rPr>
          <w:color w:val="000000"/>
          <w:sz w:val="20"/>
          <w:szCs w:val="20"/>
          <w:lang w:val="en-US"/>
        </w:rPr>
        <w:t>Financial</w:t>
      </w:r>
      <w:r w:rsidRPr="008422E0">
        <w:rPr>
          <w:color w:val="000000"/>
          <w:sz w:val="20"/>
          <w:szCs w:val="20"/>
          <w:lang w:val="en-US"/>
        </w:rPr>
        <w:t xml:space="preserve"> </w:t>
      </w:r>
      <w:r w:rsidRPr="0086614D">
        <w:rPr>
          <w:color w:val="000000"/>
          <w:sz w:val="20"/>
          <w:szCs w:val="20"/>
          <w:lang w:val="en-US"/>
        </w:rPr>
        <w:t>Economics</w:t>
      </w:r>
      <w:r w:rsidRPr="008422E0">
        <w:rPr>
          <w:color w:val="000000"/>
          <w:sz w:val="20"/>
          <w:szCs w:val="20"/>
          <w:lang w:val="en-US"/>
        </w:rPr>
        <w:t>, 1986.</w:t>
      </w:r>
    </w:p>
  </w:footnote>
  <w:footnote w:id="77">
    <w:p w14:paraId="621A230E" w14:textId="3CDF13B1" w:rsidR="00986688" w:rsidRPr="008A0DBE" w:rsidRDefault="00986688" w:rsidP="008A0DBE">
      <w:pPr>
        <w:pBdr>
          <w:top w:val="nil"/>
          <w:left w:val="nil"/>
          <w:bottom w:val="nil"/>
          <w:right w:val="nil"/>
          <w:between w:val="nil"/>
        </w:pBdr>
        <w:rPr>
          <w:color w:val="000000"/>
          <w:sz w:val="20"/>
          <w:szCs w:val="20"/>
          <w:lang w:val="en-US"/>
        </w:rPr>
      </w:pPr>
      <w:r>
        <w:rPr>
          <w:vertAlign w:val="superscript"/>
        </w:rPr>
        <w:footnoteRef/>
      </w:r>
      <w:r w:rsidRPr="0086614D">
        <w:rPr>
          <w:color w:val="000000"/>
          <w:sz w:val="20"/>
          <w:szCs w:val="20"/>
          <w:lang w:val="en-US"/>
        </w:rPr>
        <w:t xml:space="preserve"> Leland H., Pyle D. Informational Asymmetries, Financial Structure, and Financial Intermediation. Journal of Finance, 1977. </w:t>
      </w:r>
    </w:p>
  </w:footnote>
  <w:footnote w:id="78">
    <w:p w14:paraId="16343079" w14:textId="640D6D82" w:rsidR="00986688" w:rsidRPr="008A0DBE" w:rsidRDefault="00986688">
      <w:pPr>
        <w:pStyle w:val="a5"/>
        <w:rPr>
          <w:lang w:val="en-US"/>
        </w:rPr>
      </w:pPr>
      <w:r>
        <w:rPr>
          <w:rStyle w:val="a7"/>
        </w:rPr>
        <w:footnoteRef/>
      </w:r>
      <w:r w:rsidRPr="008A0DBE">
        <w:rPr>
          <w:lang w:val="en-US"/>
        </w:rPr>
        <w:t xml:space="preserve"> </w:t>
      </w:r>
      <w:r w:rsidRPr="0086614D">
        <w:rPr>
          <w:color w:val="000000"/>
          <w:lang w:val="en-US"/>
        </w:rPr>
        <w:t>Ritter J. The Hot Issue Market. Journal of Business, 1984.</w:t>
      </w:r>
    </w:p>
  </w:footnote>
  <w:footnote w:id="79">
    <w:p w14:paraId="10772A47" w14:textId="3148404F" w:rsidR="00986688" w:rsidRPr="008A0DBE" w:rsidRDefault="00986688" w:rsidP="008A0DBE">
      <w:pPr>
        <w:pBdr>
          <w:top w:val="nil"/>
          <w:left w:val="nil"/>
          <w:bottom w:val="nil"/>
          <w:right w:val="nil"/>
          <w:between w:val="nil"/>
        </w:pBdr>
        <w:rPr>
          <w:color w:val="000000"/>
          <w:sz w:val="20"/>
          <w:szCs w:val="20"/>
          <w:lang w:val="en-US"/>
        </w:rPr>
      </w:pPr>
      <w:r>
        <w:rPr>
          <w:rStyle w:val="a7"/>
        </w:rPr>
        <w:footnoteRef/>
      </w:r>
      <w:r w:rsidRPr="008A0DBE">
        <w:rPr>
          <w:lang w:val="en-US"/>
        </w:rPr>
        <w:t xml:space="preserve"> </w:t>
      </w:r>
      <w:r w:rsidRPr="0086614D">
        <w:rPr>
          <w:color w:val="000000"/>
          <w:sz w:val="20"/>
          <w:szCs w:val="20"/>
          <w:lang w:val="en-US"/>
        </w:rPr>
        <w:t>Ljungqvist A., Nanda V., Singh R. Hot Markets, Investor Sentiment, and IPO Pricing. Journal of Business, 2006.</w:t>
      </w:r>
    </w:p>
  </w:footnote>
  <w:footnote w:id="80">
    <w:p w14:paraId="46F9501C" w14:textId="37D8C75C" w:rsidR="00986688" w:rsidRPr="008A0DBE" w:rsidRDefault="00986688" w:rsidP="008A0DBE">
      <w:pPr>
        <w:pBdr>
          <w:top w:val="nil"/>
          <w:left w:val="nil"/>
          <w:bottom w:val="nil"/>
          <w:right w:val="nil"/>
          <w:between w:val="nil"/>
        </w:pBdr>
        <w:rPr>
          <w:color w:val="000000"/>
          <w:sz w:val="20"/>
          <w:szCs w:val="20"/>
          <w:lang w:val="en-US"/>
        </w:rPr>
      </w:pPr>
      <w:r>
        <w:rPr>
          <w:rStyle w:val="a7"/>
        </w:rPr>
        <w:footnoteRef/>
      </w:r>
      <w:r w:rsidRPr="008A0DBE">
        <w:rPr>
          <w:lang w:val="en-US"/>
        </w:rPr>
        <w:t xml:space="preserve"> </w:t>
      </w:r>
      <w:r w:rsidRPr="0086614D">
        <w:rPr>
          <w:color w:val="000000"/>
          <w:sz w:val="20"/>
          <w:szCs w:val="20"/>
          <w:lang w:val="en-US"/>
        </w:rPr>
        <w:t>Rossovski J., Lucey B., Helbing P. Determinants of IPO Overpricing. British Journal of Management, 2025.</w:t>
      </w:r>
    </w:p>
  </w:footnote>
  <w:footnote w:id="81">
    <w:p w14:paraId="6E03F977" w14:textId="6E0902BC" w:rsidR="00986688" w:rsidRPr="005729C8" w:rsidRDefault="00986688">
      <w:pPr>
        <w:pStyle w:val="a5"/>
        <w:rPr>
          <w:lang w:val="ru-RU"/>
        </w:rPr>
      </w:pPr>
      <w:r>
        <w:rPr>
          <w:rStyle w:val="a7"/>
        </w:rPr>
        <w:footnoteRef/>
      </w:r>
      <w:r w:rsidRPr="008A0DBE">
        <w:rPr>
          <w:lang w:val="en-US"/>
        </w:rPr>
        <w:t xml:space="preserve"> </w:t>
      </w:r>
      <w:r w:rsidRPr="0086614D">
        <w:rPr>
          <w:color w:val="000000"/>
          <w:lang w:val="en-US"/>
        </w:rPr>
        <w:t xml:space="preserve">Baker E.D., Boulton T.J., Braga-Alves M.V. ESG Government Risk and International IPO Underpricing. </w:t>
      </w:r>
      <w:r w:rsidRPr="008A0DBE">
        <w:rPr>
          <w:color w:val="000000"/>
          <w:lang w:val="en-US"/>
        </w:rPr>
        <w:t>Journal</w:t>
      </w:r>
      <w:r w:rsidRPr="005729C8">
        <w:rPr>
          <w:color w:val="000000"/>
          <w:lang w:val="ru-RU"/>
        </w:rPr>
        <w:t xml:space="preserve"> </w:t>
      </w:r>
      <w:r w:rsidRPr="008A0DBE">
        <w:rPr>
          <w:color w:val="000000"/>
          <w:lang w:val="en-US"/>
        </w:rPr>
        <w:t>of</w:t>
      </w:r>
      <w:r w:rsidRPr="005729C8">
        <w:rPr>
          <w:color w:val="000000"/>
          <w:lang w:val="ru-RU"/>
        </w:rPr>
        <w:t xml:space="preserve"> </w:t>
      </w:r>
      <w:r w:rsidRPr="008A0DBE">
        <w:rPr>
          <w:color w:val="000000"/>
          <w:lang w:val="en-US"/>
        </w:rPr>
        <w:t>Corporate</w:t>
      </w:r>
      <w:r w:rsidRPr="005729C8">
        <w:rPr>
          <w:color w:val="000000"/>
          <w:lang w:val="ru-RU"/>
        </w:rPr>
        <w:t xml:space="preserve"> </w:t>
      </w:r>
      <w:r w:rsidRPr="008A0DBE">
        <w:rPr>
          <w:color w:val="000000"/>
          <w:lang w:val="en-US"/>
        </w:rPr>
        <w:t>Finance</w:t>
      </w:r>
      <w:r w:rsidRPr="005729C8">
        <w:rPr>
          <w:color w:val="000000"/>
          <w:lang w:val="ru-RU"/>
        </w:rPr>
        <w:t>, 2021.</w:t>
      </w:r>
    </w:p>
  </w:footnote>
  <w:footnote w:id="82">
    <w:p w14:paraId="03A5AC57" w14:textId="7B1FE585" w:rsidR="00986688" w:rsidRPr="005729C8" w:rsidRDefault="00986688">
      <w:pPr>
        <w:pStyle w:val="a5"/>
        <w:rPr>
          <w:lang w:val="ru-RU"/>
        </w:rPr>
      </w:pPr>
      <w:r>
        <w:rPr>
          <w:rStyle w:val="a7"/>
        </w:rPr>
        <w:footnoteRef/>
      </w:r>
      <w:r>
        <w:t xml:space="preserve"> </w:t>
      </w:r>
      <w:r w:rsidRPr="005729C8">
        <w:t>Абгарян</w:t>
      </w:r>
      <w:r w:rsidRPr="005729C8">
        <w:rPr>
          <w:lang w:val="ru-RU"/>
        </w:rPr>
        <w:t xml:space="preserve"> </w:t>
      </w:r>
      <w:r w:rsidRPr="005729C8">
        <w:t>А</w:t>
      </w:r>
      <w:r w:rsidRPr="005729C8">
        <w:rPr>
          <w:lang w:val="ru-RU"/>
        </w:rPr>
        <w:t xml:space="preserve">. </w:t>
      </w:r>
      <w:r w:rsidRPr="005729C8">
        <w:t>А</w:t>
      </w:r>
      <w:r w:rsidRPr="005729C8">
        <w:rPr>
          <w:lang w:val="ru-RU"/>
        </w:rPr>
        <w:t>.</w:t>
      </w:r>
      <w:r w:rsidRPr="005729C8">
        <w:t xml:space="preserve"> Развитие российского рынка акционерного капитала в современных условиях</w:t>
      </w:r>
      <w:r>
        <w:rPr>
          <w:color w:val="000000"/>
        </w:rPr>
        <w:t xml:space="preserve">: дис. ... канд. эконом. наук: </w:t>
      </w:r>
      <w:r w:rsidRPr="005729C8">
        <w:rPr>
          <w:color w:val="000000"/>
        </w:rPr>
        <w:t>08.00.10</w:t>
      </w:r>
      <w:r w:rsidRPr="005729C8">
        <w:rPr>
          <w:color w:val="000000"/>
          <w:lang w:val="ru-RU"/>
        </w:rPr>
        <w:t xml:space="preserve"> </w:t>
      </w:r>
      <w:r>
        <w:rPr>
          <w:color w:val="000000"/>
        </w:rPr>
        <w:t>/</w:t>
      </w:r>
      <w:r w:rsidRPr="005729C8">
        <w:rPr>
          <w:lang w:val="ru-RU"/>
        </w:rPr>
        <w:t xml:space="preserve"> </w:t>
      </w:r>
      <w:r w:rsidRPr="005729C8">
        <w:t>Абгарян Арам Арменович</w:t>
      </w:r>
      <w:r>
        <w:rPr>
          <w:color w:val="000000"/>
        </w:rPr>
        <w:t>, — Москва, 20</w:t>
      </w:r>
      <w:r>
        <w:rPr>
          <w:color w:val="000000"/>
          <w:lang w:val="ru-RU"/>
        </w:rPr>
        <w:t>1</w:t>
      </w:r>
      <w:r>
        <w:rPr>
          <w:color w:val="000000"/>
        </w:rPr>
        <w:t>5.</w:t>
      </w:r>
    </w:p>
  </w:footnote>
  <w:footnote w:id="83">
    <w:p w14:paraId="654EFB3D" w14:textId="38C47251" w:rsidR="00986688" w:rsidRPr="009C6219" w:rsidRDefault="00986688">
      <w:pPr>
        <w:pStyle w:val="a5"/>
        <w:rPr>
          <w:lang w:val="ru-RU"/>
        </w:rPr>
      </w:pPr>
      <w:r>
        <w:rPr>
          <w:rStyle w:val="a7"/>
        </w:rPr>
        <w:footnoteRef/>
      </w:r>
      <w:r>
        <w:t xml:space="preserve"> </w:t>
      </w:r>
      <w:r w:rsidRPr="009C6219">
        <w:t>Мусихина Е</w:t>
      </w:r>
      <w:r w:rsidRPr="009C6219">
        <w:rPr>
          <w:lang w:val="ru-RU"/>
        </w:rPr>
        <w:t>.</w:t>
      </w:r>
      <w:r w:rsidRPr="009C6219">
        <w:t xml:space="preserve"> А</w:t>
      </w:r>
      <w:r w:rsidRPr="009C6219">
        <w:rPr>
          <w:lang w:val="ru-RU"/>
        </w:rPr>
        <w:t>.</w:t>
      </w:r>
      <w:r w:rsidRPr="009C6219">
        <w:t xml:space="preserve"> Факторы, определяющие динамику процесса первоначального размещения акций на мировом рынке ценных бумаг в условиях глобализации</w:t>
      </w:r>
      <w:r>
        <w:rPr>
          <w:color w:val="000000"/>
        </w:rPr>
        <w:t xml:space="preserve">: дис. ... канд. эконом. наук: </w:t>
      </w:r>
      <w:r w:rsidRPr="005729C8">
        <w:rPr>
          <w:color w:val="000000"/>
        </w:rPr>
        <w:t>08.00.1</w:t>
      </w:r>
      <w:r w:rsidRPr="009C6219">
        <w:rPr>
          <w:color w:val="000000"/>
          <w:lang w:val="ru-RU"/>
        </w:rPr>
        <w:t>4</w:t>
      </w:r>
      <w:r w:rsidRPr="005729C8">
        <w:rPr>
          <w:color w:val="000000"/>
          <w:lang w:val="ru-RU"/>
        </w:rPr>
        <w:t xml:space="preserve"> </w:t>
      </w:r>
      <w:r>
        <w:rPr>
          <w:color w:val="000000"/>
        </w:rPr>
        <w:t>/</w:t>
      </w:r>
      <w:r w:rsidRPr="005729C8">
        <w:rPr>
          <w:lang w:val="ru-RU"/>
        </w:rPr>
        <w:t xml:space="preserve"> </w:t>
      </w:r>
      <w:r w:rsidRPr="009C6219">
        <w:t>Мусихина</w:t>
      </w:r>
      <w:r w:rsidRPr="009C6219">
        <w:rPr>
          <w:lang w:val="ru-RU"/>
        </w:rPr>
        <w:t xml:space="preserve"> </w:t>
      </w:r>
      <w:r w:rsidRPr="009C6219">
        <w:t>Екатерина Александровна</w:t>
      </w:r>
      <w:r>
        <w:rPr>
          <w:color w:val="000000"/>
        </w:rPr>
        <w:t>, — Москва, 20</w:t>
      </w:r>
      <w:r>
        <w:rPr>
          <w:color w:val="000000"/>
          <w:lang w:val="ru-RU"/>
        </w:rPr>
        <w:t>17</w:t>
      </w:r>
      <w:r>
        <w:rPr>
          <w:color w:val="000000"/>
        </w:rPr>
        <w:t>.</w:t>
      </w:r>
    </w:p>
  </w:footnote>
  <w:footnote w:id="84">
    <w:p w14:paraId="177E7C96" w14:textId="203F53B7" w:rsidR="00986688" w:rsidRPr="009C6219" w:rsidRDefault="00986688">
      <w:pPr>
        <w:pStyle w:val="a5"/>
      </w:pPr>
      <w:r>
        <w:rPr>
          <w:rStyle w:val="a7"/>
        </w:rPr>
        <w:footnoteRef/>
      </w:r>
      <w:r>
        <w:t xml:space="preserve"> </w:t>
      </w:r>
      <w:r w:rsidRPr="009C6219">
        <w:t xml:space="preserve">Самылов И.О. Финансирование инновационно-ориентированной компании через механизм IPO: дис. ... канд. эконом. </w:t>
      </w:r>
      <w:r>
        <w:rPr>
          <w:lang w:val="ru-RU"/>
        </w:rPr>
        <w:t>н</w:t>
      </w:r>
      <w:r w:rsidRPr="009C6219">
        <w:t>аук</w:t>
      </w:r>
      <w:r w:rsidRPr="009C6219">
        <w:rPr>
          <w:lang w:val="ru-RU"/>
        </w:rPr>
        <w:t>: 08.00.05</w:t>
      </w:r>
      <w:r w:rsidRPr="009C6219">
        <w:t xml:space="preserve"> / Самылов Иван Олегович, — Москва, 2021.</w:t>
      </w:r>
    </w:p>
  </w:footnote>
  <w:footnote w:id="85">
    <w:p w14:paraId="0B948621" w14:textId="1833C5B2" w:rsidR="00986688" w:rsidRPr="009C6219" w:rsidRDefault="00986688">
      <w:pPr>
        <w:pStyle w:val="a5"/>
        <w:rPr>
          <w:lang w:val="ru-RU"/>
        </w:rPr>
      </w:pPr>
      <w:r>
        <w:rPr>
          <w:rStyle w:val="a7"/>
        </w:rPr>
        <w:footnoteRef/>
      </w:r>
      <w:r>
        <w:t xml:space="preserve"> </w:t>
      </w:r>
      <w:r w:rsidRPr="009C6219">
        <w:t xml:space="preserve">Шестакова Е.Д. Формирование стоимости российских компаний на основе акционирования в условиях цифровой экономики: дис. ... канд. эконом. </w:t>
      </w:r>
      <w:r>
        <w:rPr>
          <w:lang w:val="ru-RU"/>
        </w:rPr>
        <w:t>н</w:t>
      </w:r>
      <w:r w:rsidRPr="009C6219">
        <w:t>аук</w:t>
      </w:r>
      <w:r w:rsidRPr="009C6219">
        <w:rPr>
          <w:lang w:val="ru-RU"/>
        </w:rPr>
        <w:t>: 00.00.00</w:t>
      </w:r>
      <w:r w:rsidRPr="009C6219">
        <w:t xml:space="preserve"> / Шестакова Елизавета Дмитриевна, — Москва, 2024.</w:t>
      </w:r>
    </w:p>
  </w:footnote>
  <w:footnote w:id="86">
    <w:p w14:paraId="25101132" w14:textId="500E3158" w:rsidR="00986688" w:rsidRPr="009C6219" w:rsidRDefault="00986688">
      <w:pPr>
        <w:pStyle w:val="a5"/>
      </w:pPr>
      <w:r>
        <w:rPr>
          <w:rStyle w:val="a7"/>
        </w:rPr>
        <w:footnoteRef/>
      </w:r>
      <w:r>
        <w:t xml:space="preserve"> </w:t>
      </w:r>
      <w:r w:rsidRPr="009C6219">
        <w:t>Земскова И.М. Управление капитализацией публичных компаний: дис. ... канд. эконом. наук / Земскова Ирина Михайловна, — Москва, 2024.</w:t>
      </w:r>
    </w:p>
  </w:footnote>
  <w:footnote w:id="87">
    <w:p w14:paraId="3464AE25" w14:textId="53F16156" w:rsidR="00986688" w:rsidRPr="009C6219" w:rsidRDefault="00986688">
      <w:pPr>
        <w:pStyle w:val="a5"/>
        <w:rPr>
          <w:lang w:val="ru-RU"/>
        </w:rPr>
      </w:pPr>
      <w:r>
        <w:rPr>
          <w:rStyle w:val="a7"/>
        </w:rPr>
        <w:footnoteRef/>
      </w:r>
      <w:r>
        <w:t xml:space="preserve"> </w:t>
      </w:r>
      <w:r w:rsidRPr="009C6219">
        <w:t>Гарбави М.А.Х. Управление капитализацией публичных компаний: дис. ... канд. эконом. наук / Гарбави Мохамад Али Хусейн, — Москва, 2019.</w:t>
      </w:r>
    </w:p>
  </w:footnote>
  <w:footnote w:id="88">
    <w:p w14:paraId="15CBDAF9" w14:textId="4A5A201A" w:rsidR="00986688" w:rsidRPr="00F51137" w:rsidRDefault="00986688">
      <w:pPr>
        <w:pStyle w:val="a5"/>
      </w:pPr>
      <w:r>
        <w:rPr>
          <w:rStyle w:val="a7"/>
        </w:rPr>
        <w:footnoteRef/>
      </w:r>
      <w:r>
        <w:t xml:space="preserve"> </w:t>
      </w:r>
      <w:r w:rsidRPr="00F51137">
        <w:t>Почитаев А.Ю. Финансовая стратегия публичной компании: дис. ... канд. эконом. наук / Почитаев Артём Юрьевич, — Москва, 2018.</w:t>
      </w:r>
    </w:p>
  </w:footnote>
  <w:footnote w:id="89">
    <w:p w14:paraId="2B52688E" w14:textId="2A24536E" w:rsidR="00986688" w:rsidRPr="00F51137" w:rsidRDefault="00986688">
      <w:pPr>
        <w:pStyle w:val="a5"/>
      </w:pPr>
      <w:r>
        <w:rPr>
          <w:rStyle w:val="a7"/>
        </w:rPr>
        <w:footnoteRef/>
      </w:r>
      <w:r>
        <w:t xml:space="preserve"> </w:t>
      </w:r>
      <w:r>
        <w:rPr>
          <w:color w:val="000000"/>
        </w:rPr>
        <w:t>Тоноян Р. Г. Формирование стоимости компаний при публичном привлечении акционерного капитала в условиях трансформации экономики: дис. ... канд. эконом. наук: 00.00.00 / Тоноян Рубик Гарикович, — Москва, 2025.</w:t>
      </w:r>
    </w:p>
  </w:footnote>
  <w:footnote w:id="90">
    <w:p w14:paraId="14FB5928" w14:textId="0F540EBF" w:rsidR="00986688" w:rsidRPr="000C06B5" w:rsidRDefault="00986688">
      <w:pPr>
        <w:pStyle w:val="a5"/>
        <w:rPr>
          <w:lang w:val="en-US"/>
        </w:rPr>
      </w:pPr>
      <w:r>
        <w:rPr>
          <w:rStyle w:val="a7"/>
        </w:rPr>
        <w:footnoteRef/>
      </w:r>
      <w:r w:rsidRPr="000C06B5">
        <w:rPr>
          <w:lang w:val="en-US"/>
        </w:rPr>
        <w:t xml:space="preserve"> Akerlof, G.A. The Market for "Lemons": Quality Uncertainty and the Market Mechanism</w:t>
      </w:r>
      <w:r>
        <w:rPr>
          <w:lang w:val="en-US"/>
        </w:rPr>
        <w:t xml:space="preserve">. </w:t>
      </w:r>
      <w:r w:rsidRPr="000C06B5">
        <w:rPr>
          <w:lang w:val="en-US"/>
        </w:rPr>
        <w:t>The Quarterly Journal of Economics. — 1970. — Vol. 84, No. 3. — P. 488-500.</w:t>
      </w:r>
    </w:p>
  </w:footnote>
  <w:footnote w:id="91">
    <w:p w14:paraId="1663DCB0" w14:textId="25D143CC" w:rsidR="00986688" w:rsidRPr="000C06B5" w:rsidRDefault="00986688">
      <w:pPr>
        <w:pStyle w:val="a5"/>
        <w:rPr>
          <w:lang w:val="en-US"/>
        </w:rPr>
      </w:pPr>
      <w:r>
        <w:rPr>
          <w:rStyle w:val="a7"/>
        </w:rPr>
        <w:footnoteRef/>
      </w:r>
      <w:r w:rsidRPr="000C06B5">
        <w:rPr>
          <w:lang w:val="en-US"/>
        </w:rPr>
        <w:t xml:space="preserve"> Spence, M. Job Market Signaling // The Quarterly Journal of Economics. — 1973. — Vol. 87, No. 3. — P. 355-374.</w:t>
      </w:r>
    </w:p>
  </w:footnote>
  <w:footnote w:id="92">
    <w:p w14:paraId="67166D27" w14:textId="72234275" w:rsidR="00986688" w:rsidRPr="000C06B5" w:rsidRDefault="00986688">
      <w:pPr>
        <w:pStyle w:val="a5"/>
        <w:rPr>
          <w:lang w:val="en-US"/>
        </w:rPr>
      </w:pPr>
      <w:r>
        <w:rPr>
          <w:rStyle w:val="a7"/>
        </w:rPr>
        <w:footnoteRef/>
      </w:r>
      <w:r w:rsidRPr="000C06B5">
        <w:rPr>
          <w:lang w:val="en-US"/>
        </w:rPr>
        <w:t xml:space="preserve"> </w:t>
      </w:r>
      <w:r w:rsidRPr="00730D41">
        <w:rPr>
          <w:lang w:val="en-US"/>
        </w:rPr>
        <w:t>Myers, S.C., Majluf, N.S. Corporate Financing and Investment Decisions When Firms Have Information That Investors Do Not Have // Journal of Financial Economics. — 1984. — Vol. 13, No. 2. — P. 187-221.</w:t>
      </w:r>
    </w:p>
  </w:footnote>
  <w:footnote w:id="93">
    <w:p w14:paraId="15381F85" w14:textId="67F2C14D" w:rsidR="00986688" w:rsidRPr="00730D41" w:rsidRDefault="00986688">
      <w:pPr>
        <w:pStyle w:val="a5"/>
        <w:rPr>
          <w:lang w:val="en-US"/>
        </w:rPr>
      </w:pPr>
      <w:r>
        <w:rPr>
          <w:rStyle w:val="a7"/>
        </w:rPr>
        <w:footnoteRef/>
      </w:r>
      <w:r w:rsidRPr="00730D41">
        <w:rPr>
          <w:lang w:val="en-US"/>
        </w:rPr>
        <w:t xml:space="preserve"> </w:t>
      </w:r>
      <w:r w:rsidRPr="00C122AD">
        <w:rPr>
          <w:lang w:val="en-US"/>
        </w:rPr>
        <w:t>Jensen, M.C., Meckling, W.H. Theory of the Firm: Managerial Behavior, Agency Costs and Ownership Structure // Journal of Financial Economics. — 1976. — Vol. 3, No. 4. — P. 305-360.</w:t>
      </w:r>
    </w:p>
  </w:footnote>
  <w:footnote w:id="94">
    <w:p w14:paraId="46FCCF5C" w14:textId="1F8B49A4" w:rsidR="00986688" w:rsidRPr="00C122AD" w:rsidRDefault="00986688">
      <w:pPr>
        <w:pStyle w:val="a5"/>
        <w:rPr>
          <w:lang w:val="en-US"/>
        </w:rPr>
      </w:pPr>
      <w:r>
        <w:rPr>
          <w:rStyle w:val="a7"/>
        </w:rPr>
        <w:footnoteRef/>
      </w:r>
      <w:r w:rsidRPr="00C122AD">
        <w:rPr>
          <w:lang w:val="en-US"/>
        </w:rPr>
        <w:t xml:space="preserve"> </w:t>
      </w:r>
      <w:r w:rsidRPr="007A3797">
        <w:rPr>
          <w:lang w:val="en-US"/>
        </w:rPr>
        <w:t>Saaty</w:t>
      </w:r>
      <w:r w:rsidRPr="00F51137">
        <w:rPr>
          <w:lang w:val="en-US"/>
        </w:rPr>
        <w:t xml:space="preserve"> </w:t>
      </w:r>
      <w:r w:rsidRPr="007A3797">
        <w:rPr>
          <w:lang w:val="en-US"/>
        </w:rPr>
        <w:t>T</w:t>
      </w:r>
      <w:r w:rsidRPr="00F51137">
        <w:rPr>
          <w:lang w:val="en-US"/>
        </w:rPr>
        <w:t xml:space="preserve">. </w:t>
      </w:r>
      <w:r w:rsidRPr="007A3797">
        <w:rPr>
          <w:lang w:val="en-US"/>
        </w:rPr>
        <w:t>L</w:t>
      </w:r>
      <w:r w:rsidRPr="00F51137">
        <w:rPr>
          <w:lang w:val="en-US"/>
        </w:rPr>
        <w:t xml:space="preserve">., </w:t>
      </w:r>
      <w:r w:rsidRPr="007A3797">
        <w:rPr>
          <w:lang w:val="en-US"/>
        </w:rPr>
        <w:t>Vargas</w:t>
      </w:r>
      <w:r w:rsidRPr="00F51137">
        <w:rPr>
          <w:lang w:val="en-US"/>
        </w:rPr>
        <w:t xml:space="preserve"> </w:t>
      </w:r>
      <w:r w:rsidRPr="007A3797">
        <w:rPr>
          <w:lang w:val="en-US"/>
        </w:rPr>
        <w:t>L</w:t>
      </w:r>
      <w:r w:rsidRPr="00F51137">
        <w:rPr>
          <w:lang w:val="en-US"/>
        </w:rPr>
        <w:t xml:space="preserve">. </w:t>
      </w:r>
      <w:r w:rsidRPr="007A3797">
        <w:rPr>
          <w:lang w:val="en-US"/>
        </w:rPr>
        <w:t>G</w:t>
      </w:r>
      <w:r w:rsidRPr="00F51137">
        <w:rPr>
          <w:lang w:val="en-US"/>
        </w:rPr>
        <w:t xml:space="preserve">. </w:t>
      </w:r>
      <w:r w:rsidRPr="007A3797">
        <w:rPr>
          <w:lang w:val="en-US"/>
        </w:rPr>
        <w:t>Models</w:t>
      </w:r>
      <w:r w:rsidRPr="00F51137">
        <w:rPr>
          <w:lang w:val="en-US"/>
        </w:rPr>
        <w:t xml:space="preserve">, </w:t>
      </w:r>
      <w:r w:rsidRPr="007A3797">
        <w:rPr>
          <w:lang w:val="en-US"/>
        </w:rPr>
        <w:t>Methods</w:t>
      </w:r>
      <w:r w:rsidRPr="00F51137">
        <w:rPr>
          <w:lang w:val="en-US"/>
        </w:rPr>
        <w:t xml:space="preserve">, </w:t>
      </w:r>
      <w:r w:rsidRPr="007A3797">
        <w:rPr>
          <w:lang w:val="en-US"/>
        </w:rPr>
        <w:t>Concepts</w:t>
      </w:r>
      <w:r w:rsidRPr="00F51137">
        <w:rPr>
          <w:lang w:val="en-US"/>
        </w:rPr>
        <w:t xml:space="preserve"> &amp; </w:t>
      </w:r>
      <w:r w:rsidRPr="007A3797">
        <w:rPr>
          <w:lang w:val="en-US"/>
        </w:rPr>
        <w:t>Applications</w:t>
      </w:r>
      <w:r w:rsidRPr="00F51137">
        <w:rPr>
          <w:lang w:val="en-US"/>
        </w:rPr>
        <w:t xml:space="preserve"> </w:t>
      </w:r>
      <w:r w:rsidRPr="007A3797">
        <w:rPr>
          <w:lang w:val="en-US"/>
        </w:rPr>
        <w:t>of</w:t>
      </w:r>
      <w:r w:rsidRPr="00F51137">
        <w:rPr>
          <w:lang w:val="en-US"/>
        </w:rPr>
        <w:t xml:space="preserve"> </w:t>
      </w:r>
      <w:r w:rsidRPr="007A3797">
        <w:rPr>
          <w:lang w:val="en-US"/>
        </w:rPr>
        <w:t>the</w:t>
      </w:r>
      <w:r w:rsidRPr="00F51137">
        <w:rPr>
          <w:lang w:val="en-US"/>
        </w:rPr>
        <w:t xml:space="preserve"> </w:t>
      </w:r>
      <w:r w:rsidRPr="007A3797">
        <w:rPr>
          <w:lang w:val="en-US"/>
        </w:rPr>
        <w:t>Analytic</w:t>
      </w:r>
      <w:r w:rsidRPr="00F51137">
        <w:rPr>
          <w:lang w:val="en-US"/>
        </w:rPr>
        <w:t xml:space="preserve"> </w:t>
      </w:r>
      <w:r w:rsidRPr="007A3797">
        <w:rPr>
          <w:lang w:val="en-US"/>
        </w:rPr>
        <w:t>Hierarchy</w:t>
      </w:r>
      <w:r w:rsidRPr="00F51137">
        <w:rPr>
          <w:lang w:val="en-US"/>
        </w:rPr>
        <w:t xml:space="preserve"> </w:t>
      </w:r>
      <w:r w:rsidRPr="007A3797">
        <w:rPr>
          <w:lang w:val="en-US"/>
        </w:rPr>
        <w:t>Process</w:t>
      </w:r>
      <w:r w:rsidRPr="00F51137">
        <w:rPr>
          <w:lang w:val="en-US"/>
        </w:rPr>
        <w:t xml:space="preserve">. </w:t>
      </w:r>
      <w:r>
        <w:rPr>
          <w:lang w:val="en-US"/>
        </w:rPr>
        <w:t>Second edition</w:t>
      </w:r>
      <w:r w:rsidRPr="007A3797">
        <w:rPr>
          <w:lang w:val="en-US"/>
        </w:rPr>
        <w:t>.</w:t>
      </w:r>
      <w:r w:rsidRPr="00512F43">
        <w:rPr>
          <w:lang w:val="en-US"/>
        </w:rPr>
        <w:t xml:space="preserve"> Springer, 2014.</w:t>
      </w:r>
    </w:p>
  </w:footnote>
  <w:footnote w:id="95">
    <w:p w14:paraId="01A7B24F" w14:textId="07EEE826" w:rsidR="00986688" w:rsidRPr="00293182" w:rsidRDefault="00986688">
      <w:pPr>
        <w:pStyle w:val="a5"/>
        <w:rPr>
          <w:lang w:val="ru-RU"/>
        </w:rPr>
      </w:pPr>
      <w:r>
        <w:rPr>
          <w:rStyle w:val="a7"/>
        </w:rPr>
        <w:footnoteRef/>
      </w:r>
      <w:r w:rsidRPr="00293182">
        <w:rPr>
          <w:lang w:val="en-US"/>
        </w:rPr>
        <w:t xml:space="preserve"> </w:t>
      </w:r>
      <w:r w:rsidRPr="00F27932">
        <w:rPr>
          <w:lang w:val="en-US"/>
        </w:rPr>
        <w:t xml:space="preserve">IPO Readiness Checklist Whitepaper: Five Dimensions of Listing Expectations. iDeals VDR. </w:t>
      </w:r>
      <w:r>
        <w:rPr>
          <w:lang w:val="en-US"/>
        </w:rPr>
        <w:t>URL</w:t>
      </w:r>
      <w:r w:rsidRPr="00F27932">
        <w:rPr>
          <w:lang w:val="ru-RU"/>
        </w:rPr>
        <w:t xml:space="preserve">: </w:t>
      </w:r>
      <w:hyperlink r:id="rId14" w:history="1">
        <w:r w:rsidRPr="00F7268E">
          <w:rPr>
            <w:rStyle w:val="a8"/>
            <w:lang w:val="en-US"/>
          </w:rPr>
          <w:t>https</w:t>
        </w:r>
        <w:r w:rsidRPr="00F27932">
          <w:rPr>
            <w:rStyle w:val="a8"/>
            <w:lang w:val="ru-RU"/>
          </w:rPr>
          <w:t>://</w:t>
        </w:r>
        <w:r w:rsidRPr="00F7268E">
          <w:rPr>
            <w:rStyle w:val="a8"/>
            <w:lang w:val="en-US"/>
          </w:rPr>
          <w:t>www</w:t>
        </w:r>
        <w:r w:rsidRPr="00F27932">
          <w:rPr>
            <w:rStyle w:val="a8"/>
            <w:lang w:val="ru-RU"/>
          </w:rPr>
          <w:t>.</w:t>
        </w:r>
        <w:r w:rsidRPr="00F7268E">
          <w:rPr>
            <w:rStyle w:val="a8"/>
            <w:lang w:val="en-US"/>
          </w:rPr>
          <w:t>idealsvdr</w:t>
        </w:r>
        <w:r w:rsidRPr="00F27932">
          <w:rPr>
            <w:rStyle w:val="a8"/>
            <w:lang w:val="ru-RU"/>
          </w:rPr>
          <w:t>.</w:t>
        </w:r>
        <w:r w:rsidRPr="00F7268E">
          <w:rPr>
            <w:rStyle w:val="a8"/>
            <w:lang w:val="en-US"/>
          </w:rPr>
          <w:t>com</w:t>
        </w:r>
        <w:r w:rsidRPr="00F27932">
          <w:rPr>
            <w:rStyle w:val="a8"/>
            <w:lang w:val="ru-RU"/>
          </w:rPr>
          <w:t>/</w:t>
        </w:r>
        <w:r w:rsidRPr="00F7268E">
          <w:rPr>
            <w:rStyle w:val="a8"/>
            <w:lang w:val="en-US"/>
          </w:rPr>
          <w:t>learnings</w:t>
        </w:r>
        <w:r w:rsidRPr="00F27932">
          <w:rPr>
            <w:rStyle w:val="a8"/>
            <w:lang w:val="ru-RU"/>
          </w:rPr>
          <w:t>/</w:t>
        </w:r>
        <w:r w:rsidRPr="00F7268E">
          <w:rPr>
            <w:rStyle w:val="a8"/>
            <w:lang w:val="en-US"/>
          </w:rPr>
          <w:t>ipo</w:t>
        </w:r>
        <w:r w:rsidRPr="00F27932">
          <w:rPr>
            <w:rStyle w:val="a8"/>
            <w:lang w:val="ru-RU"/>
          </w:rPr>
          <w:t>-</w:t>
        </w:r>
        <w:r w:rsidRPr="00F7268E">
          <w:rPr>
            <w:rStyle w:val="a8"/>
            <w:lang w:val="en-US"/>
          </w:rPr>
          <w:t>readiness</w:t>
        </w:r>
        <w:r w:rsidRPr="00F27932">
          <w:rPr>
            <w:rStyle w:val="a8"/>
            <w:lang w:val="ru-RU"/>
          </w:rPr>
          <w:t>-</w:t>
        </w:r>
        <w:r w:rsidRPr="00F7268E">
          <w:rPr>
            <w:rStyle w:val="a8"/>
            <w:lang w:val="en-US"/>
          </w:rPr>
          <w:t>checklist</w:t>
        </w:r>
        <w:r w:rsidRPr="00F27932">
          <w:rPr>
            <w:rStyle w:val="a8"/>
            <w:lang w:val="ru-RU"/>
          </w:rPr>
          <w:t>-</w:t>
        </w:r>
        <w:r w:rsidRPr="00F7268E">
          <w:rPr>
            <w:rStyle w:val="a8"/>
            <w:lang w:val="en-US"/>
          </w:rPr>
          <w:t>wp</w:t>
        </w:r>
        <w:r w:rsidRPr="00F27932">
          <w:rPr>
            <w:rStyle w:val="a8"/>
            <w:lang w:val="ru-RU"/>
          </w:rPr>
          <w:t>/</w:t>
        </w:r>
      </w:hyperlink>
      <w:r w:rsidRPr="00F27932">
        <w:rPr>
          <w:lang w:val="ru-RU"/>
        </w:rPr>
        <w:t xml:space="preserve"> (</w:t>
      </w:r>
      <w:r>
        <w:rPr>
          <w:lang w:val="ru-RU"/>
        </w:rPr>
        <w:t>дата обращения 07.07.</w:t>
      </w:r>
      <w:r w:rsidRPr="00F27932">
        <w:rPr>
          <w:lang w:val="ru-RU"/>
        </w:rPr>
        <w:t>2026</w:t>
      </w:r>
      <w:r>
        <w:rPr>
          <w:lang w:val="ru-RU"/>
        </w:rPr>
        <w:t>)</w:t>
      </w:r>
    </w:p>
  </w:footnote>
  <w:footnote w:id="96">
    <w:p w14:paraId="28E67D97" w14:textId="6A940BFD" w:rsidR="00986688" w:rsidRPr="001A5C1E" w:rsidRDefault="00986688">
      <w:pPr>
        <w:pStyle w:val="a5"/>
      </w:pPr>
      <w:r>
        <w:rPr>
          <w:rStyle w:val="a7"/>
        </w:rPr>
        <w:footnoteRef/>
      </w:r>
      <w:r>
        <w:t xml:space="preserve"> </w:t>
      </w:r>
      <w:r w:rsidRPr="001A5C1E">
        <w:t>Оценка готовности к IPO // Московская Биржа: официальный сайт. — URL: https://www.moex.com/otsenka-gotovnosti-k-ipo (дата обращения: [укажите дату]).</w:t>
      </w:r>
    </w:p>
  </w:footnote>
  <w:footnote w:id="97">
    <w:p w14:paraId="430BAC49" w14:textId="09EF0B54" w:rsidR="00986688" w:rsidRPr="00B37E3E" w:rsidRDefault="00986688">
      <w:pPr>
        <w:pStyle w:val="a5"/>
      </w:pPr>
      <w:r>
        <w:rPr>
          <w:rStyle w:val="a7"/>
        </w:rPr>
        <w:footnoteRef/>
      </w:r>
      <w:r>
        <w:t xml:space="preserve"> </w:t>
      </w:r>
      <w:r w:rsidRPr="00B37E3E">
        <w:t>Гвардин С.В. Стратегия выхода на рынок акционерного капитала компаний в фазе роста: дис. ... канд. эконом. наук / Гвардин Сергей Валерьевич, — Москва, 2008.</w:t>
      </w:r>
    </w:p>
  </w:footnote>
  <w:footnote w:id="98">
    <w:p w14:paraId="3A7C9E9F" w14:textId="35B8C286" w:rsidR="00986688" w:rsidRPr="00E652E2" w:rsidRDefault="00986688">
      <w:pPr>
        <w:pStyle w:val="a5"/>
        <w:rPr>
          <w:lang w:val="ru-RU"/>
        </w:rPr>
      </w:pPr>
      <w:r>
        <w:rPr>
          <w:rStyle w:val="a7"/>
        </w:rPr>
        <w:footnoteRef/>
      </w:r>
      <w:r w:rsidRPr="00E652E2">
        <w:rPr>
          <w:lang w:val="ru-RU"/>
        </w:rPr>
        <w:t xml:space="preserve"> Яковлев Е.О. Финансирование инноваций на различных этапах жизненного цикла высокотехнологичных компаний: дис. ... канд. эконом. наук / Яковлев Егор Олегович, — Москва, 2022.</w:t>
      </w:r>
    </w:p>
  </w:footnote>
  <w:footnote w:id="99">
    <w:p w14:paraId="486FF27E" w14:textId="1B712E11" w:rsidR="00986688" w:rsidRPr="00E652E2" w:rsidRDefault="00986688">
      <w:pPr>
        <w:pStyle w:val="a5"/>
        <w:rPr>
          <w:lang w:val="ru-RU"/>
        </w:rPr>
      </w:pPr>
      <w:r>
        <w:rPr>
          <w:rStyle w:val="a7"/>
        </w:rPr>
        <w:footnoteRef/>
      </w:r>
      <w:r w:rsidRPr="00E652E2">
        <w:rPr>
          <w:lang w:val="ru-RU"/>
        </w:rPr>
        <w:t xml:space="preserve"> Кожанова А.В. Механизм финансирования российских стартапов на разных стадиях их жизненного цикла: дис. ... канд. эконом. наук / Кожанова Анна Витальевна, — Москва, 2021.</w:t>
      </w:r>
    </w:p>
  </w:footnote>
  <w:footnote w:id="100">
    <w:p w14:paraId="382ACDB0" w14:textId="193117AC" w:rsidR="00986688" w:rsidRPr="00E652E2" w:rsidRDefault="00986688">
      <w:pPr>
        <w:pStyle w:val="a5"/>
        <w:rPr>
          <w:lang w:val="ru-RU"/>
        </w:rPr>
      </w:pPr>
      <w:r>
        <w:rPr>
          <w:rStyle w:val="a7"/>
        </w:rPr>
        <w:footnoteRef/>
      </w:r>
      <w:r w:rsidRPr="00E652E2">
        <w:rPr>
          <w:lang w:val="ru-RU"/>
        </w:rPr>
        <w:t xml:space="preserve"> Агаев А.Р. Аналитическое обеспечение инвестиций в непубличные организации: дис. ... канд. наук / Агаев Артём Русланович, — Москва: Финансовый университет, 2024.</w:t>
      </w:r>
    </w:p>
  </w:footnote>
  <w:footnote w:id="101">
    <w:p w14:paraId="1198964D" w14:textId="50B04327" w:rsidR="00986688" w:rsidRPr="00E652E2" w:rsidRDefault="00986688">
      <w:pPr>
        <w:pStyle w:val="a5"/>
        <w:rPr>
          <w:lang w:val="ru-RU"/>
        </w:rPr>
      </w:pPr>
      <w:r>
        <w:rPr>
          <w:rStyle w:val="a7"/>
        </w:rPr>
        <w:footnoteRef/>
      </w:r>
      <w:r w:rsidRPr="00E652E2">
        <w:rPr>
          <w:lang w:val="ru-RU"/>
        </w:rPr>
        <w:t xml:space="preserve"> Обухова Е.А. Скоринговые подходы к оценке инвестиционной привлекательности инновационных проектов: дис. ... канд. эконом. наук / Обухова Елена Александровна, — Новосибирск: ИЭОПП СО РАН, 2022.</w:t>
      </w:r>
    </w:p>
  </w:footnote>
  <w:footnote w:id="102">
    <w:p w14:paraId="760B2650" w14:textId="1F12D923" w:rsidR="00986688" w:rsidRPr="00AF70B1" w:rsidRDefault="00986688">
      <w:pPr>
        <w:pStyle w:val="a5"/>
        <w:rPr>
          <w:lang w:val="ru-RU"/>
        </w:rPr>
      </w:pPr>
      <w:r>
        <w:rPr>
          <w:rStyle w:val="a7"/>
        </w:rPr>
        <w:footnoteRef/>
      </w:r>
      <w:r w:rsidRPr="00AF70B1">
        <w:rPr>
          <w:lang w:val="ru-RU"/>
        </w:rPr>
        <w:t xml:space="preserve"> </w:t>
      </w:r>
      <w:r w:rsidRPr="00AF70B1">
        <w:t>Московская биржа запустила платформу MOEX START</w:t>
      </w:r>
      <w:r>
        <w:rPr>
          <w:lang w:val="ru-RU"/>
        </w:rPr>
        <w:t xml:space="preserve">. </w:t>
      </w:r>
      <w:r w:rsidRPr="00AF70B1">
        <w:t>Московская Биржа: официальный сайт. — URL: </w:t>
      </w:r>
      <w:hyperlink r:id="rId15" w:tgtFrame="_blank" w:history="1">
        <w:r w:rsidRPr="00AF70B1">
          <w:rPr>
            <w:rStyle w:val="a8"/>
          </w:rPr>
          <w:t>https://www.moex.com/n71377</w:t>
        </w:r>
      </w:hyperlink>
      <w:r w:rsidRPr="00AF70B1">
        <w:t xml:space="preserve"> (дата обращения: </w:t>
      </w:r>
      <w:r>
        <w:rPr>
          <w:lang w:val="ru-RU"/>
        </w:rPr>
        <w:t>01.08.2026</w:t>
      </w:r>
      <w:r w:rsidRPr="00AF70B1">
        <w:t>).</w:t>
      </w:r>
    </w:p>
  </w:footnote>
  <w:footnote w:id="103">
    <w:p w14:paraId="3AC8C5FB" w14:textId="6EA7CFB1" w:rsidR="00986688" w:rsidRPr="002177B0" w:rsidRDefault="00986688">
      <w:pPr>
        <w:pStyle w:val="a5"/>
        <w:rPr>
          <w:lang w:val="en-US"/>
        </w:rPr>
      </w:pPr>
      <w:r>
        <w:rPr>
          <w:rStyle w:val="a7"/>
        </w:rPr>
        <w:footnoteRef/>
      </w:r>
      <w:r w:rsidRPr="002177B0">
        <w:rPr>
          <w:lang w:val="en-US"/>
        </w:rPr>
        <w:t xml:space="preserve"> </w:t>
      </w:r>
      <w:r w:rsidRPr="00774BCE">
        <w:rPr>
          <w:lang w:val="en-US"/>
        </w:rPr>
        <w:t>Rappaport A. Creating Shareholder Value: A Guide for Managers and Investors. Rev. ed. New York: Free Press, 1998</w:t>
      </w:r>
      <w:r>
        <w:rPr>
          <w:lang w:val="en-US"/>
        </w:rPr>
        <w:t>.</w:t>
      </w:r>
    </w:p>
  </w:footnote>
  <w:footnote w:id="104">
    <w:p w14:paraId="7EB48D64" w14:textId="7DE952A3" w:rsidR="00986688" w:rsidRPr="00C2253D" w:rsidRDefault="00986688">
      <w:pPr>
        <w:pStyle w:val="a5"/>
        <w:rPr>
          <w:lang w:val="en-US"/>
        </w:rPr>
      </w:pPr>
      <w:r>
        <w:rPr>
          <w:rStyle w:val="a7"/>
        </w:rPr>
        <w:footnoteRef/>
      </w:r>
      <w:r w:rsidRPr="00986688">
        <w:rPr>
          <w:lang w:val="en-US"/>
        </w:rPr>
        <w:t xml:space="preserve"> </w:t>
      </w:r>
      <w:r>
        <w:rPr>
          <w:color w:val="000000"/>
        </w:rPr>
        <w:t>Коупленд</w:t>
      </w:r>
      <w:r w:rsidRPr="00986688">
        <w:rPr>
          <w:color w:val="000000"/>
          <w:lang w:val="en-US"/>
        </w:rPr>
        <w:t xml:space="preserve"> </w:t>
      </w:r>
      <w:r>
        <w:rPr>
          <w:color w:val="000000"/>
        </w:rPr>
        <w:t>Т</w:t>
      </w:r>
      <w:r w:rsidRPr="00986688">
        <w:rPr>
          <w:color w:val="000000"/>
          <w:lang w:val="en-US"/>
        </w:rPr>
        <w:t xml:space="preserve">., </w:t>
      </w:r>
      <w:r>
        <w:rPr>
          <w:color w:val="000000"/>
        </w:rPr>
        <w:t>Коллер</w:t>
      </w:r>
      <w:r w:rsidRPr="00986688">
        <w:rPr>
          <w:color w:val="000000"/>
          <w:lang w:val="en-US"/>
        </w:rPr>
        <w:t xml:space="preserve"> </w:t>
      </w:r>
      <w:r>
        <w:rPr>
          <w:color w:val="000000"/>
        </w:rPr>
        <w:t>Т</w:t>
      </w:r>
      <w:r w:rsidRPr="00986688">
        <w:rPr>
          <w:color w:val="000000"/>
          <w:lang w:val="en-US"/>
        </w:rPr>
        <w:t xml:space="preserve">., </w:t>
      </w:r>
      <w:r>
        <w:rPr>
          <w:color w:val="000000"/>
        </w:rPr>
        <w:t>Муррин</w:t>
      </w:r>
      <w:r w:rsidRPr="00986688">
        <w:rPr>
          <w:color w:val="000000"/>
          <w:lang w:val="en-US"/>
        </w:rPr>
        <w:t xml:space="preserve"> </w:t>
      </w:r>
      <w:r>
        <w:rPr>
          <w:color w:val="000000"/>
        </w:rPr>
        <w:t>Дж</w:t>
      </w:r>
      <w:r w:rsidRPr="00986688">
        <w:rPr>
          <w:color w:val="000000"/>
          <w:lang w:val="en-US"/>
        </w:rPr>
        <w:t xml:space="preserve">. </w:t>
      </w:r>
      <w:r>
        <w:rPr>
          <w:color w:val="000000"/>
        </w:rPr>
        <w:t>Стоимость компаний: оценка и управление. М</w:t>
      </w:r>
      <w:r w:rsidRPr="00C2253D">
        <w:rPr>
          <w:color w:val="000000"/>
          <w:lang w:val="en-US"/>
        </w:rPr>
        <w:t xml:space="preserve">.: </w:t>
      </w:r>
      <w:r>
        <w:rPr>
          <w:color w:val="000000"/>
        </w:rPr>
        <w:t>ЗАО</w:t>
      </w:r>
      <w:r w:rsidRPr="00C2253D">
        <w:rPr>
          <w:color w:val="000000"/>
          <w:lang w:val="en-US"/>
        </w:rPr>
        <w:t xml:space="preserve"> «</w:t>
      </w:r>
      <w:r>
        <w:rPr>
          <w:color w:val="000000"/>
        </w:rPr>
        <w:t>Олимп</w:t>
      </w:r>
      <w:r w:rsidRPr="00C2253D">
        <w:rPr>
          <w:color w:val="000000"/>
          <w:lang w:val="en-US"/>
        </w:rPr>
        <w:t xml:space="preserve"> - </w:t>
      </w:r>
      <w:r>
        <w:rPr>
          <w:color w:val="000000"/>
        </w:rPr>
        <w:t>Бизнес</w:t>
      </w:r>
      <w:r w:rsidRPr="00C2253D">
        <w:rPr>
          <w:color w:val="000000"/>
          <w:lang w:val="en-US"/>
        </w:rPr>
        <w:t>», 2005.</w:t>
      </w:r>
    </w:p>
  </w:footnote>
  <w:footnote w:id="105">
    <w:p w14:paraId="2D1D21D0" w14:textId="3144E908" w:rsidR="00986688" w:rsidRPr="00C2253D" w:rsidRDefault="00986688">
      <w:pPr>
        <w:pStyle w:val="a5"/>
        <w:rPr>
          <w:lang w:val="en-US"/>
        </w:rPr>
      </w:pPr>
      <w:r>
        <w:rPr>
          <w:rStyle w:val="a7"/>
        </w:rPr>
        <w:footnoteRef/>
      </w:r>
      <w:r w:rsidRPr="005F2493">
        <w:rPr>
          <w:lang w:val="en-US"/>
        </w:rPr>
        <w:t xml:space="preserve"> Damodaran A. The Dark Side of Valuation: Valuing Young, Distressed, and Complex Businesses. 3rd ed. Upper Saddle River: Pearson, 2018</w:t>
      </w:r>
      <w:r w:rsidRPr="00C2253D">
        <w:rPr>
          <w:lang w:val="en-US"/>
        </w:rPr>
        <w:t>.</w:t>
      </w:r>
    </w:p>
  </w:footnote>
  <w:footnote w:id="106">
    <w:p w14:paraId="362EF36B" w14:textId="51C5FDAE" w:rsidR="00986688" w:rsidRPr="00C2253D" w:rsidRDefault="00986688">
      <w:pPr>
        <w:pStyle w:val="a5"/>
        <w:rPr>
          <w:lang w:val="en-US"/>
        </w:rPr>
      </w:pPr>
      <w:r>
        <w:rPr>
          <w:rStyle w:val="a7"/>
        </w:rPr>
        <w:footnoteRef/>
      </w:r>
      <w:r w:rsidRPr="005F2493">
        <w:rPr>
          <w:lang w:val="en-US"/>
        </w:rPr>
        <w:t xml:space="preserve"> </w:t>
      </w:r>
      <w:r w:rsidRPr="0086614D">
        <w:rPr>
          <w:color w:val="000000"/>
          <w:lang w:val="en-US"/>
        </w:rPr>
        <w:t xml:space="preserve">Damodaran A. Investment Valuation: Tools and Techniques for Determining the Value of Any Asset, 4th Edition. </w:t>
      </w:r>
      <w:r w:rsidRPr="00A648EF">
        <w:rPr>
          <w:color w:val="000000"/>
          <w:lang w:val="en-US"/>
        </w:rPr>
        <w:t>Wiley, 2025.</w:t>
      </w:r>
    </w:p>
  </w:footnote>
  <w:footnote w:id="107">
    <w:p w14:paraId="6B94A66C" w14:textId="4FBB900F" w:rsidR="00986688" w:rsidRPr="00D069F3" w:rsidRDefault="00986688">
      <w:pPr>
        <w:pStyle w:val="a5"/>
        <w:rPr>
          <w:lang w:val="ru-RU"/>
        </w:rPr>
      </w:pPr>
      <w:r>
        <w:rPr>
          <w:rStyle w:val="a7"/>
        </w:rPr>
        <w:footnoteRef/>
      </w:r>
      <w:r w:rsidRPr="004D5B9B">
        <w:rPr>
          <w:lang w:val="en-US"/>
        </w:rPr>
        <w:t xml:space="preserve"> Damodaran, A. The Small Cap Premium: Where Is the Beef? Musings on Markets. — 2015. URL</w:t>
      </w:r>
      <w:r w:rsidRPr="00D069F3">
        <w:rPr>
          <w:lang w:val="ru-RU"/>
        </w:rPr>
        <w:t xml:space="preserve">: </w:t>
      </w:r>
      <w:hyperlink r:id="rId16" w:history="1">
        <w:r w:rsidRPr="004D5B9B">
          <w:rPr>
            <w:rStyle w:val="a8"/>
            <w:lang w:val="en-US"/>
          </w:rPr>
          <w:t>https</w:t>
        </w:r>
        <w:r w:rsidRPr="00D069F3">
          <w:rPr>
            <w:rStyle w:val="a8"/>
            <w:lang w:val="ru-RU"/>
          </w:rPr>
          <w:t>://</w:t>
        </w:r>
        <w:r w:rsidRPr="004D5B9B">
          <w:rPr>
            <w:rStyle w:val="a8"/>
            <w:lang w:val="en-US"/>
          </w:rPr>
          <w:t>aswathdamodaran</w:t>
        </w:r>
        <w:r w:rsidRPr="00D069F3">
          <w:rPr>
            <w:rStyle w:val="a8"/>
            <w:lang w:val="ru-RU"/>
          </w:rPr>
          <w:t>.</w:t>
        </w:r>
        <w:r w:rsidRPr="004D5B9B">
          <w:rPr>
            <w:rStyle w:val="a8"/>
            <w:lang w:val="en-US"/>
          </w:rPr>
          <w:t>blogspot</w:t>
        </w:r>
        <w:r w:rsidRPr="00D069F3">
          <w:rPr>
            <w:rStyle w:val="a8"/>
            <w:lang w:val="ru-RU"/>
          </w:rPr>
          <w:t>.</w:t>
        </w:r>
        <w:r w:rsidRPr="004D5B9B">
          <w:rPr>
            <w:rStyle w:val="a8"/>
            <w:lang w:val="en-US"/>
          </w:rPr>
          <w:t>com</w:t>
        </w:r>
        <w:r w:rsidRPr="00D069F3">
          <w:rPr>
            <w:rStyle w:val="a8"/>
            <w:lang w:val="ru-RU"/>
          </w:rPr>
          <w:t>/2015/04/</w:t>
        </w:r>
        <w:r w:rsidRPr="004D5B9B">
          <w:rPr>
            <w:rStyle w:val="a8"/>
            <w:lang w:val="en-US"/>
          </w:rPr>
          <w:t>the</w:t>
        </w:r>
        <w:r w:rsidRPr="00D069F3">
          <w:rPr>
            <w:rStyle w:val="a8"/>
            <w:lang w:val="ru-RU"/>
          </w:rPr>
          <w:t>-</w:t>
        </w:r>
        <w:r w:rsidRPr="004D5B9B">
          <w:rPr>
            <w:rStyle w:val="a8"/>
            <w:lang w:val="en-US"/>
          </w:rPr>
          <w:t>small</w:t>
        </w:r>
        <w:r w:rsidRPr="00D069F3">
          <w:rPr>
            <w:rStyle w:val="a8"/>
            <w:lang w:val="ru-RU"/>
          </w:rPr>
          <w:t>-</w:t>
        </w:r>
        <w:r w:rsidRPr="004D5B9B">
          <w:rPr>
            <w:rStyle w:val="a8"/>
            <w:lang w:val="en-US"/>
          </w:rPr>
          <w:t>cap</w:t>
        </w:r>
        <w:r w:rsidRPr="00D069F3">
          <w:rPr>
            <w:rStyle w:val="a8"/>
            <w:lang w:val="ru-RU"/>
          </w:rPr>
          <w:t>-</w:t>
        </w:r>
        <w:r w:rsidRPr="004D5B9B">
          <w:rPr>
            <w:rStyle w:val="a8"/>
            <w:lang w:val="en-US"/>
          </w:rPr>
          <w:t>premium</w:t>
        </w:r>
        <w:r w:rsidRPr="00D069F3">
          <w:rPr>
            <w:rStyle w:val="a8"/>
            <w:lang w:val="ru-RU"/>
          </w:rPr>
          <w:t>-</w:t>
        </w:r>
        <w:r w:rsidRPr="004D5B9B">
          <w:rPr>
            <w:rStyle w:val="a8"/>
            <w:lang w:val="en-US"/>
          </w:rPr>
          <w:t>fact</w:t>
        </w:r>
        <w:r w:rsidRPr="00D069F3">
          <w:rPr>
            <w:rStyle w:val="a8"/>
            <w:lang w:val="ru-RU"/>
          </w:rPr>
          <w:t>-</w:t>
        </w:r>
        <w:r w:rsidRPr="004D5B9B">
          <w:rPr>
            <w:rStyle w:val="a8"/>
            <w:lang w:val="en-US"/>
          </w:rPr>
          <w:t>fiction</w:t>
        </w:r>
        <w:r w:rsidRPr="00D069F3">
          <w:rPr>
            <w:rStyle w:val="a8"/>
            <w:lang w:val="ru-RU"/>
          </w:rPr>
          <w:t>-</w:t>
        </w:r>
        <w:r w:rsidRPr="004D5B9B">
          <w:rPr>
            <w:rStyle w:val="a8"/>
            <w:lang w:val="en-US"/>
          </w:rPr>
          <w:t>and</w:t>
        </w:r>
        <w:r w:rsidRPr="00D069F3">
          <w:rPr>
            <w:rStyle w:val="a8"/>
            <w:lang w:val="ru-RU"/>
          </w:rPr>
          <w:t>.</w:t>
        </w:r>
        <w:r w:rsidRPr="004D5B9B">
          <w:rPr>
            <w:rStyle w:val="a8"/>
            <w:lang w:val="en-US"/>
          </w:rPr>
          <w:t>html</w:t>
        </w:r>
      </w:hyperlink>
      <w:r w:rsidRPr="00D069F3">
        <w:rPr>
          <w:lang w:val="ru-RU"/>
        </w:rPr>
        <w:t xml:space="preserve"> (</w:t>
      </w:r>
      <w:r w:rsidRPr="004D5B9B">
        <w:t>дата</w:t>
      </w:r>
      <w:r w:rsidRPr="00D069F3">
        <w:rPr>
          <w:lang w:val="ru-RU"/>
        </w:rPr>
        <w:t xml:space="preserve"> </w:t>
      </w:r>
      <w:r w:rsidRPr="004D5B9B">
        <w:t>обращения</w:t>
      </w:r>
      <w:r w:rsidRPr="00D069F3">
        <w:rPr>
          <w:lang w:val="ru-RU"/>
        </w:rPr>
        <w:t>: 01.09.2026).</w:t>
      </w:r>
    </w:p>
  </w:footnote>
  <w:footnote w:id="108">
    <w:p w14:paraId="5ED08CED" w14:textId="77777777" w:rsidR="00986688" w:rsidRPr="00C2253D" w:rsidRDefault="00986688" w:rsidP="00156B64">
      <w:pPr>
        <w:pStyle w:val="a5"/>
        <w:rPr>
          <w:lang w:val="en-US"/>
        </w:rPr>
      </w:pPr>
      <w:r>
        <w:rPr>
          <w:rStyle w:val="a7"/>
        </w:rPr>
        <w:footnoteRef/>
      </w:r>
      <w:r w:rsidRPr="00A648EF">
        <w:rPr>
          <w:lang w:val="fr-FR"/>
        </w:rPr>
        <w:t xml:space="preserve"> Brusov P., Filatova T. et al. </w:t>
      </w:r>
      <w:r w:rsidRPr="009F67C9">
        <w:rPr>
          <w:lang w:val="en-US"/>
        </w:rPr>
        <w:t>Qualitatively New Approach to Business Valuation and Company Value. Mathematics</w:t>
      </w:r>
      <w:r w:rsidRPr="00C2253D">
        <w:rPr>
          <w:lang w:val="en-US"/>
        </w:rPr>
        <w:t xml:space="preserve">. — 2025. — </w:t>
      </w:r>
      <w:r w:rsidRPr="009F67C9">
        <w:rPr>
          <w:lang w:val="en-US"/>
        </w:rPr>
        <w:t>Vol</w:t>
      </w:r>
      <w:r w:rsidRPr="00C2253D">
        <w:rPr>
          <w:lang w:val="en-US"/>
        </w:rPr>
        <w:t xml:space="preserve">. 13, </w:t>
      </w:r>
      <w:r w:rsidRPr="009F67C9">
        <w:rPr>
          <w:lang w:val="en-US"/>
        </w:rPr>
        <w:t>No</w:t>
      </w:r>
      <w:r w:rsidRPr="00C2253D">
        <w:rPr>
          <w:lang w:val="en-US"/>
        </w:rPr>
        <w:t xml:space="preserve">. 1. — </w:t>
      </w:r>
      <w:r w:rsidRPr="009F67C9">
        <w:rPr>
          <w:lang w:val="en-US"/>
        </w:rPr>
        <w:t>Art</w:t>
      </w:r>
      <w:r w:rsidRPr="00C2253D">
        <w:rPr>
          <w:lang w:val="en-US"/>
        </w:rPr>
        <w:t>. 80.</w:t>
      </w:r>
    </w:p>
  </w:footnote>
  <w:footnote w:id="109">
    <w:p w14:paraId="7E89FD6D" w14:textId="76848F21" w:rsidR="00986688" w:rsidRPr="00156B64" w:rsidRDefault="00986688">
      <w:pPr>
        <w:pStyle w:val="a5"/>
        <w:rPr>
          <w:lang w:val="en-US"/>
        </w:rPr>
      </w:pPr>
      <w:r>
        <w:rPr>
          <w:rStyle w:val="a7"/>
        </w:rPr>
        <w:footnoteRef/>
      </w:r>
      <w:r w:rsidRPr="00156B64">
        <w:rPr>
          <w:lang w:val="en-US"/>
        </w:rPr>
        <w:t xml:space="preserve"> </w:t>
      </w:r>
      <w:r w:rsidRPr="00C2253D">
        <w:rPr>
          <w:lang w:val="en-US"/>
        </w:rPr>
        <w:t>Fernández, P. Levered and Unlevered Beta. IESE Business School Working Paper No. 488. — Madrid, 2004.</w:t>
      </w:r>
    </w:p>
  </w:footnote>
  <w:footnote w:id="110">
    <w:p w14:paraId="695BA7DB" w14:textId="77777777" w:rsidR="00986688" w:rsidRPr="002023B2" w:rsidRDefault="00986688" w:rsidP="00156B64">
      <w:pPr>
        <w:pStyle w:val="a5"/>
        <w:rPr>
          <w:lang w:val="ru-RU"/>
        </w:rPr>
      </w:pPr>
      <w:r>
        <w:rPr>
          <w:rStyle w:val="a7"/>
        </w:rPr>
        <w:footnoteRef/>
      </w:r>
      <w:r w:rsidRPr="00156B64">
        <w:rPr>
          <w:lang w:val="ru-RU"/>
        </w:rPr>
        <w:t xml:space="preserve"> </w:t>
      </w:r>
      <w:r w:rsidRPr="00EA7778">
        <w:t>Цехомский, Н. В. Оценка систематического риска в инвестиционном проекте: проблема определения</w:t>
      </w:r>
      <w:r w:rsidRPr="00EA7778">
        <w:rPr>
          <w:lang w:val="ru-RU"/>
        </w:rPr>
        <w:t xml:space="preserve">. </w:t>
      </w:r>
      <w:r w:rsidRPr="00EA7778">
        <w:t xml:space="preserve">Экономика и управление. — 2022. — Т. 28, № 10. — С. 960–969. </w:t>
      </w:r>
    </w:p>
    <w:p w14:paraId="6A561081" w14:textId="7C436D8C" w:rsidR="00986688" w:rsidRPr="002023B2" w:rsidRDefault="00986688">
      <w:pPr>
        <w:pStyle w:val="a5"/>
        <w:rPr>
          <w:lang w:val="ru-RU"/>
        </w:rPr>
      </w:pPr>
    </w:p>
  </w:footnote>
  <w:footnote w:id="111">
    <w:p w14:paraId="4246BB57" w14:textId="2CC818A0" w:rsidR="00986688" w:rsidRPr="002023B2" w:rsidRDefault="00986688">
      <w:pPr>
        <w:pStyle w:val="a5"/>
      </w:pPr>
      <w:r>
        <w:rPr>
          <w:rStyle w:val="a7"/>
        </w:rPr>
        <w:footnoteRef/>
      </w:r>
      <w:r>
        <w:t xml:space="preserve"> </w:t>
      </w:r>
      <w:r w:rsidRPr="002023B2">
        <w:t>Лопатников, А. WACC: инструкция по расчёту</w:t>
      </w:r>
      <w:r>
        <w:rPr>
          <w:lang w:val="ru-RU"/>
        </w:rPr>
        <w:t xml:space="preserve">. </w:t>
      </w:r>
      <w:r w:rsidRPr="002023B2">
        <w:t>МСФО на практике. URL: </w:t>
      </w:r>
      <w:hyperlink r:id="rId17" w:tgtFrame="_blank" w:history="1">
        <w:r w:rsidRPr="002023B2">
          <w:rPr>
            <w:rStyle w:val="a8"/>
          </w:rPr>
          <w:t>https://msfo-practice.ru/348435</w:t>
        </w:r>
      </w:hyperlink>
      <w:r w:rsidRPr="002023B2">
        <w:t xml:space="preserve"> (дата обращения: </w:t>
      </w:r>
      <w:r>
        <w:rPr>
          <w:lang w:val="ru-RU"/>
        </w:rPr>
        <w:t>12.08.2026</w:t>
      </w:r>
      <w:r w:rsidRPr="002023B2">
        <w:t>).</w:t>
      </w:r>
    </w:p>
  </w:footnote>
  <w:footnote w:id="112">
    <w:p w14:paraId="1333F820" w14:textId="6A137CB8" w:rsidR="00986688" w:rsidRPr="0015249C" w:rsidRDefault="00986688">
      <w:pPr>
        <w:pStyle w:val="a5"/>
        <w:rPr>
          <w:lang w:val="ru-RU"/>
        </w:rPr>
      </w:pPr>
      <w:r>
        <w:rPr>
          <w:rStyle w:val="a7"/>
        </w:rPr>
        <w:footnoteRef/>
      </w:r>
      <w:r>
        <w:t xml:space="preserve"> </w:t>
      </w:r>
      <w:r w:rsidRPr="00A57AF3">
        <w:t xml:space="preserve">Об утверждении Федерального стандарта оценки </w:t>
      </w:r>
      <w:r>
        <w:rPr>
          <w:lang w:val="ru-RU"/>
        </w:rPr>
        <w:t>«</w:t>
      </w:r>
      <w:r w:rsidRPr="00A57AF3">
        <w:t>Оценка бизнеса</w:t>
      </w:r>
      <w:r>
        <w:rPr>
          <w:lang w:val="ru-RU"/>
        </w:rPr>
        <w:t>»</w:t>
      </w:r>
      <w:r w:rsidRPr="00A57AF3">
        <w:t xml:space="preserve"> (ФСО № 8) : приказ Минэкономразвития России от 01.06.2015 № 326 (ред. от 06.12.2016)</w:t>
      </w:r>
      <w:r>
        <w:rPr>
          <w:lang w:val="ru-RU"/>
        </w:rPr>
        <w:t xml:space="preserve">. </w:t>
      </w:r>
      <w:r w:rsidRPr="00A57AF3">
        <w:t>Официальный интернет-портал правовой информации. – URL: </w:t>
      </w:r>
      <w:hyperlink r:id="rId18" w:tgtFrame="_blank" w:history="1">
        <w:r w:rsidRPr="00A57AF3">
          <w:rPr>
            <w:rStyle w:val="a8"/>
          </w:rPr>
          <w:t>http://publication.pravo.gov.ru</w:t>
        </w:r>
      </w:hyperlink>
      <w:r w:rsidRPr="00A57AF3">
        <w:t xml:space="preserve"> (дата обращения: </w:t>
      </w:r>
      <w:r>
        <w:rPr>
          <w:lang w:val="ru-RU"/>
        </w:rPr>
        <w:t>11.08.2026</w:t>
      </w:r>
      <w:r w:rsidRPr="00A57AF3">
        <w:t>).</w:t>
      </w:r>
    </w:p>
  </w:footnote>
  <w:footnote w:id="113">
    <w:p w14:paraId="0EED644C" w14:textId="773889D9" w:rsidR="00986688" w:rsidRPr="00CB203E" w:rsidRDefault="00986688">
      <w:pPr>
        <w:pStyle w:val="a5"/>
        <w:rPr>
          <w:lang w:val="ru-RU"/>
        </w:rPr>
      </w:pPr>
      <w:r>
        <w:rPr>
          <w:rStyle w:val="a7"/>
        </w:rPr>
        <w:footnoteRef/>
      </w:r>
      <w:r>
        <w:t xml:space="preserve"> </w:t>
      </w:r>
      <w:r w:rsidRPr="00794D42">
        <w:t>Сравнительный подход при оценке бизнеса</w:t>
      </w:r>
      <w:r w:rsidRPr="00794D42">
        <w:rPr>
          <w:lang w:val="ru-RU"/>
        </w:rPr>
        <w:t xml:space="preserve">. </w:t>
      </w:r>
      <w:r w:rsidRPr="00794D42">
        <w:t>Индекс: официальный сайт. URL: </w:t>
      </w:r>
      <w:hyperlink r:id="rId19" w:tgtFrame="_blank" w:history="1">
        <w:r w:rsidRPr="00794D42">
          <w:rPr>
            <w:rStyle w:val="a8"/>
          </w:rPr>
          <w:t>https://www.indeks.ru/otvety-na-voprosy/sravnitelnyy-podkhod-pri-otsenke-biznesa.php</w:t>
        </w:r>
      </w:hyperlink>
      <w:r w:rsidRPr="00794D42">
        <w:t xml:space="preserve"> (дата обращения: </w:t>
      </w:r>
      <w:r w:rsidRPr="00794D42">
        <w:rPr>
          <w:lang w:val="ru-RU"/>
        </w:rPr>
        <w:t>11.08.2026</w:t>
      </w:r>
      <w:r w:rsidRPr="00794D42">
        <w:t>).</w:t>
      </w:r>
    </w:p>
  </w:footnote>
  <w:footnote w:id="114">
    <w:p w14:paraId="64BE8DEE" w14:textId="3E998CFE" w:rsidR="00986688" w:rsidRPr="00916F1A" w:rsidRDefault="00986688" w:rsidP="00916F1A">
      <w:pPr>
        <w:pStyle w:val="a5"/>
        <w:rPr>
          <w:lang w:val="ru-RU"/>
        </w:rPr>
      </w:pPr>
      <w:r>
        <w:rPr>
          <w:rStyle w:val="a7"/>
        </w:rPr>
        <w:footnoteRef/>
      </w:r>
      <w:r>
        <w:t xml:space="preserve"> Как выбрать метод оценки бизнеса?</w:t>
      </w:r>
      <w:r w:rsidRPr="00794D42">
        <w:rPr>
          <w:lang w:val="ru-RU"/>
        </w:rPr>
        <w:t xml:space="preserve"> </w:t>
      </w:r>
      <w:r>
        <w:rPr>
          <w:lang w:val="ru-RU"/>
        </w:rPr>
        <w:t>Коммерческий директор. Профессиональеый журнал коммерсанта.</w:t>
      </w:r>
      <w:r w:rsidRPr="00794D42">
        <w:rPr>
          <w:lang w:val="ru-RU"/>
        </w:rPr>
        <w:t xml:space="preserve"> </w:t>
      </w:r>
      <w:r>
        <w:rPr>
          <w:lang w:val="en-US"/>
        </w:rPr>
        <w:t>URL</w:t>
      </w:r>
      <w:r w:rsidRPr="00916F1A">
        <w:rPr>
          <w:lang w:val="ru-RU"/>
        </w:rPr>
        <w:t xml:space="preserve">: </w:t>
      </w:r>
      <w:hyperlink r:id="rId20" w:history="1">
        <w:r w:rsidRPr="005B7CF9">
          <w:rPr>
            <w:rStyle w:val="a8"/>
            <w:lang w:val="en-US"/>
          </w:rPr>
          <w:t>https</w:t>
        </w:r>
        <w:r w:rsidRPr="00916F1A">
          <w:rPr>
            <w:rStyle w:val="a8"/>
            <w:lang w:val="ru-RU"/>
          </w:rPr>
          <w:t>://</w:t>
        </w:r>
        <w:r w:rsidRPr="005B7CF9">
          <w:rPr>
            <w:rStyle w:val="a8"/>
            <w:lang w:val="en-US"/>
          </w:rPr>
          <w:t>www</w:t>
        </w:r>
        <w:r w:rsidRPr="00916F1A">
          <w:rPr>
            <w:rStyle w:val="a8"/>
            <w:lang w:val="ru-RU"/>
          </w:rPr>
          <w:t>.</w:t>
        </w:r>
        <w:r w:rsidRPr="005B7CF9">
          <w:rPr>
            <w:rStyle w:val="a8"/>
            <w:lang w:val="en-US"/>
          </w:rPr>
          <w:t>kom</w:t>
        </w:r>
        <w:r w:rsidRPr="00916F1A">
          <w:rPr>
            <w:rStyle w:val="a8"/>
            <w:lang w:val="ru-RU"/>
          </w:rPr>
          <w:t>-</w:t>
        </w:r>
        <w:r w:rsidRPr="005B7CF9">
          <w:rPr>
            <w:rStyle w:val="a8"/>
            <w:lang w:val="en-US"/>
          </w:rPr>
          <w:t>dir</w:t>
        </w:r>
        <w:r w:rsidRPr="00916F1A">
          <w:rPr>
            <w:rStyle w:val="a8"/>
            <w:lang w:val="ru-RU"/>
          </w:rPr>
          <w:t>.</w:t>
        </w:r>
        <w:r w:rsidRPr="005B7CF9">
          <w:rPr>
            <w:rStyle w:val="a8"/>
            <w:lang w:val="en-US"/>
          </w:rPr>
          <w:t>ru</w:t>
        </w:r>
        <w:r w:rsidRPr="00916F1A">
          <w:rPr>
            <w:rStyle w:val="a8"/>
            <w:lang w:val="ru-RU"/>
          </w:rPr>
          <w:t>/</w:t>
        </w:r>
        <w:r w:rsidRPr="005B7CF9">
          <w:rPr>
            <w:rStyle w:val="a8"/>
            <w:lang w:val="en-US"/>
          </w:rPr>
          <w:t>question</w:t>
        </w:r>
        <w:r w:rsidRPr="00916F1A">
          <w:rPr>
            <w:rStyle w:val="a8"/>
            <w:lang w:val="ru-RU"/>
          </w:rPr>
          <w:t>/120-</w:t>
        </w:r>
        <w:r w:rsidRPr="005B7CF9">
          <w:rPr>
            <w:rStyle w:val="a8"/>
            <w:lang w:val="en-US"/>
          </w:rPr>
          <w:t>kak</w:t>
        </w:r>
        <w:r w:rsidRPr="00916F1A">
          <w:rPr>
            <w:rStyle w:val="a8"/>
            <w:lang w:val="ru-RU"/>
          </w:rPr>
          <w:t>-</w:t>
        </w:r>
        <w:r w:rsidRPr="005B7CF9">
          <w:rPr>
            <w:rStyle w:val="a8"/>
            <w:lang w:val="en-US"/>
          </w:rPr>
          <w:t>vybrat</w:t>
        </w:r>
        <w:r w:rsidRPr="00916F1A">
          <w:rPr>
            <w:rStyle w:val="a8"/>
            <w:lang w:val="ru-RU"/>
          </w:rPr>
          <w:t>-</w:t>
        </w:r>
        <w:r w:rsidRPr="005B7CF9">
          <w:rPr>
            <w:rStyle w:val="a8"/>
            <w:lang w:val="en-US"/>
          </w:rPr>
          <w:t>metod</w:t>
        </w:r>
        <w:r w:rsidRPr="00916F1A">
          <w:rPr>
            <w:rStyle w:val="a8"/>
            <w:lang w:val="ru-RU"/>
          </w:rPr>
          <w:t>-</w:t>
        </w:r>
        <w:r w:rsidRPr="005B7CF9">
          <w:rPr>
            <w:rStyle w:val="a8"/>
            <w:lang w:val="en-US"/>
          </w:rPr>
          <w:t>otsenki</w:t>
        </w:r>
        <w:r w:rsidRPr="00916F1A">
          <w:rPr>
            <w:rStyle w:val="a8"/>
            <w:lang w:val="ru-RU"/>
          </w:rPr>
          <w:t>-</w:t>
        </w:r>
        <w:r w:rsidRPr="005B7CF9">
          <w:rPr>
            <w:rStyle w:val="a8"/>
            <w:lang w:val="en-US"/>
          </w:rPr>
          <w:t>biznesa</w:t>
        </w:r>
      </w:hyperlink>
      <w:r w:rsidRPr="00916F1A">
        <w:rPr>
          <w:lang w:val="ru-RU"/>
        </w:rPr>
        <w:t xml:space="preserve"> (</w:t>
      </w:r>
      <w:r>
        <w:rPr>
          <w:lang w:val="ru-RU"/>
        </w:rPr>
        <w:t>дата обращения 11.08.2026)</w:t>
      </w:r>
    </w:p>
  </w:footnote>
  <w:footnote w:id="115">
    <w:p w14:paraId="037890B1" w14:textId="0F1DEAA4" w:rsidR="00986688" w:rsidRPr="000C0B43" w:rsidRDefault="00986688">
      <w:pPr>
        <w:pStyle w:val="a5"/>
        <w:rPr>
          <w:lang w:val="ru-RU"/>
        </w:rPr>
      </w:pPr>
      <w:r>
        <w:rPr>
          <w:rStyle w:val="a7"/>
        </w:rPr>
        <w:footnoteRef/>
      </w:r>
      <w:r>
        <w:t xml:space="preserve"> </w:t>
      </w:r>
      <w:r w:rsidRPr="000C0B43">
        <w:t>Критерии и принципы отбора компаний-аналогов</w:t>
      </w:r>
      <w:r>
        <w:rPr>
          <w:lang w:val="ru-RU"/>
        </w:rPr>
        <w:t xml:space="preserve">. </w:t>
      </w:r>
      <w:r w:rsidRPr="000C0B43">
        <w:t>Сравнительный подход к оценке бизнеса и его практическое применение: учебное пособие. URL:</w:t>
      </w:r>
      <w:r>
        <w:rPr>
          <w:lang w:val="ru-RU"/>
        </w:rPr>
        <w:t xml:space="preserve"> </w:t>
      </w:r>
      <w:r w:rsidRPr="000C0B43">
        <w:t xml:space="preserve">https://studbooks.net/1904336/ekonomika/kriterii_printsipy_otbora_kompaniy_analogov (дата обращения: </w:t>
      </w:r>
      <w:r>
        <w:rPr>
          <w:lang w:val="ru-RU"/>
        </w:rPr>
        <w:t>12.08.2026</w:t>
      </w:r>
      <w:r w:rsidRPr="000C0B43">
        <w:t>).</w:t>
      </w:r>
    </w:p>
  </w:footnote>
  <w:footnote w:id="116">
    <w:p w14:paraId="2CD4C1D9" w14:textId="63DA583F" w:rsidR="00986688" w:rsidRPr="00AB035F" w:rsidRDefault="00986688">
      <w:pPr>
        <w:pStyle w:val="a5"/>
        <w:rPr>
          <w:lang w:val="ru-RU"/>
        </w:rPr>
      </w:pPr>
      <w:r>
        <w:rPr>
          <w:rStyle w:val="a7"/>
        </w:rPr>
        <w:footnoteRef/>
      </w:r>
      <w:r>
        <w:t xml:space="preserve"> </w:t>
      </w:r>
      <w:r w:rsidRPr="00AB035F">
        <w:t>Ивашковская И.В. Моделирование стоимости компании. Стратегическая ответственность советов директоров. М.: ИНФРА-М, 2024</w:t>
      </w:r>
    </w:p>
  </w:footnote>
  <w:footnote w:id="117">
    <w:p w14:paraId="6FD9BB2A" w14:textId="3F24195B" w:rsidR="00986688" w:rsidRPr="00EE5864" w:rsidRDefault="00986688">
      <w:pPr>
        <w:pStyle w:val="a5"/>
        <w:rPr>
          <w:lang w:val="ru-RU"/>
        </w:rPr>
      </w:pPr>
      <w:r>
        <w:rPr>
          <w:rStyle w:val="a7"/>
        </w:rPr>
        <w:footnoteRef/>
      </w:r>
      <w:r>
        <w:t xml:space="preserve"> </w:t>
      </w:r>
      <w:r w:rsidRPr="00EE5864">
        <w:t>Теплова, Т. В. Инвестиционные рычаги максимизации стоимости компании: практика российских предприятий / Т. В. Теплова. — Москва : ГУ ВШЭ, 2007</w:t>
      </w:r>
    </w:p>
  </w:footnote>
  <w:footnote w:id="118">
    <w:p w14:paraId="38D55DE5" w14:textId="00E15C7F" w:rsidR="00986688" w:rsidRPr="00EE5864" w:rsidRDefault="00986688">
      <w:pPr>
        <w:pStyle w:val="a5"/>
        <w:rPr>
          <w:lang w:val="ru-RU"/>
        </w:rPr>
      </w:pPr>
      <w:r>
        <w:rPr>
          <w:rStyle w:val="a7"/>
        </w:rPr>
        <w:footnoteRef/>
      </w:r>
      <w:r>
        <w:t xml:space="preserve"> </w:t>
      </w:r>
      <w:r w:rsidRPr="00EE5864">
        <w:t>Косорукова, И. В. Развитие теории, методологии и практики оценки стоимости бизнеса : дис. ... канд. эконом. наук : 08.00.10 / Косорукова Ирина Вячеславовна. — Москва, 2013.</w:t>
      </w:r>
    </w:p>
  </w:footnote>
  <w:footnote w:id="119">
    <w:p w14:paraId="192872B8" w14:textId="42D574EF" w:rsidR="00986688" w:rsidRPr="003D0EA5" w:rsidRDefault="00986688">
      <w:pPr>
        <w:pStyle w:val="a5"/>
        <w:rPr>
          <w:lang w:val="en-US"/>
        </w:rPr>
      </w:pPr>
      <w:r>
        <w:rPr>
          <w:rStyle w:val="a7"/>
        </w:rPr>
        <w:footnoteRef/>
      </w:r>
      <w:r w:rsidRPr="003D0EA5">
        <w:rPr>
          <w:lang w:val="en-US"/>
        </w:rPr>
        <w:t xml:space="preserve"> </w:t>
      </w:r>
      <w:r w:rsidRPr="00D95677">
        <w:rPr>
          <w:lang w:val="en-US"/>
        </w:rPr>
        <w:t>Jensen, M. C. Theory of the Firm: Managerial Behavior, Agency Costs and Ownership Structure / M. C. Jensen, W. H. Meckling // Journal of Financial Economics. — 1976. — Vol. 3, No. 4. — P. 305–360.</w:t>
      </w:r>
    </w:p>
  </w:footnote>
  <w:footnote w:id="120">
    <w:p w14:paraId="09BB6D10" w14:textId="2FA3CB19" w:rsidR="00986688" w:rsidRPr="003D0EA5" w:rsidRDefault="00986688">
      <w:pPr>
        <w:pStyle w:val="a5"/>
        <w:rPr>
          <w:lang w:val="en-US"/>
        </w:rPr>
      </w:pPr>
      <w:r>
        <w:rPr>
          <w:rStyle w:val="a7"/>
        </w:rPr>
        <w:footnoteRef/>
      </w:r>
      <w:r w:rsidRPr="00D95677">
        <w:rPr>
          <w:lang w:val="en-US"/>
        </w:rPr>
        <w:t xml:space="preserve"> </w:t>
      </w:r>
      <w:r w:rsidRPr="003D0EA5">
        <w:rPr>
          <w:lang w:val="en-US"/>
        </w:rPr>
        <w:t>La Porta, R. Investor Protection and Corporate Governance / R. La Porta, F. Lopez-de-Silanes, A. Shleifer, R. Vishny</w:t>
      </w:r>
      <w:r>
        <w:rPr>
          <w:lang w:val="en-US"/>
        </w:rPr>
        <w:t xml:space="preserve">. </w:t>
      </w:r>
      <w:r w:rsidRPr="003D0EA5">
        <w:rPr>
          <w:lang w:val="en-US"/>
        </w:rPr>
        <w:t>Journal of Financial Economics. — 2000. — Vol. 58, No. 1–2. — P. 3–27.</w:t>
      </w:r>
    </w:p>
  </w:footnote>
  <w:footnote w:id="121">
    <w:p w14:paraId="558259E7" w14:textId="7F5FCDCE" w:rsidR="00986688" w:rsidRPr="006067B6" w:rsidRDefault="00986688">
      <w:pPr>
        <w:pStyle w:val="a5"/>
        <w:rPr>
          <w:lang w:val="en-US"/>
        </w:rPr>
      </w:pPr>
      <w:r>
        <w:rPr>
          <w:rStyle w:val="a7"/>
        </w:rPr>
        <w:footnoteRef/>
      </w:r>
      <w:r w:rsidRPr="006067B6">
        <w:rPr>
          <w:lang w:val="en-US"/>
        </w:rPr>
        <w:t xml:space="preserve"> Kaplan, S. N. Financial Contracting Theory Meets the Real World: An Empirical Analysis of Venture Capital Contracts</w:t>
      </w:r>
      <w:r>
        <w:rPr>
          <w:lang w:val="en-US"/>
        </w:rPr>
        <w:t xml:space="preserve">. </w:t>
      </w:r>
      <w:r w:rsidRPr="006067B6">
        <w:rPr>
          <w:lang w:val="en-US"/>
        </w:rPr>
        <w:t>The Review of Economic Studies. — 2003. — Vol. 70, No. 2. — P. 281–315.</w:t>
      </w:r>
    </w:p>
  </w:footnote>
  <w:footnote w:id="122">
    <w:p w14:paraId="0D88E392" w14:textId="5A24E8E4" w:rsidR="00986688" w:rsidRPr="00C2253D" w:rsidRDefault="00986688" w:rsidP="001F5CBE">
      <w:pPr>
        <w:pStyle w:val="a5"/>
        <w:rPr>
          <w:lang w:val="ru-RU"/>
        </w:rPr>
      </w:pPr>
      <w:r>
        <w:rPr>
          <w:rStyle w:val="a7"/>
        </w:rPr>
        <w:footnoteRef/>
      </w:r>
      <w:r w:rsidRPr="001F5CBE">
        <w:rPr>
          <w:lang w:val="en-US"/>
        </w:rPr>
        <w:t xml:space="preserve"> Square Prices IPO Below Range At $9 A Share, Now Valued at $2.9 Billion</w:t>
      </w:r>
      <w:r>
        <w:rPr>
          <w:lang w:val="en-US"/>
        </w:rPr>
        <w:t>. Forbes</w:t>
      </w:r>
      <w:r w:rsidRPr="00C2253D">
        <w:rPr>
          <w:lang w:val="ru-RU"/>
        </w:rPr>
        <w:t xml:space="preserve">. </w:t>
      </w:r>
      <w:r>
        <w:rPr>
          <w:lang w:val="en-US"/>
        </w:rPr>
        <w:t>URL</w:t>
      </w:r>
      <w:r w:rsidRPr="00C2253D">
        <w:rPr>
          <w:lang w:val="ru-RU"/>
        </w:rPr>
        <w:t xml:space="preserve">: </w:t>
      </w:r>
    </w:p>
    <w:p w14:paraId="3E6CFE5F" w14:textId="46AD3EAD" w:rsidR="00986688" w:rsidRPr="001F5CBE" w:rsidRDefault="00081AC0">
      <w:pPr>
        <w:pStyle w:val="a5"/>
        <w:rPr>
          <w:lang w:val="ru-RU"/>
        </w:rPr>
      </w:pPr>
      <w:hyperlink r:id="rId21" w:history="1">
        <w:r w:rsidR="00986688" w:rsidRPr="005B7CF9">
          <w:rPr>
            <w:rStyle w:val="a8"/>
            <w:lang w:val="en-US"/>
          </w:rPr>
          <w:t>https</w:t>
        </w:r>
        <w:r w:rsidR="00986688" w:rsidRPr="001F5CBE">
          <w:rPr>
            <w:rStyle w:val="a8"/>
            <w:lang w:val="ru-RU"/>
          </w:rPr>
          <w:t>://</w:t>
        </w:r>
        <w:r w:rsidR="00986688" w:rsidRPr="005B7CF9">
          <w:rPr>
            <w:rStyle w:val="a8"/>
            <w:lang w:val="en-US"/>
          </w:rPr>
          <w:t>www</w:t>
        </w:r>
        <w:r w:rsidR="00986688" w:rsidRPr="001F5CBE">
          <w:rPr>
            <w:rStyle w:val="a8"/>
            <w:lang w:val="ru-RU"/>
          </w:rPr>
          <w:t>.</w:t>
        </w:r>
        <w:r w:rsidR="00986688" w:rsidRPr="005B7CF9">
          <w:rPr>
            <w:rStyle w:val="a8"/>
            <w:lang w:val="en-US"/>
          </w:rPr>
          <w:t>forbes</w:t>
        </w:r>
        <w:r w:rsidR="00986688" w:rsidRPr="001F5CBE">
          <w:rPr>
            <w:rStyle w:val="a8"/>
            <w:lang w:val="ru-RU"/>
          </w:rPr>
          <w:t>.</w:t>
        </w:r>
        <w:r w:rsidR="00986688" w:rsidRPr="005B7CF9">
          <w:rPr>
            <w:rStyle w:val="a8"/>
            <w:lang w:val="en-US"/>
          </w:rPr>
          <w:t>com</w:t>
        </w:r>
        <w:r w:rsidR="00986688" w:rsidRPr="001F5CBE">
          <w:rPr>
            <w:rStyle w:val="a8"/>
            <w:lang w:val="ru-RU"/>
          </w:rPr>
          <w:t>/</w:t>
        </w:r>
        <w:r w:rsidR="00986688" w:rsidRPr="005B7CF9">
          <w:rPr>
            <w:rStyle w:val="a8"/>
            <w:lang w:val="en-US"/>
          </w:rPr>
          <w:t>sites</w:t>
        </w:r>
        <w:r w:rsidR="00986688" w:rsidRPr="001F5CBE">
          <w:rPr>
            <w:rStyle w:val="a8"/>
            <w:lang w:val="ru-RU"/>
          </w:rPr>
          <w:t>/</w:t>
        </w:r>
        <w:r w:rsidR="00986688" w:rsidRPr="005B7CF9">
          <w:rPr>
            <w:rStyle w:val="a8"/>
            <w:lang w:val="en-US"/>
          </w:rPr>
          <w:t>ryanmac</w:t>
        </w:r>
        <w:r w:rsidR="00986688" w:rsidRPr="001F5CBE">
          <w:rPr>
            <w:rStyle w:val="a8"/>
            <w:lang w:val="ru-RU"/>
          </w:rPr>
          <w:t>/2015/11/18/</w:t>
        </w:r>
        <w:r w:rsidR="00986688" w:rsidRPr="005B7CF9">
          <w:rPr>
            <w:rStyle w:val="a8"/>
            <w:lang w:val="en-US"/>
          </w:rPr>
          <w:t>square</w:t>
        </w:r>
        <w:r w:rsidR="00986688" w:rsidRPr="001F5CBE">
          <w:rPr>
            <w:rStyle w:val="a8"/>
            <w:lang w:val="ru-RU"/>
          </w:rPr>
          <w:t>-</w:t>
        </w:r>
        <w:r w:rsidR="00986688" w:rsidRPr="005B7CF9">
          <w:rPr>
            <w:rStyle w:val="a8"/>
            <w:lang w:val="en-US"/>
          </w:rPr>
          <w:t>prices</w:t>
        </w:r>
        <w:r w:rsidR="00986688" w:rsidRPr="001F5CBE">
          <w:rPr>
            <w:rStyle w:val="a8"/>
            <w:lang w:val="ru-RU"/>
          </w:rPr>
          <w:t>-</w:t>
        </w:r>
        <w:r w:rsidR="00986688" w:rsidRPr="005B7CF9">
          <w:rPr>
            <w:rStyle w:val="a8"/>
            <w:lang w:val="en-US"/>
          </w:rPr>
          <w:t>ipo</w:t>
        </w:r>
        <w:r w:rsidR="00986688" w:rsidRPr="001F5CBE">
          <w:rPr>
            <w:rStyle w:val="a8"/>
            <w:lang w:val="ru-RU"/>
          </w:rPr>
          <w:t>-</w:t>
        </w:r>
        <w:r w:rsidR="00986688" w:rsidRPr="005B7CF9">
          <w:rPr>
            <w:rStyle w:val="a8"/>
            <w:lang w:val="en-US"/>
          </w:rPr>
          <w:t>below</w:t>
        </w:r>
        <w:r w:rsidR="00986688" w:rsidRPr="001F5CBE">
          <w:rPr>
            <w:rStyle w:val="a8"/>
            <w:lang w:val="ru-RU"/>
          </w:rPr>
          <w:t>-</w:t>
        </w:r>
        <w:r w:rsidR="00986688" w:rsidRPr="005B7CF9">
          <w:rPr>
            <w:rStyle w:val="a8"/>
            <w:lang w:val="en-US"/>
          </w:rPr>
          <w:t>range</w:t>
        </w:r>
        <w:r w:rsidR="00986688" w:rsidRPr="001F5CBE">
          <w:rPr>
            <w:rStyle w:val="a8"/>
            <w:lang w:val="ru-RU"/>
          </w:rPr>
          <w:t>-</w:t>
        </w:r>
        <w:r w:rsidR="00986688" w:rsidRPr="005B7CF9">
          <w:rPr>
            <w:rStyle w:val="a8"/>
            <w:lang w:val="en-US"/>
          </w:rPr>
          <w:t>at</w:t>
        </w:r>
        <w:r w:rsidR="00986688" w:rsidRPr="001F5CBE">
          <w:rPr>
            <w:rStyle w:val="a8"/>
            <w:lang w:val="ru-RU"/>
          </w:rPr>
          <w:t>-9-</w:t>
        </w:r>
        <w:r w:rsidR="00986688" w:rsidRPr="005B7CF9">
          <w:rPr>
            <w:rStyle w:val="a8"/>
            <w:lang w:val="en-US"/>
          </w:rPr>
          <w:t>a</w:t>
        </w:r>
        <w:r w:rsidR="00986688" w:rsidRPr="001F5CBE">
          <w:rPr>
            <w:rStyle w:val="a8"/>
            <w:lang w:val="ru-RU"/>
          </w:rPr>
          <w:t>-</w:t>
        </w:r>
        <w:r w:rsidR="00986688" w:rsidRPr="005B7CF9">
          <w:rPr>
            <w:rStyle w:val="a8"/>
            <w:lang w:val="en-US"/>
          </w:rPr>
          <w:t>share</w:t>
        </w:r>
        <w:r w:rsidR="00986688" w:rsidRPr="001F5CBE">
          <w:rPr>
            <w:rStyle w:val="a8"/>
            <w:lang w:val="ru-RU"/>
          </w:rPr>
          <w:t>-</w:t>
        </w:r>
        <w:r w:rsidR="00986688" w:rsidRPr="005B7CF9">
          <w:rPr>
            <w:rStyle w:val="a8"/>
            <w:lang w:val="en-US"/>
          </w:rPr>
          <w:t>now</w:t>
        </w:r>
        <w:r w:rsidR="00986688" w:rsidRPr="001F5CBE">
          <w:rPr>
            <w:rStyle w:val="a8"/>
            <w:lang w:val="ru-RU"/>
          </w:rPr>
          <w:t>-</w:t>
        </w:r>
        <w:r w:rsidR="00986688" w:rsidRPr="005B7CF9">
          <w:rPr>
            <w:rStyle w:val="a8"/>
            <w:lang w:val="en-US"/>
          </w:rPr>
          <w:t>valued</w:t>
        </w:r>
        <w:r w:rsidR="00986688" w:rsidRPr="001F5CBE">
          <w:rPr>
            <w:rStyle w:val="a8"/>
            <w:lang w:val="ru-RU"/>
          </w:rPr>
          <w:t>-</w:t>
        </w:r>
        <w:r w:rsidR="00986688" w:rsidRPr="005B7CF9">
          <w:rPr>
            <w:rStyle w:val="a8"/>
            <w:lang w:val="en-US"/>
          </w:rPr>
          <w:t>at</w:t>
        </w:r>
        <w:r w:rsidR="00986688" w:rsidRPr="001F5CBE">
          <w:rPr>
            <w:rStyle w:val="a8"/>
            <w:lang w:val="ru-RU"/>
          </w:rPr>
          <w:t>-2-9-</w:t>
        </w:r>
        <w:r w:rsidR="00986688" w:rsidRPr="005B7CF9">
          <w:rPr>
            <w:rStyle w:val="a8"/>
            <w:lang w:val="en-US"/>
          </w:rPr>
          <w:t>billion</w:t>
        </w:r>
        <w:r w:rsidR="00986688" w:rsidRPr="001F5CBE">
          <w:rPr>
            <w:rStyle w:val="a8"/>
            <w:lang w:val="ru-RU"/>
          </w:rPr>
          <w:t>/</w:t>
        </w:r>
      </w:hyperlink>
      <w:r w:rsidR="00986688" w:rsidRPr="001F5CBE">
        <w:rPr>
          <w:lang w:val="ru-RU"/>
        </w:rPr>
        <w:t xml:space="preserve"> (</w:t>
      </w:r>
      <w:r w:rsidR="00986688">
        <w:rPr>
          <w:lang w:val="ru-RU"/>
        </w:rPr>
        <w:t>дата обращения 11.06.2026)</w:t>
      </w:r>
    </w:p>
  </w:footnote>
  <w:footnote w:id="123">
    <w:p w14:paraId="7FE923C1" w14:textId="18DD2D31" w:rsidR="00986688" w:rsidRPr="00213287" w:rsidRDefault="00986688">
      <w:pPr>
        <w:pStyle w:val="a5"/>
        <w:rPr>
          <w:lang w:val="ru-RU"/>
        </w:rPr>
      </w:pPr>
      <w:r>
        <w:rPr>
          <w:rStyle w:val="a7"/>
        </w:rPr>
        <w:footnoteRef/>
      </w:r>
      <w:r>
        <w:t xml:space="preserve"> </w:t>
      </w:r>
      <w:r w:rsidRPr="00310D50">
        <w:t>Гражданский кодекс Российской Федерации (часть первая) от 30.11.1994 № 51-ФЗ. Ст. 66.3. — Доступ из справочно-правовой системы «КонсультантПлюс».</w:t>
      </w:r>
    </w:p>
  </w:footnote>
  <w:footnote w:id="124">
    <w:p w14:paraId="693D970B" w14:textId="21385E10" w:rsidR="00986688" w:rsidRPr="00310D50" w:rsidRDefault="00986688">
      <w:pPr>
        <w:pStyle w:val="a5"/>
        <w:rPr>
          <w:lang w:val="ru-RU"/>
        </w:rPr>
      </w:pPr>
      <w:r>
        <w:rPr>
          <w:rStyle w:val="a7"/>
        </w:rPr>
        <w:footnoteRef/>
      </w:r>
      <w:r>
        <w:t xml:space="preserve"> </w:t>
      </w:r>
      <w:r w:rsidRPr="0065723E">
        <w:t>Годовой отчет ПАО Московская Биржа за 202</w:t>
      </w:r>
      <w:r w:rsidRPr="00EA0C61">
        <w:rPr>
          <w:lang w:val="ru-RU"/>
        </w:rPr>
        <w:t>5</w:t>
      </w:r>
      <w:r w:rsidRPr="0065723E">
        <w:t xml:space="preserve"> г.</w:t>
      </w:r>
      <w:r w:rsidRPr="00EA0C61">
        <w:rPr>
          <w:lang w:val="ru-RU"/>
        </w:rPr>
        <w:t xml:space="preserve"> </w:t>
      </w:r>
      <w:r>
        <w:rPr>
          <w:lang w:val="en-US"/>
        </w:rPr>
        <w:t>URL</w:t>
      </w:r>
      <w:r w:rsidRPr="00EA0C61">
        <w:rPr>
          <w:lang w:val="ru-RU"/>
        </w:rPr>
        <w:t>: https://www.moex.com/files/4y4ayas5n36a65ceejtww9rw5g</w:t>
      </w:r>
    </w:p>
  </w:footnote>
  <w:footnote w:id="125">
    <w:p w14:paraId="66C1F19F" w14:textId="2915211E" w:rsidR="00986688" w:rsidRPr="00310D50" w:rsidRDefault="00986688">
      <w:pPr>
        <w:pStyle w:val="a5"/>
        <w:rPr>
          <w:lang w:val="ru-RU"/>
        </w:rPr>
      </w:pPr>
      <w:r>
        <w:rPr>
          <w:rStyle w:val="a7"/>
        </w:rPr>
        <w:footnoteRef/>
      </w:r>
      <w:r>
        <w:t xml:space="preserve"> </w:t>
      </w:r>
      <w:r w:rsidRPr="00513EE3">
        <w:t>Контур. Фокус": ИП обошли юрлиц по числу регистраций в 2024 году в РФ</w:t>
      </w:r>
      <w:r>
        <w:rPr>
          <w:lang w:val="ru-RU"/>
        </w:rPr>
        <w:t xml:space="preserve">. ТАСС. </w:t>
      </w:r>
      <w:r>
        <w:rPr>
          <w:lang w:val="en-US"/>
        </w:rPr>
        <w:t>URL</w:t>
      </w:r>
      <w:r w:rsidRPr="00513EE3">
        <w:rPr>
          <w:lang w:val="ru-RU"/>
        </w:rPr>
        <w:t xml:space="preserve">: </w:t>
      </w:r>
      <w:r w:rsidRPr="00513EE3">
        <w:t>https://tass.ru/ekonomika/22929601</w:t>
      </w:r>
    </w:p>
  </w:footnote>
  <w:footnote w:id="126">
    <w:p w14:paraId="6A3C8349" w14:textId="2E993AE5" w:rsidR="00986688" w:rsidRPr="00DD2721" w:rsidRDefault="00986688">
      <w:pPr>
        <w:pStyle w:val="a5"/>
        <w:rPr>
          <w:lang w:val="ru-RU"/>
        </w:rPr>
      </w:pPr>
      <w:r>
        <w:rPr>
          <w:rStyle w:val="a7"/>
        </w:rPr>
        <w:footnoteRef/>
      </w:r>
      <w:r>
        <w:t xml:space="preserve"> </w:t>
      </w:r>
      <w:r w:rsidRPr="00DD2721">
        <w:t>Статья 66.3 ГК РФ. Публичные и непубличные общества: различия, особенности, примеры</w:t>
      </w:r>
      <w:r>
        <w:rPr>
          <w:lang w:val="ru-RU"/>
        </w:rPr>
        <w:t xml:space="preserve">. Электронный ресурс </w:t>
      </w:r>
      <w:r w:rsidRPr="00DD2721">
        <w:t>ZakonRF.info. URL: </w:t>
      </w:r>
      <w:hyperlink r:id="rId22" w:tgtFrame="_blank" w:history="1">
        <w:r w:rsidRPr="00DD2721">
          <w:rPr>
            <w:rStyle w:val="a8"/>
          </w:rPr>
          <w:t>https://www.zakonrf.info/gk/66.3/</w:t>
        </w:r>
      </w:hyperlink>
      <w:r w:rsidRPr="00DD2721">
        <w:t xml:space="preserve"> (дата обращения: </w:t>
      </w:r>
      <w:r>
        <w:rPr>
          <w:lang w:val="ru-RU"/>
        </w:rPr>
        <w:t>12.08.2026</w:t>
      </w:r>
      <w:r w:rsidRPr="00DD2721">
        <w:t>).</w:t>
      </w:r>
    </w:p>
  </w:footnote>
  <w:footnote w:id="127">
    <w:p w14:paraId="11C9DDD8" w14:textId="374914BE" w:rsidR="00986688" w:rsidRPr="00213287" w:rsidRDefault="00986688">
      <w:pPr>
        <w:pStyle w:val="a5"/>
        <w:rPr>
          <w:lang w:val="en-US"/>
        </w:rPr>
      </w:pPr>
      <w:r>
        <w:rPr>
          <w:rStyle w:val="a7"/>
        </w:rPr>
        <w:footnoteRef/>
      </w:r>
      <w:r w:rsidRPr="00F52647">
        <w:rPr>
          <w:lang w:val="en-US"/>
        </w:rPr>
        <w:t xml:space="preserve"> </w:t>
      </w:r>
      <w:r>
        <w:rPr>
          <w:lang w:val="en-US"/>
        </w:rPr>
        <w:t xml:space="preserve">Greiner, L.E. </w:t>
      </w:r>
      <w:r w:rsidRPr="00C86B19">
        <w:rPr>
          <w:lang w:val="en-US"/>
        </w:rPr>
        <w:t>Evolution and revolution as organizations grow</w:t>
      </w:r>
      <w:r>
        <w:rPr>
          <w:lang w:val="en-US"/>
        </w:rPr>
        <w:t xml:space="preserve">. </w:t>
      </w:r>
      <w:r w:rsidRPr="009B4332">
        <w:rPr>
          <w:lang w:val="en-US"/>
        </w:rPr>
        <w:t>Harvard Business Review</w:t>
      </w:r>
      <w:r>
        <w:rPr>
          <w:lang w:val="en-US"/>
        </w:rPr>
        <w:t>, 1972.</w:t>
      </w:r>
    </w:p>
  </w:footnote>
  <w:footnote w:id="128">
    <w:p w14:paraId="629F7BF7" w14:textId="6CEA2E4C" w:rsidR="00986688" w:rsidRPr="00213287" w:rsidRDefault="00986688">
      <w:pPr>
        <w:pStyle w:val="a5"/>
        <w:rPr>
          <w:lang w:val="en-US"/>
        </w:rPr>
      </w:pPr>
      <w:r>
        <w:rPr>
          <w:rStyle w:val="a7"/>
        </w:rPr>
        <w:footnoteRef/>
      </w:r>
      <w:r w:rsidRPr="00F52647">
        <w:rPr>
          <w:lang w:val="en-US"/>
        </w:rPr>
        <w:t xml:space="preserve"> </w:t>
      </w:r>
      <w:r>
        <w:rPr>
          <w:lang w:val="en-US"/>
        </w:rPr>
        <w:t xml:space="preserve">Adizes, I. </w:t>
      </w:r>
      <w:r w:rsidRPr="002316FA">
        <w:rPr>
          <w:lang w:val="en-US"/>
        </w:rPr>
        <w:t>Managing Corporate Lifecycle. Adizes Institute Publications</w:t>
      </w:r>
      <w:r w:rsidRPr="00213287">
        <w:rPr>
          <w:lang w:val="en-US"/>
        </w:rPr>
        <w:t xml:space="preserve">, </w:t>
      </w:r>
      <w:r w:rsidRPr="002316FA">
        <w:rPr>
          <w:lang w:val="en-US"/>
        </w:rPr>
        <w:t>2023.</w:t>
      </w:r>
    </w:p>
  </w:footnote>
  <w:footnote w:id="129">
    <w:p w14:paraId="645C5154" w14:textId="5D32832D" w:rsidR="00986688" w:rsidRPr="00AC5CFD" w:rsidRDefault="00986688">
      <w:pPr>
        <w:pStyle w:val="a5"/>
        <w:rPr>
          <w:lang w:val="en-US"/>
        </w:rPr>
      </w:pPr>
      <w:r>
        <w:rPr>
          <w:rStyle w:val="a7"/>
        </w:rPr>
        <w:footnoteRef/>
      </w:r>
      <w:r w:rsidRPr="00AC5CFD">
        <w:rPr>
          <w:lang w:val="en-US"/>
        </w:rPr>
        <w:t xml:space="preserve"> Churchill, N.C., Lewis, V.L. The Five Stages of Small Business Growth. Harvard Business Review</w:t>
      </w:r>
      <w:r w:rsidRPr="00213287">
        <w:rPr>
          <w:lang w:val="en-US"/>
        </w:rPr>
        <w:t>,</w:t>
      </w:r>
      <w:r w:rsidRPr="00AC5CFD">
        <w:rPr>
          <w:lang w:val="en-US"/>
        </w:rPr>
        <w:t xml:space="preserve"> 1983. — Vol. 61, No. 3. — P. 30–50.</w:t>
      </w:r>
    </w:p>
  </w:footnote>
  <w:footnote w:id="130">
    <w:p w14:paraId="50635C10" w14:textId="7825B475" w:rsidR="00986688" w:rsidRPr="00AC5CFD" w:rsidRDefault="00986688">
      <w:pPr>
        <w:pStyle w:val="a5"/>
        <w:rPr>
          <w:lang w:val="en-US"/>
        </w:rPr>
      </w:pPr>
      <w:r>
        <w:rPr>
          <w:rStyle w:val="a7"/>
        </w:rPr>
        <w:footnoteRef/>
      </w:r>
      <w:r w:rsidRPr="00AC5CFD">
        <w:rPr>
          <w:lang w:val="en-US"/>
        </w:rPr>
        <w:t xml:space="preserve"> Miller, D., Friesen, P.H. A Longitudinal Study of the Corporate Life Cycle</w:t>
      </w:r>
      <w:r>
        <w:rPr>
          <w:lang w:val="en-US"/>
        </w:rPr>
        <w:t xml:space="preserve">. </w:t>
      </w:r>
      <w:r w:rsidRPr="00AC5CFD">
        <w:rPr>
          <w:lang w:val="en-US"/>
        </w:rPr>
        <w:t>Management Science</w:t>
      </w:r>
      <w:r>
        <w:rPr>
          <w:lang w:val="en-US"/>
        </w:rPr>
        <w:t>,</w:t>
      </w:r>
      <w:r w:rsidRPr="00AC5CFD">
        <w:rPr>
          <w:lang w:val="en-US"/>
        </w:rPr>
        <w:t xml:space="preserve"> 1984. — Vol. 30, No. 10. — P. 1161–1183.</w:t>
      </w:r>
    </w:p>
  </w:footnote>
  <w:footnote w:id="131">
    <w:p w14:paraId="791D6946" w14:textId="3420001F" w:rsidR="00986688" w:rsidRPr="004A434E" w:rsidRDefault="00986688">
      <w:pPr>
        <w:pStyle w:val="a5"/>
        <w:rPr>
          <w:lang w:val="en-US"/>
        </w:rPr>
      </w:pPr>
      <w:r>
        <w:rPr>
          <w:rStyle w:val="a7"/>
        </w:rPr>
        <w:footnoteRef/>
      </w:r>
      <w:r w:rsidRPr="004A434E">
        <w:rPr>
          <w:lang w:val="en-US"/>
        </w:rPr>
        <w:t xml:space="preserve"> Anthony, J.H., Ramesh, K. Association between Accounting Performance Measures and Stock Prices: A Test of the Life Cycle Hypothesis</w:t>
      </w:r>
      <w:r>
        <w:rPr>
          <w:lang w:val="en-US"/>
        </w:rPr>
        <w:t xml:space="preserve">. </w:t>
      </w:r>
      <w:r w:rsidRPr="004A434E">
        <w:rPr>
          <w:lang w:val="en-US"/>
        </w:rPr>
        <w:t>Journal of Accounting and Economics</w:t>
      </w:r>
      <w:r>
        <w:rPr>
          <w:lang w:val="en-US"/>
        </w:rPr>
        <w:t>,</w:t>
      </w:r>
      <w:r w:rsidRPr="004A434E">
        <w:rPr>
          <w:lang w:val="en-US"/>
        </w:rPr>
        <w:t xml:space="preserve"> 1992.</w:t>
      </w:r>
    </w:p>
  </w:footnote>
  <w:footnote w:id="132">
    <w:p w14:paraId="32FDE05C" w14:textId="4835ED2F" w:rsidR="00986688" w:rsidRPr="00EA7643" w:rsidRDefault="00986688">
      <w:pPr>
        <w:pStyle w:val="a5"/>
        <w:rPr>
          <w:lang w:val="en-US"/>
        </w:rPr>
      </w:pPr>
      <w:r>
        <w:rPr>
          <w:rStyle w:val="a7"/>
        </w:rPr>
        <w:footnoteRef/>
      </w:r>
      <w:r w:rsidRPr="00AC5CFD">
        <w:rPr>
          <w:lang w:val="en-US"/>
        </w:rPr>
        <w:t xml:space="preserve"> Dickinson, V. Cash Flow Patterns as a Proxy for Firm Life Cycle</w:t>
      </w:r>
      <w:r>
        <w:rPr>
          <w:lang w:val="en-US"/>
        </w:rPr>
        <w:t xml:space="preserve">. </w:t>
      </w:r>
      <w:r w:rsidRPr="00AC5CFD">
        <w:rPr>
          <w:lang w:val="en-US"/>
        </w:rPr>
        <w:t>The</w:t>
      </w:r>
      <w:r w:rsidRPr="00EA7643">
        <w:rPr>
          <w:lang w:val="en-US"/>
        </w:rPr>
        <w:t xml:space="preserve"> </w:t>
      </w:r>
      <w:r w:rsidRPr="00AC5CFD">
        <w:rPr>
          <w:lang w:val="en-US"/>
        </w:rPr>
        <w:t>Accounting</w:t>
      </w:r>
      <w:r w:rsidRPr="00EA7643">
        <w:rPr>
          <w:lang w:val="en-US"/>
        </w:rPr>
        <w:t xml:space="preserve"> </w:t>
      </w:r>
      <w:r w:rsidRPr="00AC5CFD">
        <w:rPr>
          <w:lang w:val="en-US"/>
        </w:rPr>
        <w:t>Review</w:t>
      </w:r>
      <w:r w:rsidRPr="00EA7643">
        <w:rPr>
          <w:lang w:val="en-US"/>
        </w:rPr>
        <w:t xml:space="preserve">, 2011. — </w:t>
      </w:r>
      <w:r w:rsidRPr="00AC5CFD">
        <w:rPr>
          <w:lang w:val="en-US"/>
        </w:rPr>
        <w:t>Vol</w:t>
      </w:r>
      <w:r w:rsidRPr="00EA7643">
        <w:rPr>
          <w:lang w:val="en-US"/>
        </w:rPr>
        <w:t xml:space="preserve">. 86, </w:t>
      </w:r>
      <w:r w:rsidRPr="00AC5CFD">
        <w:rPr>
          <w:lang w:val="en-US"/>
        </w:rPr>
        <w:t>No</w:t>
      </w:r>
      <w:r w:rsidRPr="00EA7643">
        <w:rPr>
          <w:lang w:val="en-US"/>
        </w:rPr>
        <w:t xml:space="preserve">. 6. — </w:t>
      </w:r>
      <w:r w:rsidRPr="00AC5CFD">
        <w:rPr>
          <w:lang w:val="en-US"/>
        </w:rPr>
        <w:t>P</w:t>
      </w:r>
      <w:r w:rsidRPr="00EA7643">
        <w:rPr>
          <w:lang w:val="en-US"/>
        </w:rPr>
        <w:t>. 1969–1994.</w:t>
      </w:r>
    </w:p>
  </w:footnote>
  <w:footnote w:id="133">
    <w:p w14:paraId="4CD3B8ED" w14:textId="77777777" w:rsidR="00986688" w:rsidRPr="00EA7643" w:rsidRDefault="00986688" w:rsidP="001E5DF5">
      <w:pPr>
        <w:pStyle w:val="a5"/>
        <w:rPr>
          <w:lang w:val="en-US"/>
        </w:rPr>
      </w:pPr>
      <w:r>
        <w:rPr>
          <w:rStyle w:val="a7"/>
        </w:rPr>
        <w:footnoteRef/>
      </w:r>
      <w:r w:rsidRPr="00F52647">
        <w:rPr>
          <w:lang w:val="en-US"/>
        </w:rPr>
        <w:t xml:space="preserve"> Berger, A.N., Udell, G.F. The Economics of Small Business Finance: The Roles of Private Equity and Debt Markets in the Financial Growth Cycle</w:t>
      </w:r>
      <w:r>
        <w:rPr>
          <w:lang w:val="en-US"/>
        </w:rPr>
        <w:t xml:space="preserve">. </w:t>
      </w:r>
      <w:r w:rsidRPr="00F52647">
        <w:rPr>
          <w:lang w:val="en-US"/>
        </w:rPr>
        <w:t>Journal</w:t>
      </w:r>
      <w:r w:rsidRPr="00EA7643">
        <w:rPr>
          <w:lang w:val="en-US"/>
        </w:rPr>
        <w:t xml:space="preserve"> </w:t>
      </w:r>
      <w:r w:rsidRPr="00F52647">
        <w:rPr>
          <w:lang w:val="en-US"/>
        </w:rPr>
        <w:t>of</w:t>
      </w:r>
      <w:r w:rsidRPr="00EA7643">
        <w:rPr>
          <w:lang w:val="en-US"/>
        </w:rPr>
        <w:t xml:space="preserve"> </w:t>
      </w:r>
      <w:r w:rsidRPr="00F52647">
        <w:rPr>
          <w:lang w:val="en-US"/>
        </w:rPr>
        <w:t>Banking</w:t>
      </w:r>
      <w:r w:rsidRPr="00EA7643">
        <w:rPr>
          <w:lang w:val="en-US"/>
        </w:rPr>
        <w:t xml:space="preserve"> </w:t>
      </w:r>
      <w:r w:rsidRPr="00F52647">
        <w:rPr>
          <w:lang w:val="en-US"/>
        </w:rPr>
        <w:t>and</w:t>
      </w:r>
      <w:r w:rsidRPr="00EA7643">
        <w:rPr>
          <w:lang w:val="en-US"/>
        </w:rPr>
        <w:t xml:space="preserve"> </w:t>
      </w:r>
      <w:r w:rsidRPr="00F52647">
        <w:rPr>
          <w:lang w:val="en-US"/>
        </w:rPr>
        <w:t>Finance</w:t>
      </w:r>
      <w:r w:rsidRPr="00EA7643">
        <w:rPr>
          <w:lang w:val="en-US"/>
        </w:rPr>
        <w:t xml:space="preserve">. 1998. — </w:t>
      </w:r>
      <w:r w:rsidRPr="00F52647">
        <w:rPr>
          <w:lang w:val="en-US"/>
        </w:rPr>
        <w:t>Vol</w:t>
      </w:r>
      <w:r w:rsidRPr="00EA7643">
        <w:rPr>
          <w:lang w:val="en-US"/>
        </w:rPr>
        <w:t xml:space="preserve">. 22, </w:t>
      </w:r>
      <w:r w:rsidRPr="00F52647">
        <w:rPr>
          <w:lang w:val="en-US"/>
        </w:rPr>
        <w:t>No</w:t>
      </w:r>
      <w:r w:rsidRPr="00EA7643">
        <w:rPr>
          <w:lang w:val="en-US"/>
        </w:rPr>
        <w:t xml:space="preserve">. 6–8. — </w:t>
      </w:r>
      <w:r w:rsidRPr="00F52647">
        <w:rPr>
          <w:lang w:val="en-US"/>
        </w:rPr>
        <w:t>P</w:t>
      </w:r>
      <w:r w:rsidRPr="00EA7643">
        <w:rPr>
          <w:lang w:val="en-US"/>
        </w:rPr>
        <w:t>. 613–673.</w:t>
      </w:r>
    </w:p>
  </w:footnote>
  <w:footnote w:id="134">
    <w:p w14:paraId="64482094" w14:textId="77777777" w:rsidR="00986688" w:rsidRPr="004C2BB5" w:rsidRDefault="00986688" w:rsidP="004C2BB5">
      <w:pPr>
        <w:pStyle w:val="a5"/>
        <w:rPr>
          <w:lang w:val="ru-RU"/>
        </w:rPr>
      </w:pPr>
      <w:r>
        <w:rPr>
          <w:rStyle w:val="a7"/>
        </w:rPr>
        <w:footnoteRef/>
      </w:r>
      <w:r w:rsidRPr="004C2BB5">
        <w:rPr>
          <w:lang w:val="en-US"/>
        </w:rPr>
        <w:t xml:space="preserve"> Invest Europe. Investments Stages. Invest Europe H1 Activity Data 2024 (Updated April 2025). URL</w:t>
      </w:r>
      <w:r w:rsidRPr="004C2BB5">
        <w:rPr>
          <w:lang w:val="ru-RU"/>
        </w:rPr>
        <w:t xml:space="preserve">: </w:t>
      </w:r>
      <w:r w:rsidRPr="004C2BB5">
        <w:rPr>
          <w:lang w:val="en-US"/>
        </w:rPr>
        <w:t>https</w:t>
      </w:r>
      <w:r w:rsidRPr="004C2BB5">
        <w:rPr>
          <w:lang w:val="ru-RU"/>
        </w:rPr>
        <w:t>://</w:t>
      </w:r>
      <w:r w:rsidRPr="004C2BB5">
        <w:rPr>
          <w:lang w:val="en-US"/>
        </w:rPr>
        <w:t>www</w:t>
      </w:r>
      <w:r w:rsidRPr="004C2BB5">
        <w:rPr>
          <w:lang w:val="ru-RU"/>
        </w:rPr>
        <w:t>.</w:t>
      </w:r>
      <w:r w:rsidRPr="004C2BB5">
        <w:rPr>
          <w:lang w:val="en-US"/>
        </w:rPr>
        <w:t>investeurope</w:t>
      </w:r>
      <w:r w:rsidRPr="004C2BB5">
        <w:rPr>
          <w:lang w:val="ru-RU"/>
        </w:rPr>
        <w:t>.</w:t>
      </w:r>
      <w:r w:rsidRPr="004C2BB5">
        <w:rPr>
          <w:lang w:val="en-US"/>
        </w:rPr>
        <w:t>eu</w:t>
      </w:r>
      <w:r w:rsidRPr="004C2BB5">
        <w:rPr>
          <w:lang w:val="ru-RU"/>
        </w:rPr>
        <w:t>/</w:t>
      </w:r>
      <w:r w:rsidRPr="004C2BB5">
        <w:rPr>
          <w:lang w:val="en-US"/>
        </w:rPr>
        <w:t>media</w:t>
      </w:r>
      <w:r w:rsidRPr="004C2BB5">
        <w:rPr>
          <w:lang w:val="ru-RU"/>
        </w:rPr>
        <w:t>/</w:t>
      </w:r>
      <w:r w:rsidRPr="004C2BB5">
        <w:rPr>
          <w:lang w:val="en-US"/>
        </w:rPr>
        <w:t>yo</w:t>
      </w:r>
      <w:r w:rsidRPr="004C2BB5">
        <w:rPr>
          <w:lang w:val="ru-RU"/>
        </w:rPr>
        <w:t>2</w:t>
      </w:r>
      <w:r w:rsidRPr="004C2BB5">
        <w:rPr>
          <w:lang w:val="en-US"/>
        </w:rPr>
        <w:t>b</w:t>
      </w:r>
      <w:r w:rsidRPr="004C2BB5">
        <w:rPr>
          <w:lang w:val="ru-RU"/>
        </w:rPr>
        <w:t>3</w:t>
      </w:r>
      <w:r w:rsidRPr="004C2BB5">
        <w:rPr>
          <w:lang w:val="en-US"/>
        </w:rPr>
        <w:t>r</w:t>
      </w:r>
      <w:r w:rsidRPr="004C2BB5">
        <w:rPr>
          <w:lang w:val="ru-RU"/>
        </w:rPr>
        <w:t>20/</w:t>
      </w:r>
      <w:r w:rsidRPr="004C2BB5">
        <w:rPr>
          <w:lang w:val="en-US"/>
        </w:rPr>
        <w:t>invest</w:t>
      </w:r>
      <w:r w:rsidRPr="004C2BB5">
        <w:rPr>
          <w:lang w:val="ru-RU"/>
        </w:rPr>
        <w:t>-</w:t>
      </w:r>
      <w:r w:rsidRPr="004C2BB5">
        <w:rPr>
          <w:lang w:val="en-US"/>
        </w:rPr>
        <w:t>europe</w:t>
      </w:r>
      <w:r w:rsidRPr="004C2BB5">
        <w:rPr>
          <w:lang w:val="ru-RU"/>
        </w:rPr>
        <w:t>-</w:t>
      </w:r>
      <w:r w:rsidRPr="004C2BB5">
        <w:rPr>
          <w:lang w:val="en-US"/>
        </w:rPr>
        <w:t>h</w:t>
      </w:r>
      <w:r w:rsidRPr="004C2BB5">
        <w:rPr>
          <w:lang w:val="ru-RU"/>
        </w:rPr>
        <w:t>1-</w:t>
      </w:r>
      <w:r w:rsidRPr="004C2BB5">
        <w:rPr>
          <w:lang w:val="en-US"/>
        </w:rPr>
        <w:t>activity</w:t>
      </w:r>
      <w:r w:rsidRPr="004C2BB5">
        <w:rPr>
          <w:lang w:val="ru-RU"/>
        </w:rPr>
        <w:t>-</w:t>
      </w:r>
      <w:r w:rsidRPr="004C2BB5">
        <w:rPr>
          <w:lang w:val="en-US"/>
        </w:rPr>
        <w:t>data</w:t>
      </w:r>
      <w:r w:rsidRPr="004C2BB5">
        <w:rPr>
          <w:lang w:val="ru-RU"/>
        </w:rPr>
        <w:t>-2024-</w:t>
      </w:r>
      <w:r w:rsidRPr="004C2BB5">
        <w:rPr>
          <w:lang w:val="en-US"/>
        </w:rPr>
        <w:t>updated</w:t>
      </w:r>
      <w:r w:rsidRPr="004C2BB5">
        <w:rPr>
          <w:lang w:val="ru-RU"/>
        </w:rPr>
        <w:t>-</w:t>
      </w:r>
      <w:r w:rsidRPr="004C2BB5">
        <w:rPr>
          <w:lang w:val="en-US"/>
        </w:rPr>
        <w:t>april</w:t>
      </w:r>
      <w:r w:rsidRPr="004C2BB5">
        <w:rPr>
          <w:lang w:val="ru-RU"/>
        </w:rPr>
        <w:t>-2025.</w:t>
      </w:r>
      <w:r w:rsidRPr="004C2BB5">
        <w:rPr>
          <w:lang w:val="en-US"/>
        </w:rPr>
        <w:t>pdf</w:t>
      </w:r>
      <w:r w:rsidRPr="004C2BB5">
        <w:rPr>
          <w:lang w:val="ru-RU"/>
        </w:rPr>
        <w:t xml:space="preserve"> (</w:t>
      </w:r>
      <w:r w:rsidRPr="004C2BB5">
        <w:t>дата</w:t>
      </w:r>
      <w:r w:rsidRPr="004C2BB5">
        <w:rPr>
          <w:lang w:val="ru-RU"/>
        </w:rPr>
        <w:t xml:space="preserve"> </w:t>
      </w:r>
      <w:r w:rsidRPr="004C2BB5">
        <w:t>обращения</w:t>
      </w:r>
      <w:r w:rsidRPr="004C2BB5">
        <w:rPr>
          <w:lang w:val="ru-RU"/>
        </w:rPr>
        <w:t>: 14.08.2026).</w:t>
      </w:r>
    </w:p>
  </w:footnote>
  <w:footnote w:id="135">
    <w:p w14:paraId="3BF15A56" w14:textId="119890A3" w:rsidR="00986688" w:rsidRPr="00986688" w:rsidRDefault="00986688">
      <w:pPr>
        <w:pStyle w:val="a5"/>
        <w:rPr>
          <w:lang w:val="en-US"/>
        </w:rPr>
      </w:pPr>
      <w:r>
        <w:rPr>
          <w:rStyle w:val="a7"/>
        </w:rPr>
        <w:footnoteRef/>
      </w:r>
      <w:r w:rsidRPr="00986688">
        <w:rPr>
          <w:lang w:val="en-US"/>
        </w:rPr>
        <w:t xml:space="preserve"> </w:t>
      </w:r>
      <w:r w:rsidRPr="002F3805">
        <w:rPr>
          <w:lang w:val="en-US"/>
        </w:rPr>
        <w:t>National</w:t>
      </w:r>
      <w:r w:rsidRPr="00986688">
        <w:rPr>
          <w:lang w:val="en-US"/>
        </w:rPr>
        <w:t xml:space="preserve"> </w:t>
      </w:r>
      <w:r w:rsidRPr="002F3805">
        <w:rPr>
          <w:lang w:val="en-US"/>
        </w:rPr>
        <w:t>Venture</w:t>
      </w:r>
      <w:r w:rsidRPr="00986688">
        <w:rPr>
          <w:lang w:val="en-US"/>
        </w:rPr>
        <w:t xml:space="preserve"> </w:t>
      </w:r>
      <w:r w:rsidRPr="002F3805">
        <w:rPr>
          <w:lang w:val="en-US"/>
        </w:rPr>
        <w:t>Capital</w:t>
      </w:r>
      <w:r w:rsidRPr="00986688">
        <w:rPr>
          <w:lang w:val="en-US"/>
        </w:rPr>
        <w:t xml:space="preserve"> </w:t>
      </w:r>
      <w:r w:rsidRPr="002F3805">
        <w:rPr>
          <w:lang w:val="en-US"/>
        </w:rPr>
        <w:t>Association</w:t>
      </w:r>
      <w:r w:rsidRPr="00986688">
        <w:rPr>
          <w:lang w:val="en-US"/>
        </w:rPr>
        <w:t xml:space="preserve">. </w:t>
      </w:r>
      <w:r w:rsidRPr="002F3805">
        <w:rPr>
          <w:lang w:val="en-US"/>
        </w:rPr>
        <w:t>NVCA</w:t>
      </w:r>
      <w:r w:rsidRPr="00986688">
        <w:rPr>
          <w:lang w:val="en-US"/>
        </w:rPr>
        <w:t xml:space="preserve"> 2026 </w:t>
      </w:r>
      <w:r w:rsidRPr="002F3805">
        <w:rPr>
          <w:lang w:val="en-US"/>
        </w:rPr>
        <w:t>Yearbook</w:t>
      </w:r>
      <w:r w:rsidRPr="00986688">
        <w:rPr>
          <w:lang w:val="en-US"/>
        </w:rPr>
        <w:t xml:space="preserve">. </w:t>
      </w:r>
      <w:r w:rsidRPr="002F3805">
        <w:rPr>
          <w:lang w:val="en-US"/>
        </w:rPr>
        <w:t>National</w:t>
      </w:r>
      <w:r w:rsidRPr="00986688">
        <w:rPr>
          <w:lang w:val="en-US"/>
        </w:rPr>
        <w:t xml:space="preserve"> </w:t>
      </w:r>
      <w:r w:rsidRPr="002F3805">
        <w:rPr>
          <w:lang w:val="en-US"/>
        </w:rPr>
        <w:t>Venture</w:t>
      </w:r>
      <w:r w:rsidRPr="00986688">
        <w:rPr>
          <w:lang w:val="en-US"/>
        </w:rPr>
        <w:t xml:space="preserve"> </w:t>
      </w:r>
      <w:r w:rsidRPr="002F3805">
        <w:rPr>
          <w:lang w:val="en-US"/>
        </w:rPr>
        <w:t>Capital</w:t>
      </w:r>
      <w:r w:rsidRPr="00986688">
        <w:rPr>
          <w:lang w:val="en-US"/>
        </w:rPr>
        <w:t xml:space="preserve"> </w:t>
      </w:r>
      <w:r w:rsidRPr="002F3805">
        <w:rPr>
          <w:lang w:val="en-US"/>
        </w:rPr>
        <w:t>Association</w:t>
      </w:r>
      <w:r w:rsidRPr="00986688">
        <w:rPr>
          <w:lang w:val="en-US"/>
        </w:rPr>
        <w:t xml:space="preserve">, 2026. </w:t>
      </w:r>
      <w:r w:rsidRPr="002F3805">
        <w:rPr>
          <w:lang w:val="en-US"/>
        </w:rPr>
        <w:t>URL</w:t>
      </w:r>
      <w:r w:rsidRPr="00986688">
        <w:rPr>
          <w:lang w:val="en-US"/>
        </w:rPr>
        <w:t>:</w:t>
      </w:r>
      <w:r w:rsidRPr="002F3805">
        <w:rPr>
          <w:lang w:val="en-US"/>
        </w:rPr>
        <w:t> </w:t>
      </w:r>
      <w:hyperlink r:id="rId23" w:tgtFrame="_blank" w:history="1">
        <w:r w:rsidRPr="002F3805">
          <w:rPr>
            <w:rStyle w:val="a8"/>
            <w:lang w:val="en-US"/>
          </w:rPr>
          <w:t>https</w:t>
        </w:r>
        <w:r w:rsidRPr="00986688">
          <w:rPr>
            <w:rStyle w:val="a8"/>
            <w:lang w:val="en-US"/>
          </w:rPr>
          <w:t>://</w:t>
        </w:r>
        <w:r w:rsidRPr="002F3805">
          <w:rPr>
            <w:rStyle w:val="a8"/>
            <w:lang w:val="en-US"/>
          </w:rPr>
          <w:t>nvca</w:t>
        </w:r>
        <w:r w:rsidRPr="00986688">
          <w:rPr>
            <w:rStyle w:val="a8"/>
            <w:lang w:val="en-US"/>
          </w:rPr>
          <w:t>.</w:t>
        </w:r>
        <w:r w:rsidRPr="002F3805">
          <w:rPr>
            <w:rStyle w:val="a8"/>
            <w:lang w:val="en-US"/>
          </w:rPr>
          <w:t>org</w:t>
        </w:r>
        <w:r w:rsidRPr="00986688">
          <w:rPr>
            <w:rStyle w:val="a8"/>
            <w:lang w:val="en-US"/>
          </w:rPr>
          <w:t>/2026-</w:t>
        </w:r>
        <w:r w:rsidRPr="002F3805">
          <w:rPr>
            <w:rStyle w:val="a8"/>
            <w:lang w:val="en-US"/>
          </w:rPr>
          <w:t>nvca</w:t>
        </w:r>
        <w:r w:rsidRPr="00986688">
          <w:rPr>
            <w:rStyle w:val="a8"/>
            <w:lang w:val="en-US"/>
          </w:rPr>
          <w:t>-</w:t>
        </w:r>
        <w:r w:rsidRPr="002F3805">
          <w:rPr>
            <w:rStyle w:val="a8"/>
            <w:lang w:val="en-US"/>
          </w:rPr>
          <w:t>yearbook</w:t>
        </w:r>
        <w:r w:rsidRPr="00986688">
          <w:rPr>
            <w:rStyle w:val="a8"/>
            <w:lang w:val="en-US"/>
          </w:rPr>
          <w:t>/</w:t>
        </w:r>
      </w:hyperlink>
      <w:r w:rsidRPr="002F3805">
        <w:rPr>
          <w:lang w:val="en-US"/>
        </w:rPr>
        <w:t> </w:t>
      </w:r>
      <w:r w:rsidRPr="00986688">
        <w:rPr>
          <w:lang w:val="en-US"/>
        </w:rPr>
        <w:t>(</w:t>
      </w:r>
      <w:r w:rsidRPr="002F3805">
        <w:t>дата</w:t>
      </w:r>
      <w:r w:rsidRPr="00986688">
        <w:rPr>
          <w:lang w:val="en-US"/>
        </w:rPr>
        <w:t xml:space="preserve"> </w:t>
      </w:r>
      <w:r w:rsidRPr="002F3805">
        <w:t>обращения</w:t>
      </w:r>
      <w:r w:rsidRPr="00986688">
        <w:rPr>
          <w:lang w:val="en-US"/>
        </w:rPr>
        <w:t>: 14.08.2026).</w:t>
      </w:r>
    </w:p>
  </w:footnote>
  <w:footnote w:id="136">
    <w:p w14:paraId="6BDBF635" w14:textId="4EB9613C" w:rsidR="00986688" w:rsidRPr="003C1309" w:rsidRDefault="00986688">
      <w:pPr>
        <w:pStyle w:val="a5"/>
        <w:rPr>
          <w:lang w:val="ru-RU"/>
        </w:rPr>
      </w:pPr>
      <w:r>
        <w:rPr>
          <w:rStyle w:val="a7"/>
        </w:rPr>
        <w:footnoteRef/>
      </w:r>
      <w:r w:rsidRPr="003C1309">
        <w:rPr>
          <w:lang w:val="ru-RU"/>
        </w:rPr>
        <w:t xml:space="preserve"> </w:t>
      </w:r>
      <w:r w:rsidRPr="003C1309">
        <w:t>Методология сбора и анализа основных параметров деятельности российских фондов прямых и венчурных инвестиций</w:t>
      </w:r>
      <w:r w:rsidRPr="003C1309">
        <w:rPr>
          <w:lang w:val="ru-RU"/>
        </w:rPr>
        <w:t>.</w:t>
      </w:r>
      <w:r w:rsidRPr="003C1309">
        <w:t xml:space="preserve"> Российская ассоциация венчурного инвестирования. RVCA</w:t>
      </w:r>
      <w:r w:rsidRPr="003C1309">
        <w:rPr>
          <w:lang w:val="ru-RU"/>
        </w:rPr>
        <w:t>,</w:t>
      </w:r>
      <w:r w:rsidRPr="003C1309">
        <w:t xml:space="preserve"> 2015. URL: </w:t>
      </w:r>
      <w:hyperlink r:id="rId24" w:tgtFrame="_blank" w:history="1">
        <w:r w:rsidRPr="003C1309">
          <w:rPr>
            <w:rStyle w:val="a8"/>
          </w:rPr>
          <w:t>http://www.rvca.ru/rus/resource/library/methodology-of-data-collection-and-analysis-of-the-main-parameters-of-russian-venture-funds/</w:t>
        </w:r>
      </w:hyperlink>
      <w:r w:rsidRPr="003C1309">
        <w:t> (дата обращения: 14.08.2026).</w:t>
      </w:r>
    </w:p>
  </w:footnote>
  <w:footnote w:id="137">
    <w:p w14:paraId="23889F3E" w14:textId="276F3B64" w:rsidR="00986688" w:rsidRPr="00EE1A0A" w:rsidRDefault="00986688">
      <w:pPr>
        <w:pStyle w:val="a5"/>
        <w:rPr>
          <w:lang w:val="en-US"/>
        </w:rPr>
      </w:pPr>
      <w:r>
        <w:rPr>
          <w:rStyle w:val="a7"/>
        </w:rPr>
        <w:footnoteRef/>
      </w:r>
      <w:r w:rsidRPr="00BA3503">
        <w:rPr>
          <w:lang w:val="en-US"/>
        </w:rPr>
        <w:t xml:space="preserve"> </w:t>
      </w:r>
      <w:r w:rsidRPr="00336917">
        <w:rPr>
          <w:lang w:val="en-US"/>
        </w:rPr>
        <w:t>Plummer, J.L. QED Report on Venture Capital Financial Analysis. — Palo Alto: QED Research, Inc., 1987</w:t>
      </w:r>
      <w:r w:rsidRPr="00EE1A0A">
        <w:rPr>
          <w:lang w:val="en-US"/>
        </w:rPr>
        <w:t>.</w:t>
      </w:r>
    </w:p>
  </w:footnote>
  <w:footnote w:id="138">
    <w:p w14:paraId="081C1F50" w14:textId="2B305477" w:rsidR="00986688" w:rsidRPr="00850C18" w:rsidRDefault="00986688">
      <w:pPr>
        <w:pStyle w:val="a5"/>
        <w:rPr>
          <w:lang w:val="en-US"/>
        </w:rPr>
      </w:pPr>
      <w:r>
        <w:rPr>
          <w:rStyle w:val="a7"/>
        </w:rPr>
        <w:footnoteRef/>
      </w:r>
      <w:r w:rsidRPr="00850C18">
        <w:rPr>
          <w:lang w:val="en-US"/>
        </w:rPr>
        <w:t xml:space="preserve"> Sherlis, D. A Method for Valuing Venture Capital Investments</w:t>
      </w:r>
      <w:r>
        <w:rPr>
          <w:lang w:val="en-US"/>
        </w:rPr>
        <w:t xml:space="preserve">. </w:t>
      </w:r>
      <w:r w:rsidRPr="00850C18">
        <w:rPr>
          <w:lang w:val="en-US"/>
        </w:rPr>
        <w:t>Harvard Business School Working Paper</w:t>
      </w:r>
      <w:r>
        <w:rPr>
          <w:lang w:val="en-US"/>
        </w:rPr>
        <w:t>,</w:t>
      </w:r>
      <w:r w:rsidRPr="00850C18">
        <w:rPr>
          <w:lang w:val="en-US"/>
        </w:rPr>
        <w:t xml:space="preserve"> 1998. – № 98</w:t>
      </w:r>
      <w:r w:rsidRPr="00850C18">
        <w:rPr>
          <w:lang w:val="en-US"/>
        </w:rPr>
        <w:noBreakHyphen/>
        <w:t>012. – P. 1–32.</w:t>
      </w:r>
    </w:p>
  </w:footnote>
  <w:footnote w:id="139">
    <w:p w14:paraId="43D7C5B9" w14:textId="603F13F0" w:rsidR="00986688" w:rsidRPr="00850C18" w:rsidRDefault="00986688">
      <w:pPr>
        <w:pStyle w:val="a5"/>
        <w:rPr>
          <w:lang w:val="en-US"/>
        </w:rPr>
      </w:pPr>
      <w:r>
        <w:rPr>
          <w:rStyle w:val="a7"/>
        </w:rPr>
        <w:footnoteRef/>
      </w:r>
      <w:r w:rsidRPr="00850C18">
        <w:rPr>
          <w:lang w:val="en-US"/>
        </w:rPr>
        <w:t xml:space="preserve"> Sahlman, W</w:t>
      </w:r>
      <w:r>
        <w:rPr>
          <w:lang w:val="en-US"/>
        </w:rPr>
        <w:t>.</w:t>
      </w:r>
      <w:r w:rsidRPr="00850C18">
        <w:rPr>
          <w:lang w:val="en-US"/>
        </w:rPr>
        <w:t xml:space="preserve"> A.</w:t>
      </w:r>
      <w:r>
        <w:rPr>
          <w:lang w:val="en-US"/>
        </w:rPr>
        <w:t>,</w:t>
      </w:r>
      <w:r w:rsidRPr="00850C18">
        <w:rPr>
          <w:lang w:val="en-US"/>
        </w:rPr>
        <w:t xml:space="preserve"> H. H. Stevenson, A. Bhide</w:t>
      </w:r>
      <w:r>
        <w:rPr>
          <w:lang w:val="en-US"/>
        </w:rPr>
        <w:t xml:space="preserve">. </w:t>
      </w:r>
      <w:r w:rsidRPr="00850C18">
        <w:rPr>
          <w:lang w:val="en-US"/>
        </w:rPr>
        <w:t>Financing Entrepreneurial Ventures</w:t>
      </w:r>
      <w:r>
        <w:rPr>
          <w:lang w:val="en-US"/>
        </w:rPr>
        <w:t xml:space="preserve">. </w:t>
      </w:r>
      <w:r w:rsidRPr="00850C18">
        <w:rPr>
          <w:lang w:val="en-US"/>
        </w:rPr>
        <w:t>Harvard Business School Press</w:t>
      </w:r>
      <w:r>
        <w:rPr>
          <w:lang w:val="en-US"/>
        </w:rPr>
        <w:t>,</w:t>
      </w:r>
      <w:r w:rsidRPr="00850C18">
        <w:rPr>
          <w:lang w:val="en-US"/>
        </w:rPr>
        <w:t xml:space="preserve"> 1998. – 320 p. </w:t>
      </w:r>
    </w:p>
  </w:footnote>
  <w:footnote w:id="140">
    <w:p w14:paraId="3826CE5F" w14:textId="4AC6623A" w:rsidR="00986688" w:rsidRPr="00494CC7" w:rsidRDefault="00986688">
      <w:pPr>
        <w:pStyle w:val="a5"/>
      </w:pPr>
      <w:r>
        <w:rPr>
          <w:rStyle w:val="a7"/>
        </w:rPr>
        <w:footnoteRef/>
      </w:r>
      <w:r>
        <w:t xml:space="preserve"> </w:t>
      </w:r>
      <w:r w:rsidRPr="00494CC7">
        <w:t xml:space="preserve">Макушина, Е.Ю. Оценка и отражение в финансовой отчётности венчурных инвестиций : дис. ... канд. наук : 00.00.00 / Макушина Елена Юрьевна. — Москва, 2023. </w:t>
      </w:r>
    </w:p>
  </w:footnote>
  <w:footnote w:id="141">
    <w:p w14:paraId="5A1DBE0A" w14:textId="2F3C8870" w:rsidR="00986688" w:rsidRPr="00296390" w:rsidRDefault="00986688">
      <w:pPr>
        <w:pStyle w:val="a5"/>
        <w:rPr>
          <w:lang w:val="en-US"/>
        </w:rPr>
      </w:pPr>
      <w:r>
        <w:rPr>
          <w:rStyle w:val="a7"/>
        </w:rPr>
        <w:footnoteRef/>
      </w:r>
      <w:r w:rsidRPr="00296390">
        <w:rPr>
          <w:lang w:val="en-US"/>
        </w:rPr>
        <w:t xml:space="preserve"> </w:t>
      </w:r>
      <w:r w:rsidRPr="00E85A0A">
        <w:rPr>
          <w:lang w:val="en-US"/>
        </w:rPr>
        <w:t xml:space="preserve">American Institute of Certified Public Accountants. Valuation of Privately-Held-Company Equity Securities Issued as Compensation: AICPA Audit and Accounting Practice Aid Series. — New York: AICPA, 2004. — Chapter 4, Stages of Enterprise Development. — P. 13–14. — URL: </w:t>
      </w:r>
      <w:hyperlink r:id="rId25" w:history="1">
        <w:r w:rsidRPr="00E85A0A">
          <w:rPr>
            <w:rStyle w:val="a8"/>
            <w:lang w:val="en-US"/>
          </w:rPr>
          <w:t>https://egrove.olemiss.edu/aicpa_guides/64/</w:t>
        </w:r>
      </w:hyperlink>
      <w:r w:rsidRPr="00E85A0A">
        <w:rPr>
          <w:lang w:val="en-US"/>
        </w:rPr>
        <w:t xml:space="preserve"> </w:t>
      </w:r>
      <w:r w:rsidRPr="00296390">
        <w:rPr>
          <w:lang w:val="en-US"/>
        </w:rPr>
        <w:t>(</w:t>
      </w:r>
      <w:r w:rsidRPr="00296390">
        <w:t>дата</w:t>
      </w:r>
      <w:r w:rsidRPr="00296390">
        <w:rPr>
          <w:lang w:val="en-US"/>
        </w:rPr>
        <w:t xml:space="preserve"> </w:t>
      </w:r>
      <w:r w:rsidRPr="00296390">
        <w:t>обращения</w:t>
      </w:r>
      <w:r w:rsidRPr="00296390">
        <w:rPr>
          <w:lang w:val="en-US"/>
        </w:rPr>
        <w:t xml:space="preserve">: </w:t>
      </w:r>
      <w:r>
        <w:rPr>
          <w:lang w:val="en-US"/>
        </w:rPr>
        <w:t>04.09.2026</w:t>
      </w:r>
      <w:r w:rsidRPr="00296390">
        <w:rPr>
          <w:lang w:val="en-US"/>
        </w:rPr>
        <w:t>).</w:t>
      </w:r>
    </w:p>
  </w:footnote>
  <w:footnote w:id="142">
    <w:p w14:paraId="4B8749CB" w14:textId="71E1ABD4" w:rsidR="00986688" w:rsidRPr="007D76F4" w:rsidRDefault="00986688">
      <w:pPr>
        <w:pStyle w:val="a5"/>
        <w:rPr>
          <w:lang w:val="ru-RU"/>
        </w:rPr>
      </w:pPr>
      <w:r>
        <w:rPr>
          <w:rStyle w:val="a7"/>
        </w:rPr>
        <w:footnoteRef/>
      </w:r>
      <w:r>
        <w:t xml:space="preserve"> </w:t>
      </w:r>
      <w:r>
        <w:rPr>
          <w:lang w:val="ru-RU"/>
        </w:rPr>
        <w:t>Захаров</w:t>
      </w:r>
      <w:r w:rsidRPr="009B4332">
        <w:rPr>
          <w:lang w:val="ru-RU"/>
        </w:rPr>
        <w:t xml:space="preserve"> </w:t>
      </w:r>
      <w:r>
        <w:rPr>
          <w:lang w:val="ru-RU"/>
        </w:rPr>
        <w:t xml:space="preserve">С.В. </w:t>
      </w:r>
      <w:r w:rsidRPr="009B4332">
        <w:rPr>
          <w:lang w:val="ru-RU"/>
        </w:rPr>
        <w:t>Стратегия финансирования компании на различных стадиях жизненного цикла как инструмент увеличения ее стоимости для акционеров</w:t>
      </w:r>
      <w:r>
        <w:rPr>
          <w:color w:val="000000"/>
        </w:rPr>
        <w:t xml:space="preserve">: дис. ... канд. эконом. наук: 08.00.10 / </w:t>
      </w:r>
      <w:r w:rsidRPr="009B4332">
        <w:rPr>
          <w:color w:val="000000"/>
        </w:rPr>
        <w:t>Захаров Сергей Викторович</w:t>
      </w:r>
      <w:r>
        <w:rPr>
          <w:color w:val="000000"/>
        </w:rPr>
        <w:t>, — Москва, 201</w:t>
      </w:r>
      <w:r>
        <w:rPr>
          <w:color w:val="000000"/>
          <w:lang w:val="ru-RU"/>
        </w:rPr>
        <w:t>1</w:t>
      </w:r>
      <w:r>
        <w:rPr>
          <w:color w:val="000000"/>
        </w:rPr>
        <w:t>.</w:t>
      </w:r>
    </w:p>
  </w:footnote>
  <w:footnote w:id="143">
    <w:p w14:paraId="71739624" w14:textId="720736C6" w:rsidR="00986688" w:rsidRPr="00213287" w:rsidRDefault="00986688">
      <w:pPr>
        <w:pStyle w:val="a5"/>
        <w:rPr>
          <w:lang w:val="en-US"/>
        </w:rPr>
      </w:pPr>
      <w:r>
        <w:rPr>
          <w:rStyle w:val="a7"/>
        </w:rPr>
        <w:footnoteRef/>
      </w:r>
      <w:r w:rsidRPr="008F12FA">
        <w:rPr>
          <w:lang w:val="en-US"/>
        </w:rPr>
        <w:t xml:space="preserve"> </w:t>
      </w:r>
      <w:r w:rsidRPr="001E5DF5">
        <w:rPr>
          <w:lang w:val="en-US"/>
        </w:rPr>
        <w:t>Bulan, L.T., Yan, Z. Firm Maturity and the Pecking Order Theory // International Journal of Business and Economics. — 2010. — Vol. 9, No. 3. — P. 179–200.</w:t>
      </w:r>
    </w:p>
  </w:footnote>
  <w:footnote w:id="144">
    <w:p w14:paraId="2185DCCE" w14:textId="6F5DECAE" w:rsidR="00986688" w:rsidRPr="00213287" w:rsidRDefault="00986688">
      <w:pPr>
        <w:pStyle w:val="a5"/>
        <w:rPr>
          <w:lang w:val="ru-RU"/>
        </w:rPr>
      </w:pPr>
      <w:r>
        <w:rPr>
          <w:rStyle w:val="a7"/>
        </w:rPr>
        <w:footnoteRef/>
      </w:r>
      <w:r>
        <w:t xml:space="preserve"> </w:t>
      </w:r>
      <w:r w:rsidRPr="00213287">
        <w:t>Красильникова Е. В. Стратегии финансирования компаний на стадиях жизненного цикла с позиции устойчивого развития: дис. ... канд. эконом. наук: 00.00.00 / Красильникова Елена Вадимовна, - Москва, 2024.</w:t>
      </w:r>
    </w:p>
  </w:footnote>
  <w:footnote w:id="145">
    <w:p w14:paraId="3BB7B87F" w14:textId="3ABDEB17" w:rsidR="00986688" w:rsidRPr="00141D91" w:rsidRDefault="00986688">
      <w:pPr>
        <w:pStyle w:val="a5"/>
        <w:rPr>
          <w:lang w:val="en-US"/>
        </w:rPr>
      </w:pPr>
      <w:r>
        <w:rPr>
          <w:rStyle w:val="a7"/>
        </w:rPr>
        <w:footnoteRef/>
      </w:r>
      <w:r w:rsidRPr="00A60B34">
        <w:rPr>
          <w:lang w:val="en-US"/>
        </w:rPr>
        <w:t xml:space="preserve"> </w:t>
      </w:r>
      <w:r w:rsidRPr="004A748B">
        <w:rPr>
          <w:lang w:val="en-US"/>
        </w:rPr>
        <w:t>Sahlman, W.A. The Structure and Governance of Venture-Capital Organizations</w:t>
      </w:r>
      <w:r>
        <w:rPr>
          <w:lang w:val="en-US"/>
        </w:rPr>
        <w:t>.</w:t>
      </w:r>
      <w:r w:rsidRPr="004A748B">
        <w:rPr>
          <w:lang w:val="en-US"/>
        </w:rPr>
        <w:t xml:space="preserve"> Journal</w:t>
      </w:r>
      <w:r w:rsidRPr="008422E0">
        <w:rPr>
          <w:lang w:val="en-US"/>
        </w:rPr>
        <w:t xml:space="preserve"> </w:t>
      </w:r>
      <w:r w:rsidRPr="004A748B">
        <w:rPr>
          <w:lang w:val="en-US"/>
        </w:rPr>
        <w:t>of</w:t>
      </w:r>
      <w:r w:rsidRPr="008422E0">
        <w:rPr>
          <w:lang w:val="en-US"/>
        </w:rPr>
        <w:t xml:space="preserve"> </w:t>
      </w:r>
      <w:r w:rsidRPr="004A748B">
        <w:rPr>
          <w:lang w:val="en-US"/>
        </w:rPr>
        <w:t>Financial</w:t>
      </w:r>
      <w:r w:rsidRPr="008422E0">
        <w:rPr>
          <w:lang w:val="en-US"/>
        </w:rPr>
        <w:t xml:space="preserve"> </w:t>
      </w:r>
      <w:r w:rsidRPr="004A748B">
        <w:rPr>
          <w:lang w:val="en-US"/>
        </w:rPr>
        <w:t>Economics</w:t>
      </w:r>
      <w:r w:rsidRPr="008422E0">
        <w:rPr>
          <w:lang w:val="en-US"/>
        </w:rPr>
        <w:t xml:space="preserve">. — 1990. — </w:t>
      </w:r>
      <w:r w:rsidRPr="004A748B">
        <w:rPr>
          <w:lang w:val="en-US"/>
        </w:rPr>
        <w:t>Vol</w:t>
      </w:r>
      <w:r w:rsidRPr="008422E0">
        <w:rPr>
          <w:lang w:val="en-US"/>
        </w:rPr>
        <w:t xml:space="preserve">. 27, </w:t>
      </w:r>
      <w:r w:rsidRPr="004A748B">
        <w:rPr>
          <w:lang w:val="en-US"/>
        </w:rPr>
        <w:t>No</w:t>
      </w:r>
      <w:r w:rsidRPr="008422E0">
        <w:rPr>
          <w:lang w:val="en-US"/>
        </w:rPr>
        <w:t xml:space="preserve">. 2. — </w:t>
      </w:r>
      <w:r w:rsidRPr="004A748B">
        <w:rPr>
          <w:lang w:val="en-US"/>
        </w:rPr>
        <w:t>P</w:t>
      </w:r>
      <w:r w:rsidRPr="008422E0">
        <w:rPr>
          <w:lang w:val="en-US"/>
        </w:rPr>
        <w:t>. 473-521.</w:t>
      </w:r>
    </w:p>
  </w:footnote>
  <w:footnote w:id="146">
    <w:p w14:paraId="1FB07ED1" w14:textId="394B6030" w:rsidR="00986688" w:rsidRPr="00A60B34" w:rsidRDefault="00986688">
      <w:pPr>
        <w:pStyle w:val="a5"/>
        <w:rPr>
          <w:lang w:val="en-US"/>
        </w:rPr>
      </w:pPr>
      <w:r>
        <w:rPr>
          <w:rStyle w:val="a7"/>
        </w:rPr>
        <w:footnoteRef/>
      </w:r>
      <w:r w:rsidRPr="00A60B34">
        <w:rPr>
          <w:lang w:val="en-US"/>
        </w:rPr>
        <w:t xml:space="preserve"> Gompers, P.A. Optimal Investment, Monitoring, and the Staging of Venture Capital. The Journal of Finance. — 1995. — Vol. 50, No. 5. — P. 1461–1489.</w:t>
      </w:r>
    </w:p>
  </w:footnote>
  <w:footnote w:id="147">
    <w:p w14:paraId="68600D0E" w14:textId="547596F8" w:rsidR="00986688" w:rsidRPr="00A60B34" w:rsidRDefault="00986688">
      <w:pPr>
        <w:pStyle w:val="a5"/>
        <w:rPr>
          <w:lang w:val="en-US"/>
        </w:rPr>
      </w:pPr>
      <w:r>
        <w:rPr>
          <w:rStyle w:val="a7"/>
        </w:rPr>
        <w:footnoteRef/>
      </w:r>
      <w:r w:rsidRPr="00A60B34">
        <w:rPr>
          <w:lang w:val="en-US"/>
        </w:rPr>
        <w:t xml:space="preserve"> Gompers, P., Lerner, J. The Venture Capital Cycle. Cambridge: MIT Press, 2004.</w:t>
      </w:r>
    </w:p>
  </w:footnote>
  <w:footnote w:id="148">
    <w:p w14:paraId="026F9336" w14:textId="1F43525A" w:rsidR="00986688" w:rsidRPr="00BD7403" w:rsidRDefault="00986688">
      <w:pPr>
        <w:pStyle w:val="a5"/>
        <w:rPr>
          <w:lang w:val="en-US"/>
        </w:rPr>
      </w:pPr>
      <w:r>
        <w:rPr>
          <w:rStyle w:val="a7"/>
        </w:rPr>
        <w:footnoteRef/>
      </w:r>
      <w:r w:rsidRPr="00BD7403">
        <w:rPr>
          <w:lang w:val="en-US"/>
        </w:rPr>
        <w:t xml:space="preserve"> Jensen, M.C. Eclipse of the Public Corporation. Harvard Business Review, 1989. </w:t>
      </w:r>
    </w:p>
  </w:footnote>
  <w:footnote w:id="149">
    <w:p w14:paraId="4F4BA0CB" w14:textId="53346F32" w:rsidR="00986688" w:rsidRPr="00BD7403" w:rsidRDefault="00986688">
      <w:pPr>
        <w:pStyle w:val="a5"/>
        <w:rPr>
          <w:lang w:val="en-US"/>
        </w:rPr>
      </w:pPr>
      <w:r>
        <w:rPr>
          <w:rStyle w:val="a7"/>
        </w:rPr>
        <w:footnoteRef/>
      </w:r>
      <w:r w:rsidRPr="00BD7403">
        <w:rPr>
          <w:lang w:val="en-US"/>
        </w:rPr>
        <w:t xml:space="preserve"> Kaplan, S.N., Strömberg, P. Leveraged Buyouts and Private Equity. Journal of Economic Perspectives</w:t>
      </w:r>
      <w:r w:rsidRPr="00141D91">
        <w:rPr>
          <w:lang w:val="en-US"/>
        </w:rPr>
        <w:t>,</w:t>
      </w:r>
      <w:r w:rsidRPr="00BD7403">
        <w:rPr>
          <w:lang w:val="en-US"/>
        </w:rPr>
        <w:t xml:space="preserve"> 2009. </w:t>
      </w:r>
    </w:p>
  </w:footnote>
  <w:footnote w:id="150">
    <w:p w14:paraId="68A20B85" w14:textId="18AC383D" w:rsidR="00986688" w:rsidRPr="00BD7403" w:rsidRDefault="00986688">
      <w:pPr>
        <w:pStyle w:val="a5"/>
        <w:rPr>
          <w:lang w:val="en-US"/>
        </w:rPr>
      </w:pPr>
      <w:r>
        <w:rPr>
          <w:rStyle w:val="a7"/>
        </w:rPr>
        <w:footnoteRef/>
      </w:r>
      <w:r w:rsidRPr="00BD7403">
        <w:rPr>
          <w:lang w:val="en-US"/>
        </w:rPr>
        <w:t xml:space="preserve"> Kaplan, S.N., Schoar, A. Private Equity Performance: Returns, Persistence, and Capital Flows. The Journal of Finance</w:t>
      </w:r>
      <w:r w:rsidRPr="007E66B2">
        <w:rPr>
          <w:lang w:val="en-US"/>
        </w:rPr>
        <w:t>,</w:t>
      </w:r>
      <w:r w:rsidRPr="00BD7403">
        <w:rPr>
          <w:lang w:val="en-US"/>
        </w:rPr>
        <w:t xml:space="preserve"> 2005. — Vol. 60, No. 4. — P. 1791–1823.</w:t>
      </w:r>
    </w:p>
  </w:footnote>
  <w:footnote w:id="151">
    <w:p w14:paraId="3E53F9D4" w14:textId="70F69A9D" w:rsidR="00986688" w:rsidRPr="007E66B2" w:rsidRDefault="00986688" w:rsidP="00FD382B">
      <w:pPr>
        <w:pBdr>
          <w:top w:val="nil"/>
          <w:left w:val="nil"/>
          <w:bottom w:val="nil"/>
          <w:right w:val="nil"/>
          <w:between w:val="nil"/>
        </w:pBdr>
        <w:rPr>
          <w:color w:val="000000"/>
          <w:sz w:val="20"/>
          <w:szCs w:val="20"/>
          <w:lang w:val="en-US"/>
        </w:rPr>
      </w:pPr>
      <w:r>
        <w:rPr>
          <w:rStyle w:val="a7"/>
        </w:rPr>
        <w:footnoteRef/>
      </w:r>
      <w:r w:rsidRPr="00D90209">
        <w:rPr>
          <w:lang w:val="en-US"/>
        </w:rPr>
        <w:t xml:space="preserve"> </w:t>
      </w:r>
      <w:r w:rsidRPr="0086614D">
        <w:rPr>
          <w:color w:val="000000"/>
          <w:sz w:val="20"/>
          <w:szCs w:val="20"/>
          <w:lang w:val="en-US"/>
        </w:rPr>
        <w:t>Rock K. Why New Issues Are Underpriced. Journal</w:t>
      </w:r>
      <w:r w:rsidRPr="008422E0">
        <w:rPr>
          <w:color w:val="000000"/>
          <w:sz w:val="20"/>
          <w:szCs w:val="20"/>
          <w:lang w:val="en-US"/>
        </w:rPr>
        <w:t xml:space="preserve"> </w:t>
      </w:r>
      <w:r w:rsidRPr="0086614D">
        <w:rPr>
          <w:color w:val="000000"/>
          <w:sz w:val="20"/>
          <w:szCs w:val="20"/>
          <w:lang w:val="en-US"/>
        </w:rPr>
        <w:t>of</w:t>
      </w:r>
      <w:r w:rsidRPr="008422E0">
        <w:rPr>
          <w:color w:val="000000"/>
          <w:sz w:val="20"/>
          <w:szCs w:val="20"/>
          <w:lang w:val="en-US"/>
        </w:rPr>
        <w:t xml:space="preserve"> </w:t>
      </w:r>
      <w:r w:rsidRPr="0086614D">
        <w:rPr>
          <w:color w:val="000000"/>
          <w:sz w:val="20"/>
          <w:szCs w:val="20"/>
          <w:lang w:val="en-US"/>
        </w:rPr>
        <w:t>Financial</w:t>
      </w:r>
      <w:r w:rsidRPr="008422E0">
        <w:rPr>
          <w:color w:val="000000"/>
          <w:sz w:val="20"/>
          <w:szCs w:val="20"/>
          <w:lang w:val="en-US"/>
        </w:rPr>
        <w:t xml:space="preserve"> </w:t>
      </w:r>
      <w:r w:rsidRPr="0086614D">
        <w:rPr>
          <w:color w:val="000000"/>
          <w:sz w:val="20"/>
          <w:szCs w:val="20"/>
          <w:lang w:val="en-US"/>
        </w:rPr>
        <w:t>Economics</w:t>
      </w:r>
      <w:r w:rsidRPr="008422E0">
        <w:rPr>
          <w:color w:val="000000"/>
          <w:sz w:val="20"/>
          <w:szCs w:val="20"/>
          <w:lang w:val="en-US"/>
        </w:rPr>
        <w:t>, 1986.</w:t>
      </w:r>
    </w:p>
  </w:footnote>
  <w:footnote w:id="152">
    <w:p w14:paraId="543C50AB" w14:textId="7D5280D5" w:rsidR="00986688" w:rsidRPr="00FD382B" w:rsidRDefault="00986688">
      <w:pPr>
        <w:pStyle w:val="a5"/>
        <w:rPr>
          <w:lang w:val="en-US"/>
        </w:rPr>
      </w:pPr>
      <w:r>
        <w:rPr>
          <w:rStyle w:val="a7"/>
        </w:rPr>
        <w:footnoteRef/>
      </w:r>
      <w:r w:rsidRPr="00FD382B">
        <w:rPr>
          <w:lang w:val="en-US"/>
        </w:rPr>
        <w:t xml:space="preserve"> Leland, H., Pyle, D. Informational Asymmetries, Financial Structure, and Financial Intermediation. The Journal of Finance. — 1977. — Vol. 32, No. 2. — P. 371–387.</w:t>
      </w:r>
    </w:p>
  </w:footnote>
  <w:footnote w:id="153">
    <w:p w14:paraId="34E7E8D7" w14:textId="02F87416" w:rsidR="00986688" w:rsidRPr="009265A7" w:rsidRDefault="00986688" w:rsidP="009265A7">
      <w:pPr>
        <w:pStyle w:val="a5"/>
        <w:rPr>
          <w:lang w:val="en-US"/>
        </w:rPr>
      </w:pPr>
      <w:r>
        <w:rPr>
          <w:rStyle w:val="a7"/>
        </w:rPr>
        <w:footnoteRef/>
      </w:r>
      <w:r w:rsidRPr="009265A7">
        <w:rPr>
          <w:lang w:val="en-US"/>
        </w:rPr>
        <w:t xml:space="preserve"> </w:t>
      </w:r>
      <w:r w:rsidRPr="0086614D">
        <w:rPr>
          <w:color w:val="000000"/>
          <w:lang w:val="en-US"/>
        </w:rPr>
        <w:t>Ritter J. The Hot Issue Market. Journal of Business, 1984.</w:t>
      </w:r>
    </w:p>
  </w:footnote>
  <w:footnote w:id="154">
    <w:p w14:paraId="3C4B9A35" w14:textId="06197837" w:rsidR="00986688" w:rsidRPr="009265A7" w:rsidRDefault="00986688">
      <w:pPr>
        <w:pStyle w:val="a5"/>
        <w:rPr>
          <w:lang w:val="en-US"/>
        </w:rPr>
      </w:pPr>
      <w:r>
        <w:rPr>
          <w:rStyle w:val="a7"/>
        </w:rPr>
        <w:footnoteRef/>
      </w:r>
      <w:r w:rsidRPr="009265A7">
        <w:rPr>
          <w:lang w:val="en-US"/>
        </w:rPr>
        <w:t xml:space="preserve"> </w:t>
      </w:r>
      <w:r w:rsidRPr="0086614D">
        <w:rPr>
          <w:color w:val="000000"/>
          <w:lang w:val="en-US"/>
        </w:rPr>
        <w:t>Ljungqvist A., Nanda V., Singh R. Hot Markets, Investor Sentiment, and IPO Pricing. Journal of Business, 2006.</w:t>
      </w:r>
    </w:p>
  </w:footnote>
  <w:footnote w:id="155">
    <w:p w14:paraId="4362B078" w14:textId="3C7CE311" w:rsidR="00986688" w:rsidRPr="00A3409F" w:rsidRDefault="00986688">
      <w:pPr>
        <w:pStyle w:val="a5"/>
        <w:rPr>
          <w:lang w:val="en-US"/>
        </w:rPr>
      </w:pPr>
      <w:r>
        <w:rPr>
          <w:rStyle w:val="a7"/>
        </w:rPr>
        <w:footnoteRef/>
      </w:r>
      <w:r w:rsidRPr="00A3409F">
        <w:rPr>
          <w:lang w:val="en-US"/>
        </w:rPr>
        <w:t xml:space="preserve"> Jensen, M.C., W.H. Meckling. Theory of the Firm: Managerial Behavior, Agency Costs and Ownership Structure. Journal of Financial Economics. — 1976. — Vol. 3, No. 4. — P. 305–360.</w:t>
      </w:r>
    </w:p>
  </w:footnote>
  <w:footnote w:id="156">
    <w:p w14:paraId="5D4CB2D3" w14:textId="550DC265" w:rsidR="00986688" w:rsidRPr="0016401A" w:rsidRDefault="00986688">
      <w:pPr>
        <w:pStyle w:val="a5"/>
        <w:rPr>
          <w:lang w:val="en-US"/>
        </w:rPr>
      </w:pPr>
      <w:r>
        <w:rPr>
          <w:rStyle w:val="a7"/>
        </w:rPr>
        <w:footnoteRef/>
      </w:r>
      <w:r w:rsidRPr="0016401A">
        <w:rPr>
          <w:lang w:val="en-US"/>
        </w:rPr>
        <w:t xml:space="preserve"> Madden, B.J., Stevens, D.E. Michael Jensen's Contributions to the Theory of the Firm: A Tribute in Three Acts. Journal of Applied Corporate Finance. — 2025. — Vol. 37, No. 3. — P. 70–78.</w:t>
      </w:r>
    </w:p>
  </w:footnote>
  <w:footnote w:id="157">
    <w:p w14:paraId="1794E31D" w14:textId="4B601968" w:rsidR="00986688" w:rsidRPr="00885832" w:rsidRDefault="00986688">
      <w:pPr>
        <w:pStyle w:val="a5"/>
        <w:rPr>
          <w:lang w:val="en-US"/>
        </w:rPr>
      </w:pPr>
      <w:r>
        <w:rPr>
          <w:rStyle w:val="a7"/>
        </w:rPr>
        <w:footnoteRef/>
      </w:r>
      <w:r w:rsidRPr="00885832">
        <w:rPr>
          <w:lang w:val="en-US"/>
        </w:rPr>
        <w:t xml:space="preserve"> Akerlof, G.A. The Market for "Lemons": Quality Uncertainty and the Market Mechanism. The Quarterly Journal of Economics. — 1970. — Vol. 84, No. 3. — P. 488–500.</w:t>
      </w:r>
    </w:p>
  </w:footnote>
  <w:footnote w:id="158">
    <w:p w14:paraId="02B7573C" w14:textId="45EF3EAB" w:rsidR="00986688" w:rsidRPr="00885832" w:rsidRDefault="00986688">
      <w:pPr>
        <w:pStyle w:val="a5"/>
        <w:rPr>
          <w:lang w:val="en-US"/>
        </w:rPr>
      </w:pPr>
      <w:r>
        <w:rPr>
          <w:rStyle w:val="a7"/>
        </w:rPr>
        <w:footnoteRef/>
      </w:r>
      <w:r w:rsidRPr="00885832">
        <w:rPr>
          <w:lang w:val="en-US"/>
        </w:rPr>
        <w:t xml:space="preserve"> Spence, M. Job Market Signaling / M. Spence // The Quarterly Journal of Economics. — 1973. — Vol. 87, No. 3. — P. 355–374.</w:t>
      </w:r>
    </w:p>
  </w:footnote>
  <w:footnote w:id="159">
    <w:p w14:paraId="4754B12C" w14:textId="1B87E51B" w:rsidR="00986688" w:rsidRPr="00C82BB8" w:rsidRDefault="00986688">
      <w:pPr>
        <w:pStyle w:val="a5"/>
        <w:rPr>
          <w:lang w:val="en-US"/>
        </w:rPr>
      </w:pPr>
      <w:r>
        <w:rPr>
          <w:rStyle w:val="a7"/>
        </w:rPr>
        <w:footnoteRef/>
      </w:r>
      <w:r w:rsidRPr="00C82BB8">
        <w:rPr>
          <w:lang w:val="en-US"/>
        </w:rPr>
        <w:t xml:space="preserve"> Michaely, R. Corporate Dividend Policies: Lessons from Private Firms / R. Michaely, M.R. Roberts // The Review of Financial Studies. — 2012. — Vol. 25, No. 3. — P. 711–746.</w:t>
      </w:r>
    </w:p>
  </w:footnote>
  <w:footnote w:id="160">
    <w:p w14:paraId="5F06CA3C" w14:textId="40373FF1" w:rsidR="00986688" w:rsidRPr="00F75582" w:rsidRDefault="00986688">
      <w:pPr>
        <w:pStyle w:val="a5"/>
        <w:rPr>
          <w:lang w:val="en-US"/>
        </w:rPr>
      </w:pPr>
      <w:r>
        <w:rPr>
          <w:rStyle w:val="a7"/>
        </w:rPr>
        <w:footnoteRef/>
      </w:r>
      <w:r w:rsidRPr="00F75582">
        <w:rPr>
          <w:lang w:val="en-US"/>
        </w:rPr>
        <w:t xml:space="preserve"> La Porta, R. Agency Problems and Dividend Policies Around the World / R. La Porta, F. Lopez-de-Silanes, A. Shleifer, R. Vishny // The Journal of Finance. — 2000. — Vol. 55, No. 1. — P. 1–33.</w:t>
      </w:r>
    </w:p>
  </w:footnote>
  <w:footnote w:id="161">
    <w:p w14:paraId="4A43DD27" w14:textId="278A9817" w:rsidR="00986688" w:rsidRPr="001A54C1" w:rsidRDefault="00986688">
      <w:pPr>
        <w:pStyle w:val="a5"/>
        <w:rPr>
          <w:lang w:val="ru-RU"/>
        </w:rPr>
      </w:pPr>
      <w:r>
        <w:rPr>
          <w:rStyle w:val="a7"/>
        </w:rPr>
        <w:footnoteRef/>
      </w:r>
      <w:r>
        <w:t xml:space="preserve"> </w:t>
      </w:r>
      <w:r w:rsidRPr="001A54C1">
        <w:t>Григорьев В.В., Островкин И.М. Оценка предприятий: имущественный подход. — М.: Дело, 1998.</w:t>
      </w:r>
    </w:p>
  </w:footnote>
  <w:footnote w:id="162">
    <w:p w14:paraId="4E7289E1" w14:textId="272F9CA7" w:rsidR="00986688" w:rsidRPr="001A54C1" w:rsidRDefault="00986688">
      <w:pPr>
        <w:pStyle w:val="a5"/>
        <w:rPr>
          <w:lang w:val="ru-RU"/>
        </w:rPr>
      </w:pPr>
      <w:r>
        <w:rPr>
          <w:rStyle w:val="a7"/>
        </w:rPr>
        <w:footnoteRef/>
      </w:r>
      <w:r>
        <w:t xml:space="preserve"> </w:t>
      </w:r>
      <w:r w:rsidRPr="001A54C1">
        <w:t>Коупленд Т., Коллер Т., Муррин Дж. Стоимость компаний: оценка и управление. — М.: ЗАО «Олимп-Бизнес», 2005.</w:t>
      </w:r>
    </w:p>
  </w:footnote>
  <w:footnote w:id="163">
    <w:p w14:paraId="45D8B6D9" w14:textId="46024DDF" w:rsidR="00986688" w:rsidRPr="00A1177A" w:rsidRDefault="00986688">
      <w:pPr>
        <w:pStyle w:val="a5"/>
        <w:rPr>
          <w:lang w:val="en-US"/>
        </w:rPr>
      </w:pPr>
      <w:r>
        <w:rPr>
          <w:rStyle w:val="a7"/>
        </w:rPr>
        <w:footnoteRef/>
      </w:r>
      <w:r w:rsidRPr="007F302F">
        <w:rPr>
          <w:lang w:val="en-US"/>
        </w:rPr>
        <w:t xml:space="preserve"> Gordon, M.J. The Investment, Financing, and Valuation of the Corporation. — Homewood: R.D. Irwin, 1962.</w:t>
      </w:r>
    </w:p>
  </w:footnote>
  <w:footnote w:id="164">
    <w:p w14:paraId="6FCA288A" w14:textId="414C9B43" w:rsidR="00986688" w:rsidRPr="003E63A8" w:rsidRDefault="00986688">
      <w:pPr>
        <w:pStyle w:val="a5"/>
        <w:rPr>
          <w:lang w:val="en-US"/>
        </w:rPr>
      </w:pPr>
      <w:r>
        <w:rPr>
          <w:rStyle w:val="a7"/>
        </w:rPr>
        <w:footnoteRef/>
      </w:r>
      <w:r w:rsidRPr="003E63A8">
        <w:rPr>
          <w:lang w:val="en-US"/>
        </w:rPr>
        <w:t xml:space="preserve"> Berk, J., DeMarzo </w:t>
      </w:r>
      <w:r>
        <w:rPr>
          <w:lang w:val="en-US"/>
        </w:rPr>
        <w:t>P.</w:t>
      </w:r>
      <w:r w:rsidRPr="003E63A8">
        <w:rPr>
          <w:lang w:val="en-US"/>
        </w:rPr>
        <w:t xml:space="preserve"> Corporate Finance</w:t>
      </w:r>
      <w:r>
        <w:rPr>
          <w:lang w:val="en-US"/>
        </w:rPr>
        <w:t xml:space="preserve">. </w:t>
      </w:r>
      <w:r w:rsidRPr="003E63A8">
        <w:rPr>
          <w:lang w:val="en-US"/>
        </w:rPr>
        <w:t>6th Global ed. Harlow: Pearson Education, 2024. – 1195 p.</w:t>
      </w:r>
    </w:p>
  </w:footnote>
  <w:footnote w:id="165">
    <w:p w14:paraId="19992355" w14:textId="55C4AF3A" w:rsidR="00986688" w:rsidRPr="00AE7320" w:rsidRDefault="00986688">
      <w:pPr>
        <w:pStyle w:val="a5"/>
        <w:rPr>
          <w:lang w:val="ru-RU"/>
        </w:rPr>
      </w:pPr>
      <w:r>
        <w:rPr>
          <w:rStyle w:val="a7"/>
        </w:rPr>
        <w:footnoteRef/>
      </w:r>
      <w:r w:rsidRPr="00F45D18">
        <w:rPr>
          <w:lang w:val="en-US"/>
        </w:rPr>
        <w:t xml:space="preserve"> Corporate Finance Institute. H-Model: Definition, Formula and Application.</w:t>
      </w:r>
      <w:r>
        <w:rPr>
          <w:lang w:val="en-US"/>
        </w:rPr>
        <w:t xml:space="preserve"> </w:t>
      </w:r>
      <w:r w:rsidRPr="00F45D18">
        <w:rPr>
          <w:lang w:val="en-US"/>
        </w:rPr>
        <w:t>URL</w:t>
      </w:r>
      <w:r w:rsidRPr="00AE7320">
        <w:rPr>
          <w:lang w:val="ru-RU"/>
        </w:rPr>
        <w:t>:</w:t>
      </w:r>
      <w:r w:rsidRPr="00F45D18">
        <w:rPr>
          <w:lang w:val="en-US"/>
        </w:rPr>
        <w:t> </w:t>
      </w:r>
      <w:hyperlink r:id="rId26" w:history="1">
        <w:r w:rsidRPr="00AE7320">
          <w:rPr>
            <w:rStyle w:val="a8"/>
          </w:rPr>
          <w:t>https://corporatefinanceinstitute.com/resources/valuation/h-model/</w:t>
        </w:r>
      </w:hyperlink>
      <w:r w:rsidRPr="00F45D18">
        <w:rPr>
          <w:lang w:val="en-US"/>
        </w:rPr>
        <w:t> </w:t>
      </w:r>
      <w:r w:rsidRPr="00AE7320">
        <w:rPr>
          <w:lang w:val="ru-RU"/>
        </w:rPr>
        <w:t>(</w:t>
      </w:r>
      <w:r w:rsidRPr="00F45D18">
        <w:t>дата</w:t>
      </w:r>
      <w:r w:rsidRPr="00AE7320">
        <w:rPr>
          <w:lang w:val="ru-RU"/>
        </w:rPr>
        <w:t xml:space="preserve"> </w:t>
      </w:r>
      <w:r w:rsidRPr="00F45D18">
        <w:t>обращения</w:t>
      </w:r>
      <w:r w:rsidRPr="00AE7320">
        <w:rPr>
          <w:lang w:val="ru-RU"/>
        </w:rPr>
        <w:t>: 24.08.2026).</w:t>
      </w:r>
    </w:p>
  </w:footnote>
  <w:footnote w:id="166">
    <w:p w14:paraId="6FA1DF15" w14:textId="77693D8C" w:rsidR="00986688" w:rsidRPr="00AF67DF" w:rsidRDefault="00986688">
      <w:pPr>
        <w:pStyle w:val="a5"/>
        <w:rPr>
          <w:lang w:val="ru-RU"/>
        </w:rPr>
      </w:pPr>
      <w:r>
        <w:rPr>
          <w:rStyle w:val="a7"/>
        </w:rPr>
        <w:footnoteRef/>
      </w:r>
      <w:r w:rsidRPr="00627149">
        <w:rPr>
          <w:lang w:val="en-US"/>
        </w:rPr>
        <w:t xml:space="preserve"> Estimating Terminal Value using the H-Model</w:t>
      </w:r>
      <w:r>
        <w:rPr>
          <w:lang w:val="en-US"/>
        </w:rPr>
        <w:t xml:space="preserve">. </w:t>
      </w:r>
      <w:r w:rsidRPr="00627149">
        <w:rPr>
          <w:lang w:val="en-US"/>
        </w:rPr>
        <w:t>eFinancialModels. URL</w:t>
      </w:r>
      <w:r w:rsidRPr="00AF67DF">
        <w:rPr>
          <w:lang w:val="ru-RU"/>
        </w:rPr>
        <w:t xml:space="preserve">: </w:t>
      </w:r>
      <w:hyperlink r:id="rId27" w:history="1">
        <w:r w:rsidRPr="00627149">
          <w:rPr>
            <w:rStyle w:val="a8"/>
            <w:lang w:val="en-US"/>
          </w:rPr>
          <w:t>https</w:t>
        </w:r>
        <w:r w:rsidRPr="00AF67DF">
          <w:rPr>
            <w:rStyle w:val="a8"/>
            <w:lang w:val="ru-RU"/>
          </w:rPr>
          <w:t>://</w:t>
        </w:r>
        <w:r w:rsidRPr="00627149">
          <w:rPr>
            <w:rStyle w:val="a8"/>
            <w:lang w:val="en-US"/>
          </w:rPr>
          <w:t>www</w:t>
        </w:r>
        <w:r w:rsidRPr="00AF67DF">
          <w:rPr>
            <w:rStyle w:val="a8"/>
            <w:lang w:val="ru-RU"/>
          </w:rPr>
          <w:t>.</w:t>
        </w:r>
        <w:r w:rsidRPr="00627149">
          <w:rPr>
            <w:rStyle w:val="a8"/>
            <w:lang w:val="en-US"/>
          </w:rPr>
          <w:t>efinancialmodels</w:t>
        </w:r>
        <w:r w:rsidRPr="00AF67DF">
          <w:rPr>
            <w:rStyle w:val="a8"/>
            <w:lang w:val="ru-RU"/>
          </w:rPr>
          <w:t>.</w:t>
        </w:r>
        <w:r w:rsidRPr="00627149">
          <w:rPr>
            <w:rStyle w:val="a8"/>
            <w:lang w:val="en-US"/>
          </w:rPr>
          <w:t>com</w:t>
        </w:r>
        <w:r w:rsidRPr="00AF67DF">
          <w:rPr>
            <w:rStyle w:val="a8"/>
            <w:lang w:val="ru-RU"/>
          </w:rPr>
          <w:t>/</w:t>
        </w:r>
        <w:r w:rsidRPr="00627149">
          <w:rPr>
            <w:rStyle w:val="a8"/>
            <w:lang w:val="en-US"/>
          </w:rPr>
          <w:t>knowledge</w:t>
        </w:r>
        <w:r w:rsidRPr="00AF67DF">
          <w:rPr>
            <w:rStyle w:val="a8"/>
            <w:lang w:val="ru-RU"/>
          </w:rPr>
          <w:t>-</w:t>
        </w:r>
        <w:r w:rsidRPr="00627149">
          <w:rPr>
            <w:rStyle w:val="a8"/>
            <w:lang w:val="en-US"/>
          </w:rPr>
          <w:t>base</w:t>
        </w:r>
        <w:r w:rsidRPr="00AF67DF">
          <w:rPr>
            <w:rStyle w:val="a8"/>
            <w:lang w:val="ru-RU"/>
          </w:rPr>
          <w:t>/</w:t>
        </w:r>
        <w:r w:rsidRPr="00627149">
          <w:rPr>
            <w:rStyle w:val="a8"/>
            <w:lang w:val="en-US"/>
          </w:rPr>
          <w:t>valuation</w:t>
        </w:r>
        <w:r w:rsidRPr="00AF67DF">
          <w:rPr>
            <w:rStyle w:val="a8"/>
            <w:lang w:val="ru-RU"/>
          </w:rPr>
          <w:t>/</w:t>
        </w:r>
        <w:r w:rsidRPr="00627149">
          <w:rPr>
            <w:rStyle w:val="a8"/>
            <w:lang w:val="en-US"/>
          </w:rPr>
          <w:t>terminal</w:t>
        </w:r>
        <w:r w:rsidRPr="00AF67DF">
          <w:rPr>
            <w:rStyle w:val="a8"/>
            <w:lang w:val="ru-RU"/>
          </w:rPr>
          <w:t>-</w:t>
        </w:r>
        <w:r w:rsidRPr="00627149">
          <w:rPr>
            <w:rStyle w:val="a8"/>
            <w:lang w:val="en-US"/>
          </w:rPr>
          <w:t>value</w:t>
        </w:r>
        <w:r w:rsidRPr="00AF67DF">
          <w:rPr>
            <w:rStyle w:val="a8"/>
            <w:lang w:val="ru-RU"/>
          </w:rPr>
          <w:t>/</w:t>
        </w:r>
        <w:r w:rsidRPr="00627149">
          <w:rPr>
            <w:rStyle w:val="a8"/>
            <w:lang w:val="en-US"/>
          </w:rPr>
          <w:t>estimating</w:t>
        </w:r>
        <w:r w:rsidRPr="00AF67DF">
          <w:rPr>
            <w:rStyle w:val="a8"/>
            <w:lang w:val="ru-RU"/>
          </w:rPr>
          <w:t>-</w:t>
        </w:r>
        <w:r w:rsidRPr="00627149">
          <w:rPr>
            <w:rStyle w:val="a8"/>
            <w:lang w:val="en-US"/>
          </w:rPr>
          <w:t>terminal</w:t>
        </w:r>
        <w:r w:rsidRPr="00AF67DF">
          <w:rPr>
            <w:rStyle w:val="a8"/>
            <w:lang w:val="ru-RU"/>
          </w:rPr>
          <w:t>-</w:t>
        </w:r>
        <w:r w:rsidRPr="00627149">
          <w:rPr>
            <w:rStyle w:val="a8"/>
            <w:lang w:val="en-US"/>
          </w:rPr>
          <w:t>value</w:t>
        </w:r>
        <w:r w:rsidRPr="00AF67DF">
          <w:rPr>
            <w:rStyle w:val="a8"/>
            <w:lang w:val="ru-RU"/>
          </w:rPr>
          <w:t>-</w:t>
        </w:r>
        <w:r w:rsidRPr="00627149">
          <w:rPr>
            <w:rStyle w:val="a8"/>
            <w:lang w:val="en-US"/>
          </w:rPr>
          <w:t>using</w:t>
        </w:r>
        <w:r w:rsidRPr="00AF67DF">
          <w:rPr>
            <w:rStyle w:val="a8"/>
            <w:lang w:val="ru-RU"/>
          </w:rPr>
          <w:t>-</w:t>
        </w:r>
        <w:r w:rsidRPr="00627149">
          <w:rPr>
            <w:rStyle w:val="a8"/>
            <w:lang w:val="en-US"/>
          </w:rPr>
          <w:t>the</w:t>
        </w:r>
        <w:r w:rsidRPr="00AF67DF">
          <w:rPr>
            <w:rStyle w:val="a8"/>
            <w:lang w:val="ru-RU"/>
          </w:rPr>
          <w:t>-</w:t>
        </w:r>
        <w:r w:rsidRPr="00627149">
          <w:rPr>
            <w:rStyle w:val="a8"/>
            <w:lang w:val="en-US"/>
          </w:rPr>
          <w:t>h</w:t>
        </w:r>
        <w:r w:rsidRPr="00AF67DF">
          <w:rPr>
            <w:rStyle w:val="a8"/>
            <w:lang w:val="ru-RU"/>
          </w:rPr>
          <w:t>-</w:t>
        </w:r>
        <w:r w:rsidRPr="00627149">
          <w:rPr>
            <w:rStyle w:val="a8"/>
            <w:lang w:val="en-US"/>
          </w:rPr>
          <w:t>model</w:t>
        </w:r>
        <w:r w:rsidRPr="00AF67DF">
          <w:rPr>
            <w:rStyle w:val="a8"/>
            <w:lang w:val="ru-RU"/>
          </w:rPr>
          <w:t>/</w:t>
        </w:r>
      </w:hyperlink>
      <w:r w:rsidRPr="00AF67DF">
        <w:rPr>
          <w:lang w:val="ru-RU"/>
        </w:rPr>
        <w:t xml:space="preserve"> (</w:t>
      </w:r>
      <w:r w:rsidRPr="00627149">
        <w:t>дата</w:t>
      </w:r>
      <w:r w:rsidRPr="00AF67DF">
        <w:rPr>
          <w:lang w:val="ru-RU"/>
        </w:rPr>
        <w:t xml:space="preserve"> </w:t>
      </w:r>
      <w:r w:rsidRPr="00627149">
        <w:t>обращения</w:t>
      </w:r>
      <w:r w:rsidRPr="00AF67DF">
        <w:rPr>
          <w:lang w:val="ru-RU"/>
        </w:rPr>
        <w:t>: 29.08.2026).</w:t>
      </w:r>
    </w:p>
  </w:footnote>
  <w:footnote w:id="167">
    <w:p w14:paraId="7774F1DD" w14:textId="3B4D824A" w:rsidR="00986688" w:rsidRPr="00EC566B" w:rsidRDefault="00986688">
      <w:pPr>
        <w:pStyle w:val="a5"/>
        <w:rPr>
          <w:lang w:val="ru-RU"/>
        </w:rPr>
      </w:pPr>
      <w:r>
        <w:rPr>
          <w:rStyle w:val="a7"/>
        </w:rPr>
        <w:footnoteRef/>
      </w:r>
      <w:r>
        <w:t xml:space="preserve"> </w:t>
      </w:r>
      <w:r w:rsidRPr="00073A4F">
        <w:t>Коупленд Т., Коллер Т., Муррин Дж. Стоимость компаний: оценка и управление. — М.: ЗАО «Олимп-Бизнес», 2005.</w:t>
      </w:r>
    </w:p>
  </w:footnote>
  <w:footnote w:id="168">
    <w:p w14:paraId="6F4DA0FF" w14:textId="5F0BDABE" w:rsidR="00986688" w:rsidRPr="003A4F00" w:rsidRDefault="00986688">
      <w:pPr>
        <w:pStyle w:val="a5"/>
        <w:rPr>
          <w:lang w:val="en-US"/>
        </w:rPr>
      </w:pPr>
      <w:r>
        <w:rPr>
          <w:rStyle w:val="a7"/>
        </w:rPr>
        <w:footnoteRef/>
      </w:r>
      <w:r w:rsidRPr="003A4F00">
        <w:rPr>
          <w:lang w:val="en-US"/>
        </w:rPr>
        <w:t xml:space="preserve"> Sharpe, W.F. Capital Asset Prices: A Theory of Market Equilibrium under Conditions of Risk // The Journal of Finance. — 1964. — Vol. 19, No. 3. — P. 425–442.</w:t>
      </w:r>
    </w:p>
  </w:footnote>
  <w:footnote w:id="169">
    <w:p w14:paraId="21804E45" w14:textId="64A36FB4" w:rsidR="00986688" w:rsidRPr="0007664B" w:rsidRDefault="00986688">
      <w:pPr>
        <w:pStyle w:val="a5"/>
        <w:rPr>
          <w:lang w:val="en-US"/>
        </w:rPr>
      </w:pPr>
      <w:r>
        <w:rPr>
          <w:rStyle w:val="a7"/>
        </w:rPr>
        <w:footnoteRef/>
      </w:r>
      <w:r w:rsidRPr="0007664B">
        <w:rPr>
          <w:lang w:val="en-US"/>
        </w:rPr>
        <w:t xml:space="preserve"> </w:t>
      </w:r>
      <w:r w:rsidRPr="0086614D">
        <w:rPr>
          <w:color w:val="000000"/>
          <w:lang w:val="en-US"/>
        </w:rPr>
        <w:t xml:space="preserve">Damodaran A. Investment Valuation: Tools and Techniques for Determining the Value of Any Asset, 4th Edition. </w:t>
      </w:r>
      <w:r w:rsidRPr="0007664B">
        <w:rPr>
          <w:color w:val="000000"/>
          <w:lang w:val="en-US"/>
        </w:rPr>
        <w:t>Wiley, 2025.</w:t>
      </w:r>
    </w:p>
  </w:footnote>
  <w:footnote w:id="170">
    <w:p w14:paraId="41D84CB1" w14:textId="38A209E9" w:rsidR="00986688" w:rsidRPr="0007664B" w:rsidRDefault="00986688">
      <w:pPr>
        <w:pStyle w:val="a5"/>
        <w:rPr>
          <w:lang w:val="en-US"/>
        </w:rPr>
      </w:pPr>
      <w:r>
        <w:rPr>
          <w:rStyle w:val="a7"/>
        </w:rPr>
        <w:footnoteRef/>
      </w:r>
      <w:r w:rsidRPr="0007664B">
        <w:rPr>
          <w:lang w:val="en-US"/>
        </w:rPr>
        <w:t xml:space="preserve"> Hamada, R.S. The Effect of the Firm's Capital Structure on the Systematic Risk of Common Stocks. The Journal of Finance, 1972. — Vol. 27, No. 2. — P. 435–452.</w:t>
      </w:r>
    </w:p>
  </w:footnote>
  <w:footnote w:id="171">
    <w:p w14:paraId="21A4DE97" w14:textId="0553DEE0" w:rsidR="00986688" w:rsidRPr="0007664B" w:rsidRDefault="00986688">
      <w:pPr>
        <w:pStyle w:val="a5"/>
        <w:rPr>
          <w:lang w:val="en-US"/>
        </w:rPr>
      </w:pPr>
      <w:r>
        <w:rPr>
          <w:rStyle w:val="a7"/>
        </w:rPr>
        <w:footnoteRef/>
      </w:r>
      <w:r w:rsidRPr="0007664B">
        <w:rPr>
          <w:lang w:val="en-US"/>
        </w:rPr>
        <w:t xml:space="preserve"> Harris, R.S., Pringle, J.J. Risk-Adjusted Discount Rates — Extensions from the Average-Risk Case. Journal of Financial Research. — 1985. — Vol. 8, No. 3. — P. 237–244.</w:t>
      </w:r>
    </w:p>
  </w:footnote>
  <w:footnote w:id="172">
    <w:p w14:paraId="7C7FC3DC" w14:textId="32E1B6D4" w:rsidR="00986688" w:rsidRPr="00A648EF" w:rsidRDefault="00986688">
      <w:pPr>
        <w:pStyle w:val="a5"/>
        <w:rPr>
          <w:lang w:val="en-US"/>
        </w:rPr>
      </w:pPr>
      <w:r>
        <w:rPr>
          <w:rStyle w:val="a7"/>
        </w:rPr>
        <w:footnoteRef/>
      </w:r>
      <w:r w:rsidRPr="003D68F2">
        <w:rPr>
          <w:lang w:val="en-US"/>
        </w:rPr>
        <w:t xml:space="preserve"> Damodaran, A. Estimating Risk Parameters. — New York: Stern School of Business, 1999. — P. 22.</w:t>
      </w:r>
    </w:p>
  </w:footnote>
  <w:footnote w:id="173">
    <w:p w14:paraId="14B67008" w14:textId="04163C37" w:rsidR="00986688" w:rsidRPr="00D069F3" w:rsidRDefault="00986688">
      <w:pPr>
        <w:pStyle w:val="a5"/>
        <w:rPr>
          <w:lang w:val="ru-RU"/>
        </w:rPr>
      </w:pPr>
      <w:r>
        <w:rPr>
          <w:rStyle w:val="a7"/>
        </w:rPr>
        <w:footnoteRef/>
      </w:r>
      <w:r w:rsidRPr="003D68F2">
        <w:rPr>
          <w:lang w:val="en-US"/>
        </w:rPr>
        <w:t xml:space="preserve"> Country Risk Premium. KPMG</w:t>
      </w:r>
      <w:r w:rsidRPr="00D069F3">
        <w:rPr>
          <w:lang w:val="ru-RU"/>
        </w:rPr>
        <w:t xml:space="preserve">. — </w:t>
      </w:r>
      <w:r w:rsidRPr="003D68F2">
        <w:rPr>
          <w:lang w:val="en-US"/>
        </w:rPr>
        <w:t>URL</w:t>
      </w:r>
      <w:r w:rsidRPr="00D069F3">
        <w:rPr>
          <w:lang w:val="ru-RU"/>
        </w:rPr>
        <w:t xml:space="preserve">: </w:t>
      </w:r>
      <w:hyperlink r:id="rId28" w:history="1">
        <w:r w:rsidRPr="003D68F2">
          <w:rPr>
            <w:rStyle w:val="a8"/>
            <w:lang w:val="en-US"/>
          </w:rPr>
          <w:t>https</w:t>
        </w:r>
        <w:r w:rsidRPr="00D069F3">
          <w:rPr>
            <w:rStyle w:val="a8"/>
            <w:lang w:val="ru-RU"/>
          </w:rPr>
          <w:t>://</w:t>
        </w:r>
        <w:r w:rsidRPr="003D68F2">
          <w:rPr>
            <w:rStyle w:val="a8"/>
            <w:lang w:val="en-US"/>
          </w:rPr>
          <w:t>atlas</w:t>
        </w:r>
        <w:r w:rsidRPr="00D069F3">
          <w:rPr>
            <w:rStyle w:val="a8"/>
            <w:lang w:val="ru-RU"/>
          </w:rPr>
          <w:t>.</w:t>
        </w:r>
        <w:r w:rsidRPr="003D68F2">
          <w:rPr>
            <w:rStyle w:val="a8"/>
            <w:lang w:val="en-US"/>
          </w:rPr>
          <w:t>kpmg</w:t>
        </w:r>
        <w:r w:rsidRPr="00D069F3">
          <w:rPr>
            <w:rStyle w:val="a8"/>
            <w:lang w:val="ru-RU"/>
          </w:rPr>
          <w:t>.</w:t>
        </w:r>
        <w:r w:rsidRPr="003D68F2">
          <w:rPr>
            <w:rStyle w:val="a8"/>
            <w:lang w:val="en-US"/>
          </w:rPr>
          <w:t>com</w:t>
        </w:r>
        <w:r w:rsidRPr="00D069F3">
          <w:rPr>
            <w:rStyle w:val="a8"/>
            <w:lang w:val="ru-RU"/>
          </w:rPr>
          <w:t>/</w:t>
        </w:r>
        <w:r w:rsidRPr="003D68F2">
          <w:rPr>
            <w:rStyle w:val="a8"/>
            <w:lang w:val="en-US"/>
          </w:rPr>
          <w:t>de</w:t>
        </w:r>
        <w:r w:rsidRPr="00D069F3">
          <w:rPr>
            <w:rStyle w:val="a8"/>
            <w:lang w:val="ru-RU"/>
          </w:rPr>
          <w:t>/</w:t>
        </w:r>
        <w:r w:rsidRPr="003D68F2">
          <w:rPr>
            <w:rStyle w:val="a8"/>
            <w:lang w:val="en-US"/>
          </w:rPr>
          <w:t>en</w:t>
        </w:r>
        <w:r w:rsidRPr="00D069F3">
          <w:rPr>
            <w:rStyle w:val="a8"/>
            <w:lang w:val="ru-RU"/>
          </w:rPr>
          <w:t>/</w:t>
        </w:r>
        <w:r w:rsidRPr="003D68F2">
          <w:rPr>
            <w:rStyle w:val="a8"/>
            <w:lang w:val="en-US"/>
          </w:rPr>
          <w:t>deal</w:t>
        </w:r>
        <w:r w:rsidRPr="00D069F3">
          <w:rPr>
            <w:rStyle w:val="a8"/>
            <w:lang w:val="ru-RU"/>
          </w:rPr>
          <w:t>-</w:t>
        </w:r>
        <w:r w:rsidRPr="003D68F2">
          <w:rPr>
            <w:rStyle w:val="a8"/>
            <w:lang w:val="en-US"/>
          </w:rPr>
          <w:t>advisory</w:t>
        </w:r>
        <w:r w:rsidRPr="00D069F3">
          <w:rPr>
            <w:rStyle w:val="a8"/>
            <w:lang w:val="ru-RU"/>
          </w:rPr>
          <w:t>-</w:t>
        </w:r>
        <w:r w:rsidRPr="003D68F2">
          <w:rPr>
            <w:rStyle w:val="a8"/>
            <w:lang w:val="en-US"/>
          </w:rPr>
          <w:t>services</w:t>
        </w:r>
        <w:r w:rsidRPr="00D069F3">
          <w:rPr>
            <w:rStyle w:val="a8"/>
            <w:lang w:val="ru-RU"/>
          </w:rPr>
          <w:t>/</w:t>
        </w:r>
        <w:r w:rsidRPr="003D68F2">
          <w:rPr>
            <w:rStyle w:val="a8"/>
            <w:lang w:val="en-US"/>
          </w:rPr>
          <w:t>cost</w:t>
        </w:r>
        <w:r w:rsidRPr="00D069F3">
          <w:rPr>
            <w:rStyle w:val="a8"/>
            <w:lang w:val="ru-RU"/>
          </w:rPr>
          <w:t>-</w:t>
        </w:r>
        <w:r w:rsidRPr="003D68F2">
          <w:rPr>
            <w:rStyle w:val="a8"/>
            <w:lang w:val="en-US"/>
          </w:rPr>
          <w:t>of</w:t>
        </w:r>
        <w:r w:rsidRPr="00D069F3">
          <w:rPr>
            <w:rStyle w:val="a8"/>
            <w:lang w:val="ru-RU"/>
          </w:rPr>
          <w:t>-</w:t>
        </w:r>
        <w:r w:rsidRPr="003D68F2">
          <w:rPr>
            <w:rStyle w:val="a8"/>
            <w:lang w:val="en-US"/>
          </w:rPr>
          <w:t>capital</w:t>
        </w:r>
        <w:r w:rsidRPr="00D069F3">
          <w:rPr>
            <w:rStyle w:val="a8"/>
            <w:lang w:val="ru-RU"/>
          </w:rPr>
          <w:t>-</w:t>
        </w:r>
        <w:r w:rsidRPr="003D68F2">
          <w:rPr>
            <w:rStyle w:val="a8"/>
            <w:lang w:val="en-US"/>
          </w:rPr>
          <w:t>and</w:t>
        </w:r>
        <w:r w:rsidRPr="00D069F3">
          <w:rPr>
            <w:rStyle w:val="a8"/>
            <w:lang w:val="ru-RU"/>
          </w:rPr>
          <w:t>-</w:t>
        </w:r>
        <w:r w:rsidRPr="003D68F2">
          <w:rPr>
            <w:rStyle w:val="a8"/>
            <w:lang w:val="en-US"/>
          </w:rPr>
          <w:t>multiples</w:t>
        </w:r>
        <w:r w:rsidRPr="00D069F3">
          <w:rPr>
            <w:rStyle w:val="a8"/>
            <w:lang w:val="ru-RU"/>
          </w:rPr>
          <w:t>/</w:t>
        </w:r>
        <w:r w:rsidRPr="003D68F2">
          <w:rPr>
            <w:rStyle w:val="a8"/>
            <w:lang w:val="en-US"/>
          </w:rPr>
          <w:t>country</w:t>
        </w:r>
        <w:r w:rsidRPr="00D069F3">
          <w:rPr>
            <w:rStyle w:val="a8"/>
            <w:lang w:val="ru-RU"/>
          </w:rPr>
          <w:t>-</w:t>
        </w:r>
        <w:r w:rsidRPr="003D68F2">
          <w:rPr>
            <w:rStyle w:val="a8"/>
            <w:lang w:val="en-US"/>
          </w:rPr>
          <w:t>risk</w:t>
        </w:r>
        <w:r w:rsidRPr="00D069F3">
          <w:rPr>
            <w:rStyle w:val="a8"/>
            <w:lang w:val="ru-RU"/>
          </w:rPr>
          <w:t>-</w:t>
        </w:r>
        <w:r w:rsidRPr="003D68F2">
          <w:rPr>
            <w:rStyle w:val="a8"/>
            <w:lang w:val="en-US"/>
          </w:rPr>
          <w:t>premium</w:t>
        </w:r>
      </w:hyperlink>
      <w:r w:rsidRPr="00D069F3">
        <w:rPr>
          <w:lang w:val="ru-RU"/>
        </w:rPr>
        <w:t xml:space="preserve">. </w:t>
      </w:r>
      <w:r w:rsidRPr="00D069F3">
        <w:rPr>
          <w:rFonts w:ascii="Cambria Math" w:hAnsi="Cambria Math" w:cs="Cambria Math"/>
          <w:lang w:val="ru-RU"/>
        </w:rPr>
        <w:t>(</w:t>
      </w:r>
      <w:r>
        <w:rPr>
          <w:rFonts w:ascii="Cambria Math" w:hAnsi="Cambria Math" w:cs="Cambria Math"/>
          <w:lang w:val="ru-RU"/>
        </w:rPr>
        <w:t>дата</w:t>
      </w:r>
      <w:r w:rsidRPr="00D069F3">
        <w:rPr>
          <w:rFonts w:ascii="Cambria Math" w:hAnsi="Cambria Math" w:cs="Cambria Math"/>
          <w:lang w:val="ru-RU"/>
        </w:rPr>
        <w:t xml:space="preserve"> </w:t>
      </w:r>
      <w:r>
        <w:rPr>
          <w:rFonts w:ascii="Cambria Math" w:hAnsi="Cambria Math" w:cs="Cambria Math"/>
          <w:lang w:val="ru-RU"/>
        </w:rPr>
        <w:t>обращения</w:t>
      </w:r>
      <w:r w:rsidRPr="00D069F3">
        <w:rPr>
          <w:rFonts w:ascii="Cambria Math" w:hAnsi="Cambria Math" w:cs="Cambria Math"/>
          <w:lang w:val="ru-RU"/>
        </w:rPr>
        <w:t xml:space="preserve"> 07.09.2026)</w:t>
      </w:r>
    </w:p>
  </w:footnote>
  <w:footnote w:id="174">
    <w:p w14:paraId="785E40B4" w14:textId="186BFC94" w:rsidR="00986688" w:rsidRPr="00296390" w:rsidRDefault="00986688">
      <w:pPr>
        <w:pStyle w:val="a5"/>
        <w:rPr>
          <w:lang w:val="en-US"/>
        </w:rPr>
      </w:pPr>
      <w:r>
        <w:rPr>
          <w:rStyle w:val="a7"/>
        </w:rPr>
        <w:footnoteRef/>
      </w:r>
      <w:r w:rsidRPr="00816950">
        <w:rPr>
          <w:lang w:val="en-US"/>
        </w:rPr>
        <w:t xml:space="preserve"> </w:t>
      </w:r>
      <w:r w:rsidRPr="00E85A0A">
        <w:rPr>
          <w:lang w:val="en-US"/>
        </w:rPr>
        <w:t xml:space="preserve">American Institute of Certified Public Accountants. Valuation of Privately-Held-Company Equity Securities Issued as Compensation: AICPA Audit and Accounting Practice Aid Series. — New York: AICPA, 2004. — Chapter 4, Stages of Enterprise Development. — P. 13–14. — URL: </w:t>
      </w:r>
      <w:hyperlink r:id="rId29" w:history="1">
        <w:r w:rsidRPr="00E85A0A">
          <w:rPr>
            <w:rStyle w:val="a8"/>
            <w:lang w:val="en-US"/>
          </w:rPr>
          <w:t>https://egrove.olemiss.edu/aicpa_guides/64/</w:t>
        </w:r>
      </w:hyperlink>
      <w:r w:rsidRPr="00E85A0A">
        <w:rPr>
          <w:lang w:val="en-US"/>
        </w:rPr>
        <w:t xml:space="preserve"> </w:t>
      </w:r>
      <w:r w:rsidRPr="00296390">
        <w:rPr>
          <w:lang w:val="en-US"/>
        </w:rPr>
        <w:t>(</w:t>
      </w:r>
      <w:r w:rsidRPr="00296390">
        <w:t>дата</w:t>
      </w:r>
      <w:r w:rsidRPr="00296390">
        <w:rPr>
          <w:lang w:val="en-US"/>
        </w:rPr>
        <w:t xml:space="preserve"> </w:t>
      </w:r>
      <w:r w:rsidRPr="00296390">
        <w:t>обращения</w:t>
      </w:r>
      <w:r w:rsidRPr="00296390">
        <w:rPr>
          <w:lang w:val="en-US"/>
        </w:rPr>
        <w:t xml:space="preserve">: </w:t>
      </w:r>
      <w:r>
        <w:rPr>
          <w:lang w:val="en-US"/>
        </w:rPr>
        <w:t>04.09.2026</w:t>
      </w:r>
      <w:r w:rsidRPr="00296390">
        <w:rPr>
          <w:lang w:val="en-US"/>
        </w:rPr>
        <w:t>).</w:t>
      </w:r>
    </w:p>
  </w:footnote>
  <w:footnote w:id="175">
    <w:p w14:paraId="6D714A7C" w14:textId="3D33A7EA" w:rsidR="00986688" w:rsidRPr="00756713" w:rsidRDefault="00986688">
      <w:pPr>
        <w:pStyle w:val="a5"/>
        <w:rPr>
          <w:lang w:val="en-US"/>
        </w:rPr>
      </w:pPr>
      <w:r>
        <w:rPr>
          <w:rStyle w:val="a7"/>
        </w:rPr>
        <w:footnoteRef/>
      </w:r>
      <w:r w:rsidRPr="00756713">
        <w:rPr>
          <w:lang w:val="en-US"/>
        </w:rPr>
        <w:t xml:space="preserve"> Ansoff, H. I. Strategies for Diversification / H. I. Ansoff // Harvard Business Review. — 1957. — Vol. 35, No. 5. — P. 113–124.</w:t>
      </w:r>
    </w:p>
  </w:footnote>
  <w:footnote w:id="176">
    <w:p w14:paraId="1D286259" w14:textId="17815EC1" w:rsidR="00986688" w:rsidRPr="00A648EF" w:rsidRDefault="00986688">
      <w:pPr>
        <w:pStyle w:val="a5"/>
        <w:rPr>
          <w:lang w:val="en-US"/>
        </w:rPr>
      </w:pPr>
      <w:r>
        <w:rPr>
          <w:rStyle w:val="a7"/>
        </w:rPr>
        <w:footnoteRef/>
      </w:r>
      <w:r w:rsidRPr="00A1177A">
        <w:rPr>
          <w:lang w:val="en-US"/>
        </w:rPr>
        <w:t xml:space="preserve"> Pratt, S. P. Cost of Capital: Applications and Examples / S. P. Pratt, R. J. Grabowski. — 5th ed. — Hoboken : John Wiley &amp; Sons, 2014. </w:t>
      </w:r>
    </w:p>
  </w:footnote>
  <w:footnote w:id="177">
    <w:p w14:paraId="025AF676" w14:textId="134BCDD7" w:rsidR="00986688" w:rsidRPr="00E372A3" w:rsidRDefault="00986688">
      <w:pPr>
        <w:pStyle w:val="a5"/>
        <w:rPr>
          <w:lang w:val="ru-RU"/>
        </w:rPr>
      </w:pPr>
      <w:r>
        <w:rPr>
          <w:rStyle w:val="a7"/>
        </w:rPr>
        <w:footnoteRef/>
      </w:r>
      <w:r>
        <w:t xml:space="preserve"> </w:t>
      </w:r>
      <w:r w:rsidRPr="00A648EF">
        <w:rPr>
          <w:lang w:val="ru-RU"/>
        </w:rPr>
        <w:t xml:space="preserve">Методические рекомендации по заполнению форм финансовой модели комплексного проекта для подачи на конкурсный отбор на право получения из федерального бюджета субсидий российскими предприятиями радиоэлектронной промышленности : утв. Минпромторгом России. — Разд. </w:t>
      </w:r>
      <w:r w:rsidRPr="00E372A3">
        <w:rPr>
          <w:lang w:val="en-US"/>
        </w:rPr>
        <w:t>II</w:t>
      </w:r>
      <w:r w:rsidRPr="00A648EF">
        <w:rPr>
          <w:lang w:val="ru-RU"/>
        </w:rPr>
        <w:t xml:space="preserve">. </w:t>
      </w:r>
      <w:r w:rsidRPr="00E372A3">
        <w:rPr>
          <w:lang w:val="ru-RU"/>
        </w:rPr>
        <w:t xml:space="preserve">Кумулятивный метод. </w:t>
      </w:r>
      <w:r w:rsidRPr="00E372A3">
        <w:t xml:space="preserve">Доступ из справ.-правовой системы «КонсультантПлюс». URL: </w:t>
      </w:r>
      <w:hyperlink r:id="rId30" w:history="1">
        <w:r w:rsidRPr="00E372A3">
          <w:rPr>
            <w:rStyle w:val="a8"/>
          </w:rPr>
          <w:t>https://www.consultant.ru/document/cons_doc_LAW_256545/74a3625a24247d1a44c4063efa404394c3b3fff0/</w:t>
        </w:r>
      </w:hyperlink>
      <w:r w:rsidRPr="00E372A3">
        <w:t xml:space="preserve"> (дата обращения:</w:t>
      </w:r>
      <w:r>
        <w:rPr>
          <w:lang w:val="ru-RU"/>
        </w:rPr>
        <w:t xml:space="preserve"> 31.08.2026</w:t>
      </w:r>
      <w:r w:rsidRPr="00E372A3">
        <w:t>)</w:t>
      </w:r>
    </w:p>
  </w:footnote>
  <w:footnote w:id="178">
    <w:p w14:paraId="4FD3D60F" w14:textId="5045383F" w:rsidR="00986688" w:rsidRPr="00F03050" w:rsidRDefault="00986688">
      <w:pPr>
        <w:pStyle w:val="a5"/>
        <w:rPr>
          <w:lang w:val="ru-RU"/>
        </w:rPr>
      </w:pPr>
      <w:r>
        <w:rPr>
          <w:rStyle w:val="a7"/>
        </w:rPr>
        <w:footnoteRef/>
      </w:r>
      <w:r w:rsidRPr="00F03050">
        <w:rPr>
          <w:lang w:val="en-US"/>
        </w:rPr>
        <w:t xml:space="preserve"> Kroll Cost of Capital Navigator: U.S. Cost of Capital Module. URL</w:t>
      </w:r>
      <w:r w:rsidRPr="00F03050">
        <w:rPr>
          <w:lang w:val="ru-RU"/>
        </w:rPr>
        <w:t xml:space="preserve">: </w:t>
      </w:r>
      <w:hyperlink r:id="rId31" w:history="1">
        <w:r w:rsidRPr="00F03050">
          <w:rPr>
            <w:rStyle w:val="a8"/>
            <w:lang w:val="en-US"/>
          </w:rPr>
          <w:t>https</w:t>
        </w:r>
        <w:r w:rsidRPr="00F03050">
          <w:rPr>
            <w:rStyle w:val="a8"/>
            <w:lang w:val="ru-RU"/>
          </w:rPr>
          <w:t>://</w:t>
        </w:r>
        <w:r w:rsidRPr="00F03050">
          <w:rPr>
            <w:rStyle w:val="a8"/>
            <w:lang w:val="en-US"/>
          </w:rPr>
          <w:t>www</w:t>
        </w:r>
        <w:r w:rsidRPr="00F03050">
          <w:rPr>
            <w:rStyle w:val="a8"/>
            <w:lang w:val="ru-RU"/>
          </w:rPr>
          <w:t>.</w:t>
        </w:r>
        <w:r w:rsidRPr="00F03050">
          <w:rPr>
            <w:rStyle w:val="a8"/>
            <w:lang w:val="en-US"/>
          </w:rPr>
          <w:t>kroll</w:t>
        </w:r>
        <w:r w:rsidRPr="00F03050">
          <w:rPr>
            <w:rStyle w:val="a8"/>
            <w:lang w:val="ru-RU"/>
          </w:rPr>
          <w:t>.</w:t>
        </w:r>
        <w:r w:rsidRPr="00F03050">
          <w:rPr>
            <w:rStyle w:val="a8"/>
            <w:lang w:val="en-US"/>
          </w:rPr>
          <w:t>com</w:t>
        </w:r>
        <w:r w:rsidRPr="00F03050">
          <w:rPr>
            <w:rStyle w:val="a8"/>
            <w:lang w:val="ru-RU"/>
          </w:rPr>
          <w:t>/</w:t>
        </w:r>
        <w:r w:rsidRPr="00F03050">
          <w:rPr>
            <w:rStyle w:val="a8"/>
            <w:lang w:val="en-US"/>
          </w:rPr>
          <w:t>en</w:t>
        </w:r>
        <w:r w:rsidRPr="00F03050">
          <w:rPr>
            <w:rStyle w:val="a8"/>
            <w:lang w:val="ru-RU"/>
          </w:rPr>
          <w:t>/</w:t>
        </w:r>
        <w:r w:rsidRPr="00F03050">
          <w:rPr>
            <w:rStyle w:val="a8"/>
            <w:lang w:val="en-US"/>
          </w:rPr>
          <w:t>cost</w:t>
        </w:r>
        <w:r w:rsidRPr="00F03050">
          <w:rPr>
            <w:rStyle w:val="a8"/>
            <w:lang w:val="ru-RU"/>
          </w:rPr>
          <w:t>-</w:t>
        </w:r>
        <w:r w:rsidRPr="00F03050">
          <w:rPr>
            <w:rStyle w:val="a8"/>
            <w:lang w:val="en-US"/>
          </w:rPr>
          <w:t>of</w:t>
        </w:r>
        <w:r w:rsidRPr="00F03050">
          <w:rPr>
            <w:rStyle w:val="a8"/>
            <w:lang w:val="ru-RU"/>
          </w:rPr>
          <w:t>-</w:t>
        </w:r>
        <w:r w:rsidRPr="00F03050">
          <w:rPr>
            <w:rStyle w:val="a8"/>
            <w:lang w:val="en-US"/>
          </w:rPr>
          <w:t>capital</w:t>
        </w:r>
      </w:hyperlink>
      <w:r w:rsidRPr="00F03050">
        <w:rPr>
          <w:lang w:val="ru-RU"/>
        </w:rPr>
        <w:t xml:space="preserve"> (</w:t>
      </w:r>
      <w:r w:rsidRPr="00F03050">
        <w:t>дата</w:t>
      </w:r>
      <w:r w:rsidRPr="00F03050">
        <w:rPr>
          <w:lang w:val="ru-RU"/>
        </w:rPr>
        <w:t xml:space="preserve"> </w:t>
      </w:r>
      <w:r w:rsidRPr="00F03050">
        <w:t>обращения</w:t>
      </w:r>
      <w:r w:rsidRPr="00F03050">
        <w:rPr>
          <w:lang w:val="ru-RU"/>
        </w:rPr>
        <w:t xml:space="preserve">: </w:t>
      </w:r>
      <w:r>
        <w:rPr>
          <w:lang w:val="ru-RU"/>
        </w:rPr>
        <w:t>31.08.2026</w:t>
      </w:r>
      <w:r w:rsidRPr="00F03050">
        <w:rPr>
          <w:lang w:val="ru-RU"/>
        </w:rPr>
        <w:t>)</w:t>
      </w:r>
    </w:p>
  </w:footnote>
  <w:footnote w:id="179">
    <w:p w14:paraId="02D65DE9" w14:textId="2EAB4984" w:rsidR="00986688" w:rsidRPr="008E4760" w:rsidRDefault="00986688">
      <w:pPr>
        <w:pStyle w:val="a5"/>
        <w:rPr>
          <w:lang w:val="ru-RU"/>
        </w:rPr>
      </w:pPr>
      <w:r>
        <w:rPr>
          <w:rStyle w:val="a7"/>
        </w:rPr>
        <w:footnoteRef/>
      </w:r>
      <w:r>
        <w:t xml:space="preserve"> </w:t>
      </w:r>
      <w:r w:rsidRPr="008E4760">
        <w:rPr>
          <w:lang w:val="ru-RU"/>
        </w:rPr>
        <w:t xml:space="preserve">Методические рекомендации по заполнению форм финансовой модели комплексного проекта для подачи на конкурсный отбор на право получения из федерального бюджета субсидий российскими предприятиями радиоэлектронной промышленности : утв. Минпромторгом России. — Разд. </w:t>
      </w:r>
      <w:r w:rsidRPr="00E372A3">
        <w:rPr>
          <w:lang w:val="en-US"/>
        </w:rPr>
        <w:t>II</w:t>
      </w:r>
      <w:r w:rsidRPr="008E4760">
        <w:rPr>
          <w:lang w:val="ru-RU"/>
        </w:rPr>
        <w:t xml:space="preserve">. </w:t>
      </w:r>
      <w:r w:rsidRPr="00E372A3">
        <w:rPr>
          <w:lang w:val="ru-RU"/>
        </w:rPr>
        <w:t xml:space="preserve">Кумулятивный метод. </w:t>
      </w:r>
      <w:r w:rsidRPr="00E372A3">
        <w:t xml:space="preserve">Доступ из справ.-правовой системы «КонсультантПлюс». URL: </w:t>
      </w:r>
      <w:hyperlink r:id="rId32" w:history="1">
        <w:r w:rsidRPr="00E372A3">
          <w:rPr>
            <w:rStyle w:val="a8"/>
          </w:rPr>
          <w:t>https://www.consultant.ru/document/cons_doc_LAW_256545/74a3625a24247d1a44c4063efa404394c3b3fff0/</w:t>
        </w:r>
      </w:hyperlink>
      <w:r w:rsidRPr="00E372A3">
        <w:t xml:space="preserve"> (дата обращения:</w:t>
      </w:r>
      <w:r>
        <w:rPr>
          <w:lang w:val="ru-RU"/>
        </w:rPr>
        <w:t xml:space="preserve"> 31.08.2026</w:t>
      </w:r>
      <w:r w:rsidRPr="00E372A3">
        <w:t>)</w:t>
      </w:r>
    </w:p>
  </w:footnote>
  <w:footnote w:id="180">
    <w:p w14:paraId="457DA867" w14:textId="32B8133F" w:rsidR="00986688" w:rsidRPr="008E4760" w:rsidRDefault="00986688">
      <w:pPr>
        <w:pStyle w:val="a5"/>
        <w:rPr>
          <w:lang w:val="ru-RU"/>
        </w:rPr>
      </w:pPr>
      <w:r>
        <w:rPr>
          <w:rStyle w:val="a7"/>
        </w:rPr>
        <w:footnoteRef/>
      </w:r>
      <w:r>
        <w:t xml:space="preserve"> </w:t>
      </w:r>
      <w:r w:rsidRPr="008E4760">
        <w:rPr>
          <w:lang w:val="ru-RU"/>
        </w:rPr>
        <w:t xml:space="preserve">Методические рекомендации по заполнению форм финансовой модели комплексного проекта для подачи на конкурсный отбор на право получения из федерального бюджета субсидий российскими предприятиями радиоэлектронной промышленности : утв. Минпромторгом России. — Разд. </w:t>
      </w:r>
      <w:r w:rsidRPr="00E372A3">
        <w:rPr>
          <w:lang w:val="en-US"/>
        </w:rPr>
        <w:t>II</w:t>
      </w:r>
      <w:r w:rsidRPr="008E4760">
        <w:rPr>
          <w:lang w:val="ru-RU"/>
        </w:rPr>
        <w:t xml:space="preserve">. </w:t>
      </w:r>
      <w:r w:rsidRPr="00E372A3">
        <w:rPr>
          <w:lang w:val="ru-RU"/>
        </w:rPr>
        <w:t xml:space="preserve">Кумулятивный метод. </w:t>
      </w:r>
      <w:r w:rsidRPr="00E372A3">
        <w:t xml:space="preserve">Доступ из справ.-правовой системы «КонсультантПлюс». URL: </w:t>
      </w:r>
      <w:hyperlink r:id="rId33" w:history="1">
        <w:r w:rsidRPr="00E372A3">
          <w:rPr>
            <w:rStyle w:val="a8"/>
          </w:rPr>
          <w:t>https://www.consultant.ru/document/cons_doc_LAW_256545/74a3625a24247d1a44c4063efa404394c3b3fff0/</w:t>
        </w:r>
      </w:hyperlink>
      <w:r w:rsidRPr="00E372A3">
        <w:t xml:space="preserve"> (дата обращения:</w:t>
      </w:r>
      <w:r>
        <w:rPr>
          <w:lang w:val="ru-RU"/>
        </w:rPr>
        <w:t xml:space="preserve"> 31.08.2026</w:t>
      </w:r>
      <w:r w:rsidRPr="00E372A3">
        <w:t>)</w:t>
      </w:r>
    </w:p>
  </w:footnote>
  <w:footnote w:id="181">
    <w:p w14:paraId="0D3A71EB" w14:textId="67EFAD30" w:rsidR="00986688" w:rsidRPr="00AF48E8" w:rsidRDefault="00986688">
      <w:pPr>
        <w:pStyle w:val="a5"/>
        <w:rPr>
          <w:lang w:val="en-US"/>
        </w:rPr>
      </w:pPr>
      <w:r>
        <w:rPr>
          <w:rStyle w:val="a7"/>
        </w:rPr>
        <w:footnoteRef/>
      </w:r>
      <w:r w:rsidRPr="00AF48E8">
        <w:rPr>
          <w:lang w:val="en-US"/>
        </w:rPr>
        <w:t xml:space="preserve"> </w:t>
      </w:r>
      <w:r w:rsidRPr="007A3797">
        <w:rPr>
          <w:lang w:val="en-US"/>
        </w:rPr>
        <w:t>Saaty</w:t>
      </w:r>
      <w:r w:rsidRPr="00F51137">
        <w:rPr>
          <w:lang w:val="en-US"/>
        </w:rPr>
        <w:t xml:space="preserve"> </w:t>
      </w:r>
      <w:r w:rsidRPr="007A3797">
        <w:rPr>
          <w:lang w:val="en-US"/>
        </w:rPr>
        <w:t>T</w:t>
      </w:r>
      <w:r w:rsidRPr="00F51137">
        <w:rPr>
          <w:lang w:val="en-US"/>
        </w:rPr>
        <w:t xml:space="preserve">. </w:t>
      </w:r>
      <w:r w:rsidRPr="007A3797">
        <w:rPr>
          <w:lang w:val="en-US"/>
        </w:rPr>
        <w:t>L</w:t>
      </w:r>
      <w:r w:rsidRPr="00F51137">
        <w:rPr>
          <w:lang w:val="en-US"/>
        </w:rPr>
        <w:t xml:space="preserve">., </w:t>
      </w:r>
      <w:r w:rsidRPr="007A3797">
        <w:rPr>
          <w:lang w:val="en-US"/>
        </w:rPr>
        <w:t>Vargas</w:t>
      </w:r>
      <w:r w:rsidRPr="00F51137">
        <w:rPr>
          <w:lang w:val="en-US"/>
        </w:rPr>
        <w:t xml:space="preserve"> </w:t>
      </w:r>
      <w:r w:rsidRPr="007A3797">
        <w:rPr>
          <w:lang w:val="en-US"/>
        </w:rPr>
        <w:t>L</w:t>
      </w:r>
      <w:r w:rsidRPr="00F51137">
        <w:rPr>
          <w:lang w:val="en-US"/>
        </w:rPr>
        <w:t xml:space="preserve">. </w:t>
      </w:r>
      <w:r w:rsidRPr="007A3797">
        <w:rPr>
          <w:lang w:val="en-US"/>
        </w:rPr>
        <w:t>G</w:t>
      </w:r>
      <w:r w:rsidRPr="00F51137">
        <w:rPr>
          <w:lang w:val="en-US"/>
        </w:rPr>
        <w:t xml:space="preserve">. </w:t>
      </w:r>
      <w:r w:rsidRPr="007A3797">
        <w:rPr>
          <w:lang w:val="en-US"/>
        </w:rPr>
        <w:t>Models</w:t>
      </w:r>
      <w:r w:rsidRPr="00F51137">
        <w:rPr>
          <w:lang w:val="en-US"/>
        </w:rPr>
        <w:t xml:space="preserve">, </w:t>
      </w:r>
      <w:r w:rsidRPr="007A3797">
        <w:rPr>
          <w:lang w:val="en-US"/>
        </w:rPr>
        <w:t>Methods</w:t>
      </w:r>
      <w:r w:rsidRPr="00F51137">
        <w:rPr>
          <w:lang w:val="en-US"/>
        </w:rPr>
        <w:t xml:space="preserve">, </w:t>
      </w:r>
      <w:r w:rsidRPr="007A3797">
        <w:rPr>
          <w:lang w:val="en-US"/>
        </w:rPr>
        <w:t>Concepts</w:t>
      </w:r>
      <w:r w:rsidRPr="00F51137">
        <w:rPr>
          <w:lang w:val="en-US"/>
        </w:rPr>
        <w:t xml:space="preserve"> &amp; </w:t>
      </w:r>
      <w:r w:rsidRPr="007A3797">
        <w:rPr>
          <w:lang w:val="en-US"/>
        </w:rPr>
        <w:t>Applications</w:t>
      </w:r>
      <w:r w:rsidRPr="00F51137">
        <w:rPr>
          <w:lang w:val="en-US"/>
        </w:rPr>
        <w:t xml:space="preserve"> </w:t>
      </w:r>
      <w:r w:rsidRPr="007A3797">
        <w:rPr>
          <w:lang w:val="en-US"/>
        </w:rPr>
        <w:t>of</w:t>
      </w:r>
      <w:r w:rsidRPr="00F51137">
        <w:rPr>
          <w:lang w:val="en-US"/>
        </w:rPr>
        <w:t xml:space="preserve"> </w:t>
      </w:r>
      <w:r w:rsidRPr="007A3797">
        <w:rPr>
          <w:lang w:val="en-US"/>
        </w:rPr>
        <w:t>the</w:t>
      </w:r>
      <w:r w:rsidRPr="00F51137">
        <w:rPr>
          <w:lang w:val="en-US"/>
        </w:rPr>
        <w:t xml:space="preserve"> </w:t>
      </w:r>
      <w:r w:rsidRPr="007A3797">
        <w:rPr>
          <w:lang w:val="en-US"/>
        </w:rPr>
        <w:t>Analytic</w:t>
      </w:r>
      <w:r w:rsidRPr="00F51137">
        <w:rPr>
          <w:lang w:val="en-US"/>
        </w:rPr>
        <w:t xml:space="preserve"> </w:t>
      </w:r>
      <w:r w:rsidRPr="007A3797">
        <w:rPr>
          <w:lang w:val="en-US"/>
        </w:rPr>
        <w:t>Hierarchy</w:t>
      </w:r>
      <w:r w:rsidRPr="00F51137">
        <w:rPr>
          <w:lang w:val="en-US"/>
        </w:rPr>
        <w:t xml:space="preserve"> </w:t>
      </w:r>
      <w:r w:rsidRPr="007A3797">
        <w:rPr>
          <w:lang w:val="en-US"/>
        </w:rPr>
        <w:t>Process</w:t>
      </w:r>
      <w:r w:rsidRPr="00F51137">
        <w:rPr>
          <w:lang w:val="en-US"/>
        </w:rPr>
        <w:t xml:space="preserve">. </w:t>
      </w:r>
      <w:r>
        <w:rPr>
          <w:lang w:val="en-US"/>
        </w:rPr>
        <w:t>Second edition</w:t>
      </w:r>
      <w:r w:rsidRPr="007A3797">
        <w:rPr>
          <w:lang w:val="en-US"/>
        </w:rPr>
        <w:t>.</w:t>
      </w:r>
      <w:r w:rsidRPr="00512F43">
        <w:rPr>
          <w:lang w:val="en-US"/>
        </w:rPr>
        <w:t xml:space="preserve"> Springer, 2014.</w:t>
      </w:r>
    </w:p>
  </w:footnote>
  <w:footnote w:id="182">
    <w:p w14:paraId="74DA0ED4" w14:textId="25D76DD2" w:rsidR="00986688" w:rsidRPr="00A648EF" w:rsidRDefault="00986688">
      <w:pPr>
        <w:pStyle w:val="a5"/>
        <w:rPr>
          <w:lang w:val="en-US"/>
        </w:rPr>
      </w:pPr>
      <w:r>
        <w:rPr>
          <w:rStyle w:val="a7"/>
        </w:rPr>
        <w:footnoteRef/>
      </w:r>
      <w:r w:rsidRPr="00AF48E8">
        <w:rPr>
          <w:lang w:val="en-US"/>
        </w:rPr>
        <w:t xml:space="preserve"> Pratt, S. P. Valuing a Business: The Analysis and Appraisal of Closely Held Companies / S. P. Pratt, A. V. Niculita. — 5th ed. — New York : McGraw-Hill, 2008.</w:t>
      </w:r>
    </w:p>
  </w:footnote>
  <w:footnote w:id="183">
    <w:p w14:paraId="1071527B" w14:textId="787A33D3" w:rsidR="00986688" w:rsidRPr="00B900BF" w:rsidRDefault="00986688">
      <w:pPr>
        <w:pStyle w:val="a5"/>
        <w:rPr>
          <w:lang w:val="en-US"/>
        </w:rPr>
      </w:pPr>
      <w:r>
        <w:rPr>
          <w:rStyle w:val="a7"/>
        </w:rPr>
        <w:footnoteRef/>
      </w:r>
      <w:r w:rsidRPr="00B900BF">
        <w:rPr>
          <w:lang w:val="en-US"/>
        </w:rPr>
        <w:t xml:space="preserve"> Mercer, Z. C. Quantitative Marketability Discount Model. The CPA Journal</w:t>
      </w:r>
      <w:r w:rsidRPr="009A5850">
        <w:rPr>
          <w:lang w:val="en-US"/>
        </w:rPr>
        <w:t>,</w:t>
      </w:r>
      <w:r w:rsidRPr="00B900BF">
        <w:rPr>
          <w:lang w:val="en-US"/>
        </w:rPr>
        <w:t xml:space="preserve"> 2003.</w:t>
      </w:r>
    </w:p>
  </w:footnote>
  <w:footnote w:id="184">
    <w:p w14:paraId="3536F1C7" w14:textId="77777777" w:rsidR="00986688" w:rsidRPr="009A5850" w:rsidRDefault="00986688" w:rsidP="009A5850">
      <w:pPr>
        <w:pStyle w:val="a5"/>
        <w:rPr>
          <w:lang w:val="en-US"/>
        </w:rPr>
      </w:pPr>
      <w:r>
        <w:rPr>
          <w:rStyle w:val="a7"/>
        </w:rPr>
        <w:footnoteRef/>
      </w:r>
      <w:r w:rsidRPr="009A5850">
        <w:rPr>
          <w:lang w:val="en-US"/>
        </w:rPr>
        <w:t xml:space="preserve"> </w:t>
      </w:r>
      <w:r w:rsidRPr="007C3415">
        <w:rPr>
          <w:lang w:val="en-US"/>
        </w:rPr>
        <w:t>Chaffe, D. B. H. Option Pricing as a Proxy for Discount for Lack of Marketability in Private Company Valuations // Business Valuation Review. — 1993. — Vol. 12, No. 4. — P. 182–188.</w:t>
      </w:r>
    </w:p>
    <w:p w14:paraId="0199737C" w14:textId="17E6255B" w:rsidR="00986688" w:rsidRPr="00A648EF" w:rsidRDefault="00986688">
      <w:pPr>
        <w:pStyle w:val="a5"/>
        <w:rPr>
          <w:lang w:val="en-US"/>
        </w:rPr>
      </w:pPr>
    </w:p>
  </w:footnote>
  <w:footnote w:id="185">
    <w:p w14:paraId="3C2456E3" w14:textId="604CE406" w:rsidR="00986688" w:rsidRPr="007C3415" w:rsidRDefault="00986688">
      <w:pPr>
        <w:pStyle w:val="a5"/>
        <w:rPr>
          <w:lang w:val="en-US"/>
        </w:rPr>
      </w:pPr>
      <w:r>
        <w:rPr>
          <w:rStyle w:val="a7"/>
        </w:rPr>
        <w:footnoteRef/>
      </w:r>
      <w:r w:rsidRPr="007C3415">
        <w:rPr>
          <w:lang w:val="en-US"/>
        </w:rPr>
        <w:t xml:space="preserve"> Black F., Scholes M. The Pricing of Options and Corporate Liabilities // Journal of Political Economy. — 1973. — Vol. 81, No. 3. — P. 637–654.</w:t>
      </w:r>
    </w:p>
  </w:footnote>
  <w:footnote w:id="186">
    <w:p w14:paraId="36903248" w14:textId="30CB06C4" w:rsidR="00986688" w:rsidRPr="009A5850" w:rsidRDefault="00986688">
      <w:pPr>
        <w:pStyle w:val="a5"/>
        <w:rPr>
          <w:lang w:val="en-US"/>
        </w:rPr>
      </w:pPr>
      <w:r>
        <w:rPr>
          <w:rStyle w:val="a7"/>
        </w:rPr>
        <w:footnoteRef/>
      </w:r>
      <w:r w:rsidRPr="007C3415">
        <w:rPr>
          <w:lang w:val="en-US"/>
        </w:rPr>
        <w:t xml:space="preserve"> Longstaff, F. A. How Much Can Marketability Affect Security Values? // The Journal of Finance. — 1995. — Vol. 50, No. 5. — P. 1767–1774. </w:t>
      </w:r>
    </w:p>
  </w:footnote>
  <w:footnote w:id="187">
    <w:p w14:paraId="7A234AD6" w14:textId="1C4C8401" w:rsidR="00986688" w:rsidRPr="008204B3" w:rsidRDefault="00986688">
      <w:pPr>
        <w:pStyle w:val="a5"/>
        <w:rPr>
          <w:lang w:val="en-US"/>
        </w:rPr>
      </w:pPr>
      <w:r>
        <w:rPr>
          <w:rStyle w:val="a7"/>
        </w:rPr>
        <w:footnoteRef/>
      </w:r>
      <w:r w:rsidRPr="007C3415">
        <w:rPr>
          <w:lang w:val="en-US"/>
        </w:rPr>
        <w:t xml:space="preserve"> Finnerty, J. D. </w:t>
      </w:r>
      <w:r w:rsidRPr="008204B3">
        <w:rPr>
          <w:lang w:val="en-US"/>
        </w:rPr>
        <w:t>An Average-Strike Put Option Model of the Marketability Discount. The Journal of Derivatives</w:t>
      </w:r>
      <w:r w:rsidRPr="00A648EF">
        <w:rPr>
          <w:lang w:val="en-US"/>
        </w:rPr>
        <w:t>,</w:t>
      </w:r>
      <w:r w:rsidRPr="008204B3">
        <w:rPr>
          <w:lang w:val="en-US"/>
        </w:rPr>
        <w:t xml:space="preserve"> 2012. </w:t>
      </w:r>
    </w:p>
  </w:footnote>
  <w:footnote w:id="188">
    <w:p w14:paraId="188B3ED3" w14:textId="6EDD1C84" w:rsidR="00986688" w:rsidRPr="007C3415" w:rsidRDefault="00986688">
      <w:pPr>
        <w:pStyle w:val="a5"/>
        <w:rPr>
          <w:lang w:val="en-US"/>
        </w:rPr>
      </w:pPr>
      <w:r>
        <w:rPr>
          <w:rStyle w:val="a7"/>
        </w:rPr>
        <w:footnoteRef/>
      </w:r>
      <w:r w:rsidRPr="007C3415">
        <w:rPr>
          <w:lang w:val="en-US"/>
        </w:rPr>
        <w:t xml:space="preserve"> Ghaidarov, S. Analysis and Critique of the Average Strike Put Option Marketability Discount Model // Business Valuation Review. — 2009.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15FA7"/>
    <w:multiLevelType w:val="multilevel"/>
    <w:tmpl w:val="C6F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C1973"/>
    <w:multiLevelType w:val="hybridMultilevel"/>
    <w:tmpl w:val="1E366B00"/>
    <w:lvl w:ilvl="0" w:tplc="B1B02C86">
      <w:numFmt w:val="bullet"/>
      <w:lvlText w:val="-"/>
      <w:lvlJc w:val="left"/>
      <w:pPr>
        <w:ind w:left="1208" w:hanging="360"/>
      </w:pPr>
      <w:rPr>
        <w:rFonts w:ascii="Times New Roman" w:eastAsia="Times New Roman" w:hAnsi="Times New Roman" w:cs="Times New Roman"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 w15:restartNumberingAfterBreak="0">
    <w:nsid w:val="2B6F6CEF"/>
    <w:multiLevelType w:val="multilevel"/>
    <w:tmpl w:val="2CA89520"/>
    <w:lvl w:ilvl="0">
      <w:start w:val="1"/>
      <w:numFmt w:val="decimal"/>
      <w:lvlText w:val="%1"/>
      <w:lvlJc w:val="left"/>
      <w:pPr>
        <w:ind w:left="140" w:hanging="535"/>
      </w:pPr>
    </w:lvl>
    <w:lvl w:ilvl="1">
      <w:start w:val="1"/>
      <w:numFmt w:val="decimal"/>
      <w:lvlText w:val="%1.%2."/>
      <w:lvlJc w:val="left"/>
      <w:pPr>
        <w:ind w:left="140" w:hanging="535"/>
      </w:pPr>
      <w:rPr>
        <w:rFonts w:ascii="Times New Roman" w:eastAsia="Times New Roman" w:hAnsi="Times New Roman" w:cs="Times New Roman"/>
        <w:b w:val="0"/>
        <w:bCs w:val="0"/>
        <w:i w:val="0"/>
        <w:iCs w:val="0"/>
        <w:color w:val="auto"/>
        <w:sz w:val="28"/>
        <w:szCs w:val="28"/>
      </w:rPr>
    </w:lvl>
    <w:lvl w:ilvl="2">
      <w:numFmt w:val="bullet"/>
      <w:lvlText w:val="•"/>
      <w:lvlJc w:val="left"/>
      <w:pPr>
        <w:ind w:left="2153" w:hanging="535"/>
      </w:pPr>
    </w:lvl>
    <w:lvl w:ilvl="3">
      <w:numFmt w:val="bullet"/>
      <w:lvlText w:val="•"/>
      <w:lvlJc w:val="left"/>
      <w:pPr>
        <w:ind w:left="3159" w:hanging="535"/>
      </w:pPr>
    </w:lvl>
    <w:lvl w:ilvl="4">
      <w:numFmt w:val="bullet"/>
      <w:lvlText w:val="•"/>
      <w:lvlJc w:val="left"/>
      <w:pPr>
        <w:ind w:left="4166" w:hanging="535"/>
      </w:pPr>
    </w:lvl>
    <w:lvl w:ilvl="5">
      <w:numFmt w:val="bullet"/>
      <w:lvlText w:val="•"/>
      <w:lvlJc w:val="left"/>
      <w:pPr>
        <w:ind w:left="5173" w:hanging="535"/>
      </w:pPr>
    </w:lvl>
    <w:lvl w:ilvl="6">
      <w:numFmt w:val="bullet"/>
      <w:lvlText w:val="•"/>
      <w:lvlJc w:val="left"/>
      <w:pPr>
        <w:ind w:left="6179" w:hanging="535"/>
      </w:pPr>
    </w:lvl>
    <w:lvl w:ilvl="7">
      <w:numFmt w:val="bullet"/>
      <w:lvlText w:val="•"/>
      <w:lvlJc w:val="left"/>
      <w:pPr>
        <w:ind w:left="7186" w:hanging="535"/>
      </w:pPr>
    </w:lvl>
    <w:lvl w:ilvl="8">
      <w:numFmt w:val="bullet"/>
      <w:lvlText w:val="•"/>
      <w:lvlJc w:val="left"/>
      <w:pPr>
        <w:ind w:left="8193" w:hanging="535"/>
      </w:pPr>
    </w:lvl>
  </w:abstractNum>
  <w:abstractNum w:abstractNumId="3" w15:restartNumberingAfterBreak="0">
    <w:nsid w:val="2B7553DE"/>
    <w:multiLevelType w:val="multilevel"/>
    <w:tmpl w:val="7F102DBE"/>
    <w:lvl w:ilvl="0">
      <w:start w:val="2"/>
      <w:numFmt w:val="decimal"/>
      <w:lvlText w:val="%1"/>
      <w:lvlJc w:val="left"/>
      <w:pPr>
        <w:ind w:left="140" w:hanging="547"/>
      </w:pPr>
    </w:lvl>
    <w:lvl w:ilvl="1">
      <w:start w:val="1"/>
      <w:numFmt w:val="decimal"/>
      <w:lvlText w:val="%1.%2."/>
      <w:lvlJc w:val="left"/>
      <w:pPr>
        <w:ind w:left="140" w:hanging="547"/>
      </w:pPr>
      <w:rPr>
        <w:rFonts w:ascii="Times New Roman" w:eastAsia="Times New Roman" w:hAnsi="Times New Roman" w:cs="Times New Roman"/>
        <w:b w:val="0"/>
        <w:bCs w:val="0"/>
        <w:i w:val="0"/>
        <w:iCs w:val="0"/>
        <w:sz w:val="28"/>
        <w:szCs w:val="28"/>
      </w:rPr>
    </w:lvl>
    <w:lvl w:ilvl="2">
      <w:numFmt w:val="bullet"/>
      <w:lvlText w:val="•"/>
      <w:lvlJc w:val="left"/>
      <w:pPr>
        <w:ind w:left="2153" w:hanging="546"/>
      </w:pPr>
    </w:lvl>
    <w:lvl w:ilvl="3">
      <w:numFmt w:val="bullet"/>
      <w:lvlText w:val="•"/>
      <w:lvlJc w:val="left"/>
      <w:pPr>
        <w:ind w:left="3159" w:hanging="547"/>
      </w:pPr>
    </w:lvl>
    <w:lvl w:ilvl="4">
      <w:numFmt w:val="bullet"/>
      <w:lvlText w:val="•"/>
      <w:lvlJc w:val="left"/>
      <w:pPr>
        <w:ind w:left="4166" w:hanging="546"/>
      </w:pPr>
    </w:lvl>
    <w:lvl w:ilvl="5">
      <w:numFmt w:val="bullet"/>
      <w:lvlText w:val="•"/>
      <w:lvlJc w:val="left"/>
      <w:pPr>
        <w:ind w:left="5173" w:hanging="547"/>
      </w:pPr>
    </w:lvl>
    <w:lvl w:ilvl="6">
      <w:numFmt w:val="bullet"/>
      <w:lvlText w:val="•"/>
      <w:lvlJc w:val="left"/>
      <w:pPr>
        <w:ind w:left="6179" w:hanging="547"/>
      </w:pPr>
    </w:lvl>
    <w:lvl w:ilvl="7">
      <w:numFmt w:val="bullet"/>
      <w:lvlText w:val="•"/>
      <w:lvlJc w:val="left"/>
      <w:pPr>
        <w:ind w:left="7186" w:hanging="547"/>
      </w:pPr>
    </w:lvl>
    <w:lvl w:ilvl="8">
      <w:numFmt w:val="bullet"/>
      <w:lvlText w:val="•"/>
      <w:lvlJc w:val="left"/>
      <w:pPr>
        <w:ind w:left="8193" w:hanging="547"/>
      </w:pPr>
    </w:lvl>
  </w:abstractNum>
  <w:abstractNum w:abstractNumId="4" w15:restartNumberingAfterBreak="0">
    <w:nsid w:val="2CBA179C"/>
    <w:multiLevelType w:val="hybridMultilevel"/>
    <w:tmpl w:val="9216D7CC"/>
    <w:lvl w:ilvl="0" w:tplc="97925322">
      <w:start w:val="1"/>
      <w:numFmt w:val="decimal"/>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5" w15:restartNumberingAfterBreak="0">
    <w:nsid w:val="3EDE11F2"/>
    <w:multiLevelType w:val="hybridMultilevel"/>
    <w:tmpl w:val="7AAA6A18"/>
    <w:lvl w:ilvl="0" w:tplc="B1B02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BD289F"/>
    <w:multiLevelType w:val="hybridMultilevel"/>
    <w:tmpl w:val="DA4065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A28B8"/>
    <w:multiLevelType w:val="multilevel"/>
    <w:tmpl w:val="8BB0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85D7C"/>
    <w:multiLevelType w:val="multilevel"/>
    <w:tmpl w:val="AF3E90F8"/>
    <w:lvl w:ilvl="0">
      <w:start w:val="3"/>
      <w:numFmt w:val="decimal"/>
      <w:lvlText w:val="%1"/>
      <w:lvlJc w:val="left"/>
      <w:pPr>
        <w:ind w:left="140" w:hanging="667"/>
      </w:pPr>
    </w:lvl>
    <w:lvl w:ilvl="1">
      <w:start w:val="1"/>
      <w:numFmt w:val="decimal"/>
      <w:lvlText w:val="%1.%2."/>
      <w:lvlJc w:val="left"/>
      <w:pPr>
        <w:ind w:left="140" w:hanging="667"/>
      </w:pPr>
      <w:rPr>
        <w:rFonts w:ascii="Times New Roman" w:eastAsia="Times New Roman" w:hAnsi="Times New Roman" w:cs="Times New Roman"/>
        <w:b w:val="0"/>
        <w:bCs w:val="0"/>
        <w:i w:val="0"/>
        <w:iCs w:val="0"/>
        <w:color w:val="auto"/>
        <w:sz w:val="28"/>
        <w:szCs w:val="28"/>
      </w:rPr>
    </w:lvl>
    <w:lvl w:ilvl="2">
      <w:numFmt w:val="bullet"/>
      <w:lvlText w:val="•"/>
      <w:lvlJc w:val="left"/>
      <w:pPr>
        <w:ind w:left="2153" w:hanging="666"/>
      </w:pPr>
    </w:lvl>
    <w:lvl w:ilvl="3">
      <w:numFmt w:val="bullet"/>
      <w:lvlText w:val="•"/>
      <w:lvlJc w:val="left"/>
      <w:pPr>
        <w:ind w:left="3159" w:hanging="667"/>
      </w:pPr>
    </w:lvl>
    <w:lvl w:ilvl="4">
      <w:numFmt w:val="bullet"/>
      <w:lvlText w:val="•"/>
      <w:lvlJc w:val="left"/>
      <w:pPr>
        <w:ind w:left="4166" w:hanging="666"/>
      </w:pPr>
    </w:lvl>
    <w:lvl w:ilvl="5">
      <w:numFmt w:val="bullet"/>
      <w:lvlText w:val="•"/>
      <w:lvlJc w:val="left"/>
      <w:pPr>
        <w:ind w:left="5173" w:hanging="667"/>
      </w:pPr>
    </w:lvl>
    <w:lvl w:ilvl="6">
      <w:numFmt w:val="bullet"/>
      <w:lvlText w:val="•"/>
      <w:lvlJc w:val="left"/>
      <w:pPr>
        <w:ind w:left="6179" w:hanging="667"/>
      </w:pPr>
    </w:lvl>
    <w:lvl w:ilvl="7">
      <w:numFmt w:val="bullet"/>
      <w:lvlText w:val="•"/>
      <w:lvlJc w:val="left"/>
      <w:pPr>
        <w:ind w:left="7186" w:hanging="667"/>
      </w:pPr>
    </w:lvl>
    <w:lvl w:ilvl="8">
      <w:numFmt w:val="bullet"/>
      <w:lvlText w:val="•"/>
      <w:lvlJc w:val="left"/>
      <w:pPr>
        <w:ind w:left="8193" w:hanging="667"/>
      </w:pPr>
    </w:lvl>
  </w:abstractNum>
  <w:abstractNum w:abstractNumId="9" w15:restartNumberingAfterBreak="0">
    <w:nsid w:val="7D672E65"/>
    <w:multiLevelType w:val="multilevel"/>
    <w:tmpl w:val="17E8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2"/>
  </w:num>
  <w:num w:numId="4">
    <w:abstractNumId w:val="5"/>
  </w:num>
  <w:num w:numId="5">
    <w:abstractNumId w:val="4"/>
  </w:num>
  <w:num w:numId="6">
    <w:abstractNumId w:val="7"/>
  </w:num>
  <w:num w:numId="7">
    <w:abstractNumId w:val="9"/>
  </w:num>
  <w:num w:numId="8">
    <w:abstractNumId w:val="0"/>
  </w:num>
  <w:num w:numId="9">
    <w:abstractNumId w:val="1"/>
  </w:num>
  <w:num w:numId="10">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Арабян Кнарик Карапетовна">
    <w15:presenceInfo w15:providerId="AD" w15:userId="S-1-5-21-390448390-874910804-2499822187-299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1B"/>
    <w:rsid w:val="000048D2"/>
    <w:rsid w:val="00016C85"/>
    <w:rsid w:val="00024775"/>
    <w:rsid w:val="00026423"/>
    <w:rsid w:val="00037683"/>
    <w:rsid w:val="0004143E"/>
    <w:rsid w:val="000456F5"/>
    <w:rsid w:val="0005103E"/>
    <w:rsid w:val="00052A0A"/>
    <w:rsid w:val="000606E5"/>
    <w:rsid w:val="00061AEB"/>
    <w:rsid w:val="00072933"/>
    <w:rsid w:val="00073A4F"/>
    <w:rsid w:val="00076115"/>
    <w:rsid w:val="0007664B"/>
    <w:rsid w:val="00081AC0"/>
    <w:rsid w:val="000958A3"/>
    <w:rsid w:val="00097F0D"/>
    <w:rsid w:val="000A04EA"/>
    <w:rsid w:val="000A7AC1"/>
    <w:rsid w:val="000B2458"/>
    <w:rsid w:val="000B3361"/>
    <w:rsid w:val="000C06B5"/>
    <w:rsid w:val="000C0B43"/>
    <w:rsid w:val="000C30FD"/>
    <w:rsid w:val="000D05AA"/>
    <w:rsid w:val="000D19C1"/>
    <w:rsid w:val="000D2206"/>
    <w:rsid w:val="000D2DFC"/>
    <w:rsid w:val="000E64A7"/>
    <w:rsid w:val="0010172A"/>
    <w:rsid w:val="0010313A"/>
    <w:rsid w:val="00110C74"/>
    <w:rsid w:val="00112ACF"/>
    <w:rsid w:val="001140C2"/>
    <w:rsid w:val="00126F12"/>
    <w:rsid w:val="00133FE1"/>
    <w:rsid w:val="00135112"/>
    <w:rsid w:val="001405D5"/>
    <w:rsid w:val="00141D91"/>
    <w:rsid w:val="00150135"/>
    <w:rsid w:val="0015089A"/>
    <w:rsid w:val="0015249C"/>
    <w:rsid w:val="001540F5"/>
    <w:rsid w:val="00156B64"/>
    <w:rsid w:val="00157098"/>
    <w:rsid w:val="00157BA9"/>
    <w:rsid w:val="00162873"/>
    <w:rsid w:val="0016401A"/>
    <w:rsid w:val="00173679"/>
    <w:rsid w:val="0018149E"/>
    <w:rsid w:val="00182D46"/>
    <w:rsid w:val="00184424"/>
    <w:rsid w:val="00190DC3"/>
    <w:rsid w:val="00197FA5"/>
    <w:rsid w:val="001A5102"/>
    <w:rsid w:val="001A54C1"/>
    <w:rsid w:val="001A5C1E"/>
    <w:rsid w:val="001B2337"/>
    <w:rsid w:val="001B7F18"/>
    <w:rsid w:val="001C39EB"/>
    <w:rsid w:val="001C4663"/>
    <w:rsid w:val="001C5DF6"/>
    <w:rsid w:val="001C6A26"/>
    <w:rsid w:val="001C740D"/>
    <w:rsid w:val="001C7983"/>
    <w:rsid w:val="001D15D4"/>
    <w:rsid w:val="001D425A"/>
    <w:rsid w:val="001D5292"/>
    <w:rsid w:val="001D57CD"/>
    <w:rsid w:val="001E269C"/>
    <w:rsid w:val="001E4FB7"/>
    <w:rsid w:val="001E5652"/>
    <w:rsid w:val="001E5DF5"/>
    <w:rsid w:val="001F0883"/>
    <w:rsid w:val="001F5CBE"/>
    <w:rsid w:val="00200720"/>
    <w:rsid w:val="002023B2"/>
    <w:rsid w:val="00210DF0"/>
    <w:rsid w:val="00210EC6"/>
    <w:rsid w:val="00213287"/>
    <w:rsid w:val="00213777"/>
    <w:rsid w:val="00213D53"/>
    <w:rsid w:val="00215BAD"/>
    <w:rsid w:val="002177B0"/>
    <w:rsid w:val="00226A0C"/>
    <w:rsid w:val="00230620"/>
    <w:rsid w:val="002316FA"/>
    <w:rsid w:val="00234367"/>
    <w:rsid w:val="00235CE3"/>
    <w:rsid w:val="00252097"/>
    <w:rsid w:val="00252127"/>
    <w:rsid w:val="00256191"/>
    <w:rsid w:val="002564FA"/>
    <w:rsid w:val="002566A7"/>
    <w:rsid w:val="002566B2"/>
    <w:rsid w:val="00271816"/>
    <w:rsid w:val="002721F3"/>
    <w:rsid w:val="00272925"/>
    <w:rsid w:val="0028137D"/>
    <w:rsid w:val="00283231"/>
    <w:rsid w:val="00287FF2"/>
    <w:rsid w:val="00293182"/>
    <w:rsid w:val="002948AE"/>
    <w:rsid w:val="00296390"/>
    <w:rsid w:val="002973C1"/>
    <w:rsid w:val="00297FA2"/>
    <w:rsid w:val="002A52B1"/>
    <w:rsid w:val="002B4639"/>
    <w:rsid w:val="002B5CB5"/>
    <w:rsid w:val="002B5F0C"/>
    <w:rsid w:val="002C36C5"/>
    <w:rsid w:val="002C3C51"/>
    <w:rsid w:val="002C5460"/>
    <w:rsid w:val="002C564B"/>
    <w:rsid w:val="002C6765"/>
    <w:rsid w:val="002E0F3D"/>
    <w:rsid w:val="002E7C78"/>
    <w:rsid w:val="002F37CF"/>
    <w:rsid w:val="002F3805"/>
    <w:rsid w:val="003046D5"/>
    <w:rsid w:val="00304B9E"/>
    <w:rsid w:val="00304DEF"/>
    <w:rsid w:val="00305F63"/>
    <w:rsid w:val="00310D50"/>
    <w:rsid w:val="003138E1"/>
    <w:rsid w:val="00336917"/>
    <w:rsid w:val="00342124"/>
    <w:rsid w:val="00345BBF"/>
    <w:rsid w:val="00350DCE"/>
    <w:rsid w:val="003524CA"/>
    <w:rsid w:val="003637A7"/>
    <w:rsid w:val="003639F8"/>
    <w:rsid w:val="0036684E"/>
    <w:rsid w:val="003677BB"/>
    <w:rsid w:val="0038168F"/>
    <w:rsid w:val="00384E04"/>
    <w:rsid w:val="00387A70"/>
    <w:rsid w:val="0039174C"/>
    <w:rsid w:val="00392B83"/>
    <w:rsid w:val="00394801"/>
    <w:rsid w:val="00395A71"/>
    <w:rsid w:val="003A06C8"/>
    <w:rsid w:val="003A4F00"/>
    <w:rsid w:val="003A5726"/>
    <w:rsid w:val="003B1662"/>
    <w:rsid w:val="003B46A8"/>
    <w:rsid w:val="003C1309"/>
    <w:rsid w:val="003C1B72"/>
    <w:rsid w:val="003C666D"/>
    <w:rsid w:val="003C7401"/>
    <w:rsid w:val="003D0EA5"/>
    <w:rsid w:val="003D2DD8"/>
    <w:rsid w:val="003D3E27"/>
    <w:rsid w:val="003D68F2"/>
    <w:rsid w:val="003D6F6F"/>
    <w:rsid w:val="003E0490"/>
    <w:rsid w:val="003E63A8"/>
    <w:rsid w:val="003F3940"/>
    <w:rsid w:val="003F4D0D"/>
    <w:rsid w:val="003F6E08"/>
    <w:rsid w:val="003F732C"/>
    <w:rsid w:val="00406663"/>
    <w:rsid w:val="004117E5"/>
    <w:rsid w:val="004134D7"/>
    <w:rsid w:val="00425D2D"/>
    <w:rsid w:val="00427827"/>
    <w:rsid w:val="004324C6"/>
    <w:rsid w:val="00433FF2"/>
    <w:rsid w:val="004343FF"/>
    <w:rsid w:val="00436C51"/>
    <w:rsid w:val="00450C2A"/>
    <w:rsid w:val="00453915"/>
    <w:rsid w:val="004637FB"/>
    <w:rsid w:val="004663DE"/>
    <w:rsid w:val="00480F83"/>
    <w:rsid w:val="00482215"/>
    <w:rsid w:val="004830E4"/>
    <w:rsid w:val="004918CE"/>
    <w:rsid w:val="00493AD8"/>
    <w:rsid w:val="00494CC7"/>
    <w:rsid w:val="004955F0"/>
    <w:rsid w:val="004A2450"/>
    <w:rsid w:val="004A434E"/>
    <w:rsid w:val="004A748B"/>
    <w:rsid w:val="004B20A6"/>
    <w:rsid w:val="004B20C1"/>
    <w:rsid w:val="004C0719"/>
    <w:rsid w:val="004C2BB5"/>
    <w:rsid w:val="004C5A59"/>
    <w:rsid w:val="004D31AC"/>
    <w:rsid w:val="004D333B"/>
    <w:rsid w:val="004D5B9B"/>
    <w:rsid w:val="004D6521"/>
    <w:rsid w:val="004D6B68"/>
    <w:rsid w:val="004E5322"/>
    <w:rsid w:val="004F23EF"/>
    <w:rsid w:val="0050053D"/>
    <w:rsid w:val="00502F26"/>
    <w:rsid w:val="00503734"/>
    <w:rsid w:val="00507611"/>
    <w:rsid w:val="00512F43"/>
    <w:rsid w:val="00513EE3"/>
    <w:rsid w:val="0052422E"/>
    <w:rsid w:val="00544DD2"/>
    <w:rsid w:val="00546C12"/>
    <w:rsid w:val="0055372C"/>
    <w:rsid w:val="00556DDC"/>
    <w:rsid w:val="0056276C"/>
    <w:rsid w:val="005729C8"/>
    <w:rsid w:val="00574EE6"/>
    <w:rsid w:val="005766F1"/>
    <w:rsid w:val="005778E5"/>
    <w:rsid w:val="00590180"/>
    <w:rsid w:val="0059410A"/>
    <w:rsid w:val="005951B5"/>
    <w:rsid w:val="005A1D33"/>
    <w:rsid w:val="005B6503"/>
    <w:rsid w:val="005C53A9"/>
    <w:rsid w:val="005C77A5"/>
    <w:rsid w:val="005D5A47"/>
    <w:rsid w:val="005D6BAF"/>
    <w:rsid w:val="005D7CE1"/>
    <w:rsid w:val="005E0032"/>
    <w:rsid w:val="005E066E"/>
    <w:rsid w:val="005E6D1A"/>
    <w:rsid w:val="005F2493"/>
    <w:rsid w:val="00601E8D"/>
    <w:rsid w:val="00605465"/>
    <w:rsid w:val="006067B6"/>
    <w:rsid w:val="00615B51"/>
    <w:rsid w:val="00626EE8"/>
    <w:rsid w:val="00627149"/>
    <w:rsid w:val="006301ED"/>
    <w:rsid w:val="00632820"/>
    <w:rsid w:val="00632BF6"/>
    <w:rsid w:val="0063651E"/>
    <w:rsid w:val="006441CE"/>
    <w:rsid w:val="00645F9D"/>
    <w:rsid w:val="00646D84"/>
    <w:rsid w:val="0065723E"/>
    <w:rsid w:val="006605AA"/>
    <w:rsid w:val="006612A1"/>
    <w:rsid w:val="00661497"/>
    <w:rsid w:val="00664426"/>
    <w:rsid w:val="006A0EA5"/>
    <w:rsid w:val="006A12BC"/>
    <w:rsid w:val="006B5415"/>
    <w:rsid w:val="006B5561"/>
    <w:rsid w:val="006B67AA"/>
    <w:rsid w:val="006C4947"/>
    <w:rsid w:val="006C6A2D"/>
    <w:rsid w:val="006D0EDD"/>
    <w:rsid w:val="006D5BCA"/>
    <w:rsid w:val="006D792A"/>
    <w:rsid w:val="006F1D1D"/>
    <w:rsid w:val="0070162E"/>
    <w:rsid w:val="007056C6"/>
    <w:rsid w:val="00712EBC"/>
    <w:rsid w:val="00714D7F"/>
    <w:rsid w:val="007241B9"/>
    <w:rsid w:val="00727087"/>
    <w:rsid w:val="00730D41"/>
    <w:rsid w:val="00732684"/>
    <w:rsid w:val="007479ED"/>
    <w:rsid w:val="0075199B"/>
    <w:rsid w:val="00752081"/>
    <w:rsid w:val="00754326"/>
    <w:rsid w:val="00756713"/>
    <w:rsid w:val="00756AE4"/>
    <w:rsid w:val="0076790D"/>
    <w:rsid w:val="00774BCE"/>
    <w:rsid w:val="00780D64"/>
    <w:rsid w:val="00785E9B"/>
    <w:rsid w:val="00786CC2"/>
    <w:rsid w:val="00790973"/>
    <w:rsid w:val="00792F09"/>
    <w:rsid w:val="00793519"/>
    <w:rsid w:val="007942D4"/>
    <w:rsid w:val="00794D42"/>
    <w:rsid w:val="007A0B5A"/>
    <w:rsid w:val="007A3797"/>
    <w:rsid w:val="007B1F6C"/>
    <w:rsid w:val="007B6111"/>
    <w:rsid w:val="007B7B73"/>
    <w:rsid w:val="007C2AA8"/>
    <w:rsid w:val="007C3415"/>
    <w:rsid w:val="007C5437"/>
    <w:rsid w:val="007D76F4"/>
    <w:rsid w:val="007E3C46"/>
    <w:rsid w:val="007E66B2"/>
    <w:rsid w:val="007F1352"/>
    <w:rsid w:val="007F16A7"/>
    <w:rsid w:val="007F302F"/>
    <w:rsid w:val="007F72EE"/>
    <w:rsid w:val="0080379D"/>
    <w:rsid w:val="00803D2C"/>
    <w:rsid w:val="008076E0"/>
    <w:rsid w:val="0081263B"/>
    <w:rsid w:val="00816950"/>
    <w:rsid w:val="008204B3"/>
    <w:rsid w:val="0082125D"/>
    <w:rsid w:val="008219EF"/>
    <w:rsid w:val="00835D35"/>
    <w:rsid w:val="008422E0"/>
    <w:rsid w:val="00850C18"/>
    <w:rsid w:val="00855847"/>
    <w:rsid w:val="00857692"/>
    <w:rsid w:val="00865B10"/>
    <w:rsid w:val="0086614D"/>
    <w:rsid w:val="008666D8"/>
    <w:rsid w:val="008740C1"/>
    <w:rsid w:val="008763E1"/>
    <w:rsid w:val="008817F6"/>
    <w:rsid w:val="00883A48"/>
    <w:rsid w:val="00885832"/>
    <w:rsid w:val="00890BA4"/>
    <w:rsid w:val="00895001"/>
    <w:rsid w:val="0089555A"/>
    <w:rsid w:val="008A0DBE"/>
    <w:rsid w:val="008A5A4A"/>
    <w:rsid w:val="008B34C8"/>
    <w:rsid w:val="008B45E1"/>
    <w:rsid w:val="008D25B9"/>
    <w:rsid w:val="008D42EC"/>
    <w:rsid w:val="008E4760"/>
    <w:rsid w:val="008F12FA"/>
    <w:rsid w:val="008F76E2"/>
    <w:rsid w:val="00903C17"/>
    <w:rsid w:val="009102C9"/>
    <w:rsid w:val="00914245"/>
    <w:rsid w:val="00916F1A"/>
    <w:rsid w:val="00924448"/>
    <w:rsid w:val="009265A7"/>
    <w:rsid w:val="009273F7"/>
    <w:rsid w:val="0093286D"/>
    <w:rsid w:val="00935A4F"/>
    <w:rsid w:val="009367D3"/>
    <w:rsid w:val="00940155"/>
    <w:rsid w:val="00940B61"/>
    <w:rsid w:val="00942A4A"/>
    <w:rsid w:val="00942F88"/>
    <w:rsid w:val="009739A0"/>
    <w:rsid w:val="0098087E"/>
    <w:rsid w:val="00986688"/>
    <w:rsid w:val="00992F33"/>
    <w:rsid w:val="00997E9B"/>
    <w:rsid w:val="009A2870"/>
    <w:rsid w:val="009A5850"/>
    <w:rsid w:val="009A5B8B"/>
    <w:rsid w:val="009B3DE2"/>
    <w:rsid w:val="009B4332"/>
    <w:rsid w:val="009C3554"/>
    <w:rsid w:val="009C6219"/>
    <w:rsid w:val="009D12E7"/>
    <w:rsid w:val="009D13F9"/>
    <w:rsid w:val="009D3955"/>
    <w:rsid w:val="009D4AEA"/>
    <w:rsid w:val="009D7A71"/>
    <w:rsid w:val="009F0C2B"/>
    <w:rsid w:val="009F2B24"/>
    <w:rsid w:val="009F67C9"/>
    <w:rsid w:val="00A00615"/>
    <w:rsid w:val="00A008A8"/>
    <w:rsid w:val="00A02742"/>
    <w:rsid w:val="00A0463B"/>
    <w:rsid w:val="00A06743"/>
    <w:rsid w:val="00A1177A"/>
    <w:rsid w:val="00A13097"/>
    <w:rsid w:val="00A21A75"/>
    <w:rsid w:val="00A24741"/>
    <w:rsid w:val="00A26F9C"/>
    <w:rsid w:val="00A3409F"/>
    <w:rsid w:val="00A40485"/>
    <w:rsid w:val="00A42EAE"/>
    <w:rsid w:val="00A46A46"/>
    <w:rsid w:val="00A5033C"/>
    <w:rsid w:val="00A51E0A"/>
    <w:rsid w:val="00A57AF3"/>
    <w:rsid w:val="00A60B34"/>
    <w:rsid w:val="00A63D1B"/>
    <w:rsid w:val="00A648EF"/>
    <w:rsid w:val="00A7354F"/>
    <w:rsid w:val="00A77B71"/>
    <w:rsid w:val="00A82356"/>
    <w:rsid w:val="00A938D8"/>
    <w:rsid w:val="00A93C1A"/>
    <w:rsid w:val="00A94FF0"/>
    <w:rsid w:val="00A9729F"/>
    <w:rsid w:val="00A978A8"/>
    <w:rsid w:val="00AA3090"/>
    <w:rsid w:val="00AA45C4"/>
    <w:rsid w:val="00AB035F"/>
    <w:rsid w:val="00AB110A"/>
    <w:rsid w:val="00AB384A"/>
    <w:rsid w:val="00AC0313"/>
    <w:rsid w:val="00AC22FB"/>
    <w:rsid w:val="00AC4F4E"/>
    <w:rsid w:val="00AC5CFD"/>
    <w:rsid w:val="00AD050B"/>
    <w:rsid w:val="00AD5FD5"/>
    <w:rsid w:val="00AE2197"/>
    <w:rsid w:val="00AE379D"/>
    <w:rsid w:val="00AE7320"/>
    <w:rsid w:val="00AE73AD"/>
    <w:rsid w:val="00AE77FE"/>
    <w:rsid w:val="00AF3912"/>
    <w:rsid w:val="00AF48E8"/>
    <w:rsid w:val="00AF67DF"/>
    <w:rsid w:val="00AF68CC"/>
    <w:rsid w:val="00AF70B1"/>
    <w:rsid w:val="00B02609"/>
    <w:rsid w:val="00B07140"/>
    <w:rsid w:val="00B1250B"/>
    <w:rsid w:val="00B1777E"/>
    <w:rsid w:val="00B213A6"/>
    <w:rsid w:val="00B235B4"/>
    <w:rsid w:val="00B24AAD"/>
    <w:rsid w:val="00B277F3"/>
    <w:rsid w:val="00B33837"/>
    <w:rsid w:val="00B37E3E"/>
    <w:rsid w:val="00B41F2B"/>
    <w:rsid w:val="00B460BC"/>
    <w:rsid w:val="00B523E2"/>
    <w:rsid w:val="00B53005"/>
    <w:rsid w:val="00B53CC7"/>
    <w:rsid w:val="00B5501A"/>
    <w:rsid w:val="00B5623C"/>
    <w:rsid w:val="00B57625"/>
    <w:rsid w:val="00B605D8"/>
    <w:rsid w:val="00B64D94"/>
    <w:rsid w:val="00B64E7F"/>
    <w:rsid w:val="00B67F72"/>
    <w:rsid w:val="00B70D0D"/>
    <w:rsid w:val="00B72439"/>
    <w:rsid w:val="00B84F9D"/>
    <w:rsid w:val="00B900BF"/>
    <w:rsid w:val="00B91683"/>
    <w:rsid w:val="00BA3503"/>
    <w:rsid w:val="00BA41E8"/>
    <w:rsid w:val="00BB70AF"/>
    <w:rsid w:val="00BC3025"/>
    <w:rsid w:val="00BC305A"/>
    <w:rsid w:val="00BD0A8A"/>
    <w:rsid w:val="00BD1C0C"/>
    <w:rsid w:val="00BD4359"/>
    <w:rsid w:val="00BD4F9E"/>
    <w:rsid w:val="00BD7403"/>
    <w:rsid w:val="00C018CD"/>
    <w:rsid w:val="00C0440A"/>
    <w:rsid w:val="00C05685"/>
    <w:rsid w:val="00C05A53"/>
    <w:rsid w:val="00C05A94"/>
    <w:rsid w:val="00C068B7"/>
    <w:rsid w:val="00C122AD"/>
    <w:rsid w:val="00C1275C"/>
    <w:rsid w:val="00C2253D"/>
    <w:rsid w:val="00C27719"/>
    <w:rsid w:val="00C33666"/>
    <w:rsid w:val="00C425D8"/>
    <w:rsid w:val="00C42F99"/>
    <w:rsid w:val="00C502BD"/>
    <w:rsid w:val="00C51628"/>
    <w:rsid w:val="00C703DB"/>
    <w:rsid w:val="00C74984"/>
    <w:rsid w:val="00C75937"/>
    <w:rsid w:val="00C76C93"/>
    <w:rsid w:val="00C7757F"/>
    <w:rsid w:val="00C80134"/>
    <w:rsid w:val="00C82BB8"/>
    <w:rsid w:val="00C84B97"/>
    <w:rsid w:val="00C85EE0"/>
    <w:rsid w:val="00C86B19"/>
    <w:rsid w:val="00C91442"/>
    <w:rsid w:val="00C93AA0"/>
    <w:rsid w:val="00C956F9"/>
    <w:rsid w:val="00C95B5E"/>
    <w:rsid w:val="00C9676D"/>
    <w:rsid w:val="00CA60D1"/>
    <w:rsid w:val="00CA6DFB"/>
    <w:rsid w:val="00CB1ACE"/>
    <w:rsid w:val="00CB203E"/>
    <w:rsid w:val="00CB61A5"/>
    <w:rsid w:val="00CE0A9C"/>
    <w:rsid w:val="00CF2693"/>
    <w:rsid w:val="00CF4295"/>
    <w:rsid w:val="00CF7308"/>
    <w:rsid w:val="00D00BB5"/>
    <w:rsid w:val="00D05112"/>
    <w:rsid w:val="00D069F3"/>
    <w:rsid w:val="00D072A1"/>
    <w:rsid w:val="00D07CC8"/>
    <w:rsid w:val="00D07CFD"/>
    <w:rsid w:val="00D120DB"/>
    <w:rsid w:val="00D16A07"/>
    <w:rsid w:val="00D20040"/>
    <w:rsid w:val="00D2700E"/>
    <w:rsid w:val="00D40DF4"/>
    <w:rsid w:val="00D413FB"/>
    <w:rsid w:val="00D44DE0"/>
    <w:rsid w:val="00D514E8"/>
    <w:rsid w:val="00D55225"/>
    <w:rsid w:val="00D606FD"/>
    <w:rsid w:val="00D70261"/>
    <w:rsid w:val="00D74B0C"/>
    <w:rsid w:val="00D751ED"/>
    <w:rsid w:val="00D77FB3"/>
    <w:rsid w:val="00D81474"/>
    <w:rsid w:val="00D90209"/>
    <w:rsid w:val="00D9513B"/>
    <w:rsid w:val="00D95677"/>
    <w:rsid w:val="00DA2EB7"/>
    <w:rsid w:val="00DA485F"/>
    <w:rsid w:val="00DA57A1"/>
    <w:rsid w:val="00DA6458"/>
    <w:rsid w:val="00DB0E6A"/>
    <w:rsid w:val="00DB5B02"/>
    <w:rsid w:val="00DC018D"/>
    <w:rsid w:val="00DC02DF"/>
    <w:rsid w:val="00DC2124"/>
    <w:rsid w:val="00DC603F"/>
    <w:rsid w:val="00DC6457"/>
    <w:rsid w:val="00DC7386"/>
    <w:rsid w:val="00DD12CB"/>
    <w:rsid w:val="00DD2721"/>
    <w:rsid w:val="00DD692A"/>
    <w:rsid w:val="00DE152A"/>
    <w:rsid w:val="00DE5A63"/>
    <w:rsid w:val="00DF6EAE"/>
    <w:rsid w:val="00E011CC"/>
    <w:rsid w:val="00E012C1"/>
    <w:rsid w:val="00E1035D"/>
    <w:rsid w:val="00E1378D"/>
    <w:rsid w:val="00E16C5E"/>
    <w:rsid w:val="00E227C1"/>
    <w:rsid w:val="00E22A0B"/>
    <w:rsid w:val="00E22DF1"/>
    <w:rsid w:val="00E334D0"/>
    <w:rsid w:val="00E346C6"/>
    <w:rsid w:val="00E370BC"/>
    <w:rsid w:val="00E372A3"/>
    <w:rsid w:val="00E41A54"/>
    <w:rsid w:val="00E44E3C"/>
    <w:rsid w:val="00E53833"/>
    <w:rsid w:val="00E53FD1"/>
    <w:rsid w:val="00E54771"/>
    <w:rsid w:val="00E563E1"/>
    <w:rsid w:val="00E64435"/>
    <w:rsid w:val="00E652E2"/>
    <w:rsid w:val="00E65EF4"/>
    <w:rsid w:val="00E74E6C"/>
    <w:rsid w:val="00E820D1"/>
    <w:rsid w:val="00E8210D"/>
    <w:rsid w:val="00E85A0A"/>
    <w:rsid w:val="00E92DAE"/>
    <w:rsid w:val="00E93CB1"/>
    <w:rsid w:val="00E9424D"/>
    <w:rsid w:val="00EA0C61"/>
    <w:rsid w:val="00EA7643"/>
    <w:rsid w:val="00EA7778"/>
    <w:rsid w:val="00EB1BC1"/>
    <w:rsid w:val="00EB24A1"/>
    <w:rsid w:val="00EB4566"/>
    <w:rsid w:val="00EB7E68"/>
    <w:rsid w:val="00EC566B"/>
    <w:rsid w:val="00ED3E2D"/>
    <w:rsid w:val="00ED4931"/>
    <w:rsid w:val="00EE1992"/>
    <w:rsid w:val="00EE1A0A"/>
    <w:rsid w:val="00EE5864"/>
    <w:rsid w:val="00EE78AC"/>
    <w:rsid w:val="00EF17E4"/>
    <w:rsid w:val="00EF4A24"/>
    <w:rsid w:val="00F00200"/>
    <w:rsid w:val="00F02F69"/>
    <w:rsid w:val="00F03050"/>
    <w:rsid w:val="00F10467"/>
    <w:rsid w:val="00F14503"/>
    <w:rsid w:val="00F2095D"/>
    <w:rsid w:val="00F21192"/>
    <w:rsid w:val="00F24457"/>
    <w:rsid w:val="00F27932"/>
    <w:rsid w:val="00F439D5"/>
    <w:rsid w:val="00F44837"/>
    <w:rsid w:val="00F45D18"/>
    <w:rsid w:val="00F45F75"/>
    <w:rsid w:val="00F46256"/>
    <w:rsid w:val="00F47A75"/>
    <w:rsid w:val="00F51137"/>
    <w:rsid w:val="00F52647"/>
    <w:rsid w:val="00F56478"/>
    <w:rsid w:val="00F62690"/>
    <w:rsid w:val="00F64B40"/>
    <w:rsid w:val="00F70782"/>
    <w:rsid w:val="00F75582"/>
    <w:rsid w:val="00F776D2"/>
    <w:rsid w:val="00F81650"/>
    <w:rsid w:val="00F85532"/>
    <w:rsid w:val="00F865E8"/>
    <w:rsid w:val="00F91DF3"/>
    <w:rsid w:val="00F921D3"/>
    <w:rsid w:val="00F92BE5"/>
    <w:rsid w:val="00F95BAE"/>
    <w:rsid w:val="00FA29A8"/>
    <w:rsid w:val="00FA2F5D"/>
    <w:rsid w:val="00FA3537"/>
    <w:rsid w:val="00FA5B71"/>
    <w:rsid w:val="00FA7A99"/>
    <w:rsid w:val="00FB4F99"/>
    <w:rsid w:val="00FC13B1"/>
    <w:rsid w:val="00FC5A4B"/>
    <w:rsid w:val="00FD110E"/>
    <w:rsid w:val="00FD382B"/>
    <w:rsid w:val="00FD72DE"/>
    <w:rsid w:val="00FE0F8E"/>
    <w:rsid w:val="00FE22C1"/>
    <w:rsid w:val="00FE4F7E"/>
    <w:rsid w:val="00FE76DF"/>
    <w:rsid w:val="00FF1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2632"/>
  <w15:docId w15:val="{DBCF65A4-E619-408C-AF9C-0C4D3195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ru"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ind w:left="140"/>
      <w:outlineLvl w:val="0"/>
    </w:pPr>
    <w:rPr>
      <w:b/>
      <w:bCs/>
      <w:sz w:val="28"/>
      <w:szCs w:val="28"/>
    </w:rPr>
  </w:style>
  <w:style w:type="paragraph" w:styleId="2">
    <w:name w:val="heading 2"/>
    <w:basedOn w:val="a"/>
    <w:next w:val="a"/>
    <w:uiPriority w:val="9"/>
    <w:semiHidden/>
    <w:unhideWhenUsed/>
    <w:qFormat/>
    <w:pPr>
      <w:keepNext/>
      <w:keepLines/>
      <w:spacing w:before="40"/>
      <w:outlineLvl w:val="1"/>
    </w:pPr>
    <w:rPr>
      <w:rFonts w:ascii="Cambria" w:eastAsia="Cambria" w:hAnsi="Cambria" w:cs="Cambria"/>
      <w:color w:val="366091"/>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footnote text"/>
    <w:basedOn w:val="a"/>
    <w:link w:val="a6"/>
    <w:uiPriority w:val="99"/>
    <w:unhideWhenUsed/>
    <w:rsid w:val="0086614D"/>
    <w:rPr>
      <w:sz w:val="20"/>
      <w:szCs w:val="20"/>
    </w:rPr>
  </w:style>
  <w:style w:type="character" w:customStyle="1" w:styleId="a6">
    <w:name w:val="Текст сноски Знак"/>
    <w:basedOn w:val="a0"/>
    <w:link w:val="a5"/>
    <w:uiPriority w:val="99"/>
    <w:rsid w:val="0086614D"/>
    <w:rPr>
      <w:sz w:val="20"/>
      <w:szCs w:val="20"/>
    </w:rPr>
  </w:style>
  <w:style w:type="character" w:styleId="a7">
    <w:name w:val="footnote reference"/>
    <w:basedOn w:val="a0"/>
    <w:uiPriority w:val="99"/>
    <w:semiHidden/>
    <w:unhideWhenUsed/>
    <w:rsid w:val="0086614D"/>
    <w:rPr>
      <w:vertAlign w:val="superscript"/>
    </w:rPr>
  </w:style>
  <w:style w:type="character" w:styleId="a8">
    <w:name w:val="Hyperlink"/>
    <w:basedOn w:val="a0"/>
    <w:uiPriority w:val="99"/>
    <w:unhideWhenUsed/>
    <w:rsid w:val="007A3797"/>
    <w:rPr>
      <w:color w:val="0000FF" w:themeColor="hyperlink"/>
      <w:u w:val="single"/>
    </w:rPr>
  </w:style>
  <w:style w:type="character" w:customStyle="1" w:styleId="UnresolvedMention">
    <w:name w:val="Unresolved Mention"/>
    <w:basedOn w:val="a0"/>
    <w:uiPriority w:val="99"/>
    <w:semiHidden/>
    <w:unhideWhenUsed/>
    <w:rsid w:val="007A3797"/>
    <w:rPr>
      <w:color w:val="605E5C"/>
      <w:shd w:val="clear" w:color="auto" w:fill="E1DFDD"/>
    </w:rPr>
  </w:style>
  <w:style w:type="paragraph" w:styleId="a9">
    <w:name w:val="List Paragraph"/>
    <w:basedOn w:val="a"/>
    <w:uiPriority w:val="34"/>
    <w:qFormat/>
    <w:rsid w:val="00A24741"/>
    <w:pPr>
      <w:ind w:left="720"/>
      <w:contextualSpacing/>
    </w:pPr>
  </w:style>
  <w:style w:type="character" w:styleId="aa">
    <w:name w:val="FollowedHyperlink"/>
    <w:basedOn w:val="a0"/>
    <w:uiPriority w:val="99"/>
    <w:semiHidden/>
    <w:unhideWhenUsed/>
    <w:rsid w:val="00EE78AC"/>
    <w:rPr>
      <w:color w:val="800080" w:themeColor="followedHyperlink"/>
      <w:u w:val="single"/>
    </w:rPr>
  </w:style>
  <w:style w:type="table" w:styleId="ab">
    <w:name w:val="Table Grid"/>
    <w:basedOn w:val="a1"/>
    <w:uiPriority w:val="39"/>
    <w:rsid w:val="004B2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1140C2"/>
    <w:pPr>
      <w:tabs>
        <w:tab w:val="center" w:pos="4680"/>
        <w:tab w:val="right" w:pos="9360"/>
      </w:tabs>
    </w:pPr>
  </w:style>
  <w:style w:type="character" w:customStyle="1" w:styleId="ad">
    <w:name w:val="Верхний колонтитул Знак"/>
    <w:basedOn w:val="a0"/>
    <w:link w:val="ac"/>
    <w:uiPriority w:val="99"/>
    <w:rsid w:val="001140C2"/>
  </w:style>
  <w:style w:type="paragraph" w:styleId="ae">
    <w:name w:val="footer"/>
    <w:basedOn w:val="a"/>
    <w:link w:val="af"/>
    <w:uiPriority w:val="99"/>
    <w:unhideWhenUsed/>
    <w:rsid w:val="001140C2"/>
    <w:pPr>
      <w:tabs>
        <w:tab w:val="center" w:pos="4680"/>
        <w:tab w:val="right" w:pos="9360"/>
      </w:tabs>
    </w:pPr>
  </w:style>
  <w:style w:type="character" w:customStyle="1" w:styleId="af">
    <w:name w:val="Нижний колонтитул Знак"/>
    <w:basedOn w:val="a0"/>
    <w:link w:val="ae"/>
    <w:uiPriority w:val="99"/>
    <w:rsid w:val="001140C2"/>
  </w:style>
  <w:style w:type="paragraph" w:styleId="af0">
    <w:name w:val="Normal (Web)"/>
    <w:basedOn w:val="a"/>
    <w:uiPriority w:val="99"/>
    <w:semiHidden/>
    <w:unhideWhenUsed/>
    <w:rsid w:val="004A2450"/>
    <w:rPr>
      <w:sz w:val="24"/>
      <w:szCs w:val="24"/>
    </w:rPr>
  </w:style>
  <w:style w:type="character" w:styleId="af1">
    <w:name w:val="Placeholder Text"/>
    <w:basedOn w:val="a0"/>
    <w:uiPriority w:val="99"/>
    <w:semiHidden/>
    <w:rsid w:val="00F45D18"/>
    <w:rPr>
      <w:color w:val="666666"/>
    </w:rPr>
  </w:style>
  <w:style w:type="character" w:styleId="af2">
    <w:name w:val="annotation reference"/>
    <w:basedOn w:val="a0"/>
    <w:uiPriority w:val="99"/>
    <w:semiHidden/>
    <w:unhideWhenUsed/>
    <w:rsid w:val="00350DCE"/>
    <w:rPr>
      <w:sz w:val="16"/>
      <w:szCs w:val="16"/>
    </w:rPr>
  </w:style>
  <w:style w:type="paragraph" w:styleId="af3">
    <w:name w:val="annotation text"/>
    <w:basedOn w:val="a"/>
    <w:link w:val="af4"/>
    <w:uiPriority w:val="99"/>
    <w:semiHidden/>
    <w:unhideWhenUsed/>
    <w:rsid w:val="00350DCE"/>
    <w:rPr>
      <w:sz w:val="20"/>
      <w:szCs w:val="20"/>
    </w:rPr>
  </w:style>
  <w:style w:type="character" w:customStyle="1" w:styleId="af4">
    <w:name w:val="Текст примечания Знак"/>
    <w:basedOn w:val="a0"/>
    <w:link w:val="af3"/>
    <w:uiPriority w:val="99"/>
    <w:semiHidden/>
    <w:rsid w:val="00350DCE"/>
    <w:rPr>
      <w:sz w:val="20"/>
      <w:szCs w:val="20"/>
    </w:rPr>
  </w:style>
  <w:style w:type="paragraph" w:styleId="af5">
    <w:name w:val="annotation subject"/>
    <w:basedOn w:val="af3"/>
    <w:next w:val="af3"/>
    <w:link w:val="af6"/>
    <w:uiPriority w:val="99"/>
    <w:semiHidden/>
    <w:unhideWhenUsed/>
    <w:rsid w:val="00350DCE"/>
    <w:rPr>
      <w:b/>
      <w:bCs/>
    </w:rPr>
  </w:style>
  <w:style w:type="character" w:customStyle="1" w:styleId="af6">
    <w:name w:val="Тема примечания Знак"/>
    <w:basedOn w:val="af4"/>
    <w:link w:val="af5"/>
    <w:uiPriority w:val="99"/>
    <w:semiHidden/>
    <w:rsid w:val="00350DCE"/>
    <w:rPr>
      <w:b/>
      <w:bCs/>
      <w:sz w:val="20"/>
      <w:szCs w:val="20"/>
    </w:rPr>
  </w:style>
  <w:style w:type="paragraph" w:styleId="af7">
    <w:name w:val="Balloon Text"/>
    <w:basedOn w:val="a"/>
    <w:link w:val="af8"/>
    <w:uiPriority w:val="99"/>
    <w:semiHidden/>
    <w:unhideWhenUsed/>
    <w:rsid w:val="00350DCE"/>
    <w:rPr>
      <w:rFonts w:ascii="Segoe UI" w:hAnsi="Segoe UI" w:cs="Segoe UI"/>
      <w:sz w:val="18"/>
      <w:szCs w:val="18"/>
    </w:rPr>
  </w:style>
  <w:style w:type="character" w:customStyle="1" w:styleId="af8">
    <w:name w:val="Текст выноски Знак"/>
    <w:basedOn w:val="a0"/>
    <w:link w:val="af7"/>
    <w:uiPriority w:val="99"/>
    <w:semiHidden/>
    <w:rsid w:val="00350D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microsoft.com/office/2016/09/relationships/commentsIds" Target="commentsIds.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3" Type="http://schemas.openxmlformats.org/officeDocument/2006/relationships/hyperlink" Target="https://www.dissercat.com/content/formirovanie-aktsionernoi-stoimosti-nannesovershennom-rynke-kapitala" TargetMode="External"/><Relationship Id="rId18" Type="http://schemas.openxmlformats.org/officeDocument/2006/relationships/hyperlink" Target="http://publication.pravo.gov.ru/" TargetMode="External"/><Relationship Id="rId26" Type="http://schemas.openxmlformats.org/officeDocument/2006/relationships/hyperlink" Target="https://corporatefinanceinstitute.com/resources/valuation/h-model/" TargetMode="External"/><Relationship Id="rId3" Type="http://schemas.openxmlformats.org/officeDocument/2006/relationships/hyperlink" Target="https://sarinform.ru/news/economics/vlozheniya-v-fondy-pryamyh-investitsiy-vyrastut-vdvoe-v-2026-godu" TargetMode="External"/><Relationship Id="rId21" Type="http://schemas.openxmlformats.org/officeDocument/2006/relationships/hyperlink" Target="https://www.forbes.com/sites/ryanmac/2015/11/18/square-prices-ipo-below-range-at-9-a-share-now-valued-at-2-9-billion/" TargetMode="External"/><Relationship Id="rId7" Type="http://schemas.openxmlformats.org/officeDocument/2006/relationships/hyperlink" Target="https://expert.ru/promishlennost/investory-riskov-ne-boyatsya" TargetMode="External"/><Relationship Id="rId12" Type="http://schemas.openxmlformats.org/officeDocument/2006/relationships/hyperlink" Target="https://www.dissercat.com/content/finansovye-i-nefinansovye-determinanty-v-otsenke-stoimosti-biznesa" TargetMode="External"/><Relationship Id="rId17" Type="http://schemas.openxmlformats.org/officeDocument/2006/relationships/hyperlink" Target="https://msfo-practice.ru/348435" TargetMode="External"/><Relationship Id="rId25" Type="http://schemas.openxmlformats.org/officeDocument/2006/relationships/hyperlink" Target="https://egrove.olemiss.edu/aicpa_guides/64/" TargetMode="External"/><Relationship Id="rId33" Type="http://schemas.openxmlformats.org/officeDocument/2006/relationships/hyperlink" Target="https://www.consultant.ru/document/cons_doc_LAW_256545/74a3625a24247d1a44c4063efa404394c3b3fff0/" TargetMode="External"/><Relationship Id="rId2" Type="http://schemas.openxmlformats.org/officeDocument/2006/relationships/hyperlink" Target="https://www.rbc.ru/finances/24/04/2025/680a30069a79477307f5a78b" TargetMode="External"/><Relationship Id="rId16" Type="http://schemas.openxmlformats.org/officeDocument/2006/relationships/hyperlink" Target="https://aswathdamodaran.blogspot.com/2015/04/the-small-cap-premium-fact-fiction-and.html" TargetMode="External"/><Relationship Id="rId20" Type="http://schemas.openxmlformats.org/officeDocument/2006/relationships/hyperlink" Target="https://www.kom-dir.ru/question/120-kak-vybrat-metod-otsenki-biznesa" TargetMode="External"/><Relationship Id="rId29" Type="http://schemas.openxmlformats.org/officeDocument/2006/relationships/hyperlink" Target="https://egrove.olemiss.edu/aicpa_guides/64/" TargetMode="External"/><Relationship Id="rId1" Type="http://schemas.openxmlformats.org/officeDocument/2006/relationships/hyperlink" Target="http://static.government.ru/media/files/ZsnFICpxWknEXeTfQdmcFHNei2FhcR0A.pdf" TargetMode="External"/><Relationship Id="rId6" Type="http://schemas.openxmlformats.org/officeDocument/2006/relationships/hyperlink" Target="https://dsight.ru/venchureu23" TargetMode="External"/><Relationship Id="rId11" Type="http://schemas.openxmlformats.org/officeDocument/2006/relationships/hyperlink" Target="https://www.abebooks.co.uk/Creating-Shareholder-Value-Guide-Managers-Investors/32347196768/bd" TargetMode="External"/><Relationship Id="rId24" Type="http://schemas.openxmlformats.org/officeDocument/2006/relationships/hyperlink" Target="http://www.rvca.ru/rus/resource/library/methodology-of-data-collection-and-analysis-of-the-main-parameters-of-russian-venture-funds/" TargetMode="External"/><Relationship Id="rId32" Type="http://schemas.openxmlformats.org/officeDocument/2006/relationships/hyperlink" Target="https://www.consultant.ru/document/cons_doc_LAW_256545/74a3625a24247d1a44c4063efa404394c3b3fff0/" TargetMode="External"/><Relationship Id="rId5" Type="http://schemas.openxmlformats.org/officeDocument/2006/relationships/hyperlink" Target="https://kontur.ru/press/news/45235-sostoyanie_biznesa_v_rossii" TargetMode="External"/><Relationship Id="rId15" Type="http://schemas.openxmlformats.org/officeDocument/2006/relationships/hyperlink" Target="https://www.moex.com/n71377" TargetMode="External"/><Relationship Id="rId23" Type="http://schemas.openxmlformats.org/officeDocument/2006/relationships/hyperlink" Target="https://nvca.org/2026-nvca-yearbook/" TargetMode="External"/><Relationship Id="rId28" Type="http://schemas.openxmlformats.org/officeDocument/2006/relationships/hyperlink" Target="https://atlas.kpmg.com/de/en/deal-advisory-services/cost-of-capital-and-multiples/country-risk-premium" TargetMode="External"/><Relationship Id="rId10" Type="http://schemas.openxmlformats.org/officeDocument/2006/relationships/hyperlink" Target="https://finansist-kras.ru/news/analitics/rynok-pryamykh-investitsiy-v-rossii-klyuchevye-trendy-i-idei-v-2026-godu/" TargetMode="External"/><Relationship Id="rId19" Type="http://schemas.openxmlformats.org/officeDocument/2006/relationships/hyperlink" Target="https://www.indeks.ru/otvety-na-voprosy/sravnitelnyy-podkhod-pri-otsenke-biznesa.php" TargetMode="External"/><Relationship Id="rId31" Type="http://schemas.openxmlformats.org/officeDocument/2006/relationships/hyperlink" Target="https://www.kroll.com/en/cost-of-capital" TargetMode="External"/><Relationship Id="rId4" Type="http://schemas.openxmlformats.org/officeDocument/2006/relationships/hyperlink" Target="https://vc.ru/marketplace/288663-pochemu-zakrylis-kupivip-i-mamsy-postavshiki-podavali-v-sud-konkurenciya-rosla-a-yandeks-otkazalsya-ot-pokupki-biznesa" TargetMode="External"/><Relationship Id="rId9" Type="http://schemas.openxmlformats.org/officeDocument/2006/relationships/hyperlink" Target="https://b1.ru/analytics/b1-dsight-venture-eurasia-2025-results-review/" TargetMode="External"/><Relationship Id="rId14" Type="http://schemas.openxmlformats.org/officeDocument/2006/relationships/hyperlink" Target="https://www.idealsvdr.com/learnings/ipo-readiness-checklist-wp/" TargetMode="External"/><Relationship Id="rId22" Type="http://schemas.openxmlformats.org/officeDocument/2006/relationships/hyperlink" Target="https://www.zakonrf.info/gk/66.3/" TargetMode="External"/><Relationship Id="rId27" Type="http://schemas.openxmlformats.org/officeDocument/2006/relationships/hyperlink" Target="https://www.efinancialmodels.com/knowledge-base/valuation/terminal-value/estimating-terminal-value-using-the-h-model/" TargetMode="External"/><Relationship Id="rId30" Type="http://schemas.openxmlformats.org/officeDocument/2006/relationships/hyperlink" Target="https://www.consultant.ru/document/cons_doc_LAW_256545/74a3625a24247d1a44c4063efa404394c3b3fff0/" TargetMode="External"/><Relationship Id="rId8" Type="http://schemas.openxmlformats.org/officeDocument/2006/relationships/hyperlink" Target="https://b1.ru/analytics/b1-dsight-venture-eurasia-2025-results-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Yuc7gJf0/0jv8BhBnby7T4/Ow==">CgMxLjAaJQoBMBIgCh4IB0IaCg9UaW1lcyBOZXcgUm9tYW4SB0d1bmdzdWgaJQoBMRIgCh4IB0IaCg9UaW1lcyBOZXcgUm9tYW4SB0d1bmdzdWgaJQoBMhIgCh4IB0IaCg9UaW1lcyBOZXcgUm9tYW4SB0d1bmdzdWgaFAoBMxIPCg0IB0IJEgdHdW5nc3VoGhQKATQSDwoNCAdCCRIHR3VuZ3N1aDgAciExVlgzelA1ZGhHa0szOXZrS2xMQl9HZUx1WWpGNmVST2g=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F91582-C3D8-48CA-B2BC-BCA9D47E4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29333</Words>
  <Characters>167202</Characters>
  <Application>Microsoft Office Word</Application>
  <DocSecurity>0</DocSecurity>
  <Lines>1393</Lines>
  <Paragraphs>392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Арабян Кнарик Карапетовна</dc:creator>
  <cp:lastModifiedBy>Кнарик Арабян</cp:lastModifiedBy>
  <cp:revision>2</cp:revision>
  <dcterms:created xsi:type="dcterms:W3CDTF">2026-10-18T13:42:00Z</dcterms:created>
  <dcterms:modified xsi:type="dcterms:W3CDTF">2026-10-18T13:42:00Z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2026-03-31T00:00:00Z</vt:lpwstr>
  </property>
  <property fmtid="{D5CDD505-2E9C-101B-9397-08002B2CF9AE}" pid="4" name="Creator">
    <vt:lpwstr>Microsoft® Word 2021</vt:lpwstr>
  </property>
  <property fmtid="{D5CDD505-2E9C-101B-9397-08002B2CF9AE}" pid="5" name="LastSaved">
    <vt:lpwstr>2026-06-30T00:00:00Z</vt:lpwstr>
  </property>
  <property fmtid="{D5CDD505-2E9C-101B-9397-08002B2CF9AE}" pid="6" name="Producer">
    <vt:lpwstr>Microsoft® Word 2021</vt:lpwstr>
  </property>
</Properties>
</file>