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Date"/>
      </w:pPr>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5"/>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7"/>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8"/>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Heading1"/>
      </w:pPr>
      <w:bookmarkStart w:id="29" w:name="bibliography"/>
      <w:r>
        <w:t xml:space="preserve">Bibliography</w:t>
      </w:r>
      <w:bookmarkEnd w:id="29"/>
    </w:p>
    <w:bookmarkStart w:id="36" w:name="refs"/>
    <w:bookmarkStart w:id="30" w:name="ref-cartwright_how_1984"/>
    <w:p>
      <w:pPr>
        <w:pStyle w:val="Bibliography"/>
      </w:pPr>
      <w:r>
        <w:t xml:space="preserve">Cartwright, Nancy.</w:t>
      </w:r>
      <w:r>
        <w:t xml:space="preserve"> </w:t>
      </w:r>
      <w:r>
        <w:rPr>
          <w:i/>
        </w:rPr>
        <w:t xml:space="preserve">How the Laws of Physics Lie</w:t>
      </w:r>
      <w:r>
        <w:t xml:space="preserve">. Oxford; New York: Clarendon Press : Oxford University Press, 1984.</w:t>
      </w:r>
    </w:p>
    <w:bookmarkEnd w:id="30"/>
    <w:bookmarkStart w:id="31" w:name="ref-clarke_models_2015"/>
    <w:p>
      <w:pPr>
        <w:pStyle w:val="Bibliography"/>
      </w:pPr>
      <w:r>
        <w:t xml:space="preserve">Clarke, David L.</w:t>
      </w:r>
      <w:r>
        <w:t xml:space="preserve"> </w:t>
      </w:r>
      <w:r>
        <w:rPr>
          <w:i/>
        </w:rPr>
        <w:t xml:space="preserve">Models in Archaeology</w:t>
      </w:r>
      <w:r>
        <w:t xml:space="preserve">. London; New York: Routledge, Taylor &amp; Francis Group, 2015.</w:t>
      </w:r>
      <w:r>
        <w:t xml:space="preserve"> </w:t>
      </w:r>
      <w:hyperlink r:id="rId24">
        <w:r>
          <w:rPr>
            <w:rStyle w:val="Hyperlink"/>
          </w:rPr>
          <w:t xml:space="preserve">http://public.eblib.com/choice/publicfullrecord.aspx?p=1826744</w:t>
        </w:r>
      </w:hyperlink>
      <w:r>
        <w:t xml:space="preserve">.</w:t>
      </w:r>
    </w:p>
    <w:bookmarkEnd w:id="31"/>
    <w:bookmarkStart w:id="32" w:name="ref-franck_explanatory_2011"/>
    <w:p>
      <w:pPr>
        <w:pStyle w:val="Bibliography"/>
      </w:pPr>
      <w:r>
        <w:t xml:space="preserve">Franck, Robert.</w:t>
      </w:r>
      <w:r>
        <w:t xml:space="preserve"> </w:t>
      </w:r>
      <w:r>
        <w:rPr>
          <w:i/>
        </w:rPr>
        <w:t xml:space="preserve">The Explanatory Power of Models : Bridging the Gap Between Empirical and Theoretical Research in the Social Sciences</w:t>
      </w:r>
      <w:r>
        <w:t xml:space="preserve">. Dordrecht; London: Springer, 2011.</w:t>
      </w:r>
    </w:p>
    <w:bookmarkEnd w:id="32"/>
    <w:bookmarkStart w:id="33" w:name="ref-geertz_interpretation_2017"/>
    <w:p>
      <w:pPr>
        <w:pStyle w:val="Bibliography"/>
      </w:pPr>
      <w:r>
        <w:t xml:space="preserve">Geertz, Clifford.</w:t>
      </w:r>
      <w:r>
        <w:t xml:space="preserve"> </w:t>
      </w:r>
      <w:r>
        <w:rPr>
          <w:i/>
        </w:rPr>
        <w:t xml:space="preserve">The Interpretation of Cultures</w:t>
      </w:r>
      <w:r>
        <w:t xml:space="preserve">, 2017.</w:t>
      </w:r>
    </w:p>
    <w:bookmarkEnd w:id="33"/>
    <w:bookmarkStart w:id="34" w:name="ref-hacking_stability_1988"/>
    <w:p>
      <w:pPr>
        <w:pStyle w:val="Bibliography"/>
      </w:pPr>
      <w:r>
        <w:t xml:space="preserve">Hacking, Ian.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w:t>
      </w:r>
    </w:p>
    <w:bookmarkEnd w:id="34"/>
    <w:bookmarkStart w:id="35" w:name="ref-morgan_models_1999"/>
    <w:p>
      <w:pPr>
        <w:pStyle w:val="Bibliography"/>
      </w:pPr>
      <w:r>
        <w:t xml:space="preserve">Morgan, Mary S., and Margaret Morrison.</w:t>
      </w:r>
      <w:r>
        <w:t xml:space="preserve"> </w:t>
      </w:r>
      <w:r>
        <w:rPr>
          <w:i/>
        </w:rPr>
        <w:t xml:space="preserve">Models as Mediators</w:t>
      </w:r>
      <w:r>
        <w:t xml:space="preserve">. New York: Cambridge University Press, 1999.</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Ian Hacking,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 Quite helpful in rethinking the basic issues for the humanities are the writings from the disciplines other than physics, e.g.,</w:t>
      </w:r>
      <w:r>
        <w:t xml:space="preserve"> </w:t>
      </w:r>
      <w:r>
        <w:t xml:space="preserve">David L Clarke,</w:t>
      </w:r>
      <w:r>
        <w:t xml:space="preserve"> </w:t>
      </w:r>
      <w:r>
        <w:rPr>
          <w:i/>
        </w:rPr>
        <w:t xml:space="preserve">Models in Archaeology</w:t>
      </w:r>
      <w:r>
        <w:t xml:space="preserve"> </w:t>
      </w:r>
      <w:r>
        <w:t xml:space="preserve">(London; New York: Routledge, Taylor &amp; Francis Group, 2015),</w:t>
      </w:r>
      <w:r>
        <w:t xml:space="preserve"> </w:t>
      </w:r>
      <w:hyperlink r:id="rId24">
        <w:r>
          <w:rPr>
            <w:rStyle w:val="Hyperlink"/>
          </w:rPr>
          <w:t xml:space="preserve">http://public.eblib.com/choice/publicfullrecord.aspx?p=1826744</w:t>
        </w:r>
      </w:hyperlink>
      <w:r>
        <w:t xml:space="preserve">.</w:t>
      </w:r>
      <w:r>
        <w:t xml:space="preserve"> </w:t>
      </w:r>
      <w:r>
        <w:t xml:space="preserve">on archaeology; on the social sciences, the essays by de Callatay, Mironesco, Burch, and Gardin in</w:t>
      </w:r>
      <w:r>
        <w:t xml:space="preserve"> </w:t>
      </w:r>
      <w:r>
        <w:t xml:space="preserve">Robert. Franck,</w:t>
      </w:r>
      <w:r>
        <w:t xml:space="preserve"> </w:t>
      </w:r>
      <w:r>
        <w:rPr>
          <w:i/>
        </w:rPr>
        <w:t xml:space="preserve">The Explanatory Power of Models : Bridging the Gap Between Empirical and Theoretical Research in the Social Sciences</w:t>
      </w:r>
      <w:r>
        <w:t xml:space="preserve"> </w:t>
      </w:r>
      <w:r>
        <w:t xml:space="preserve">(Dordrecht; London: Springer, 2011)</w:t>
      </w:r>
      <w:r>
        <w:t xml:space="preserve">. For interdisciplinary studies see Shanin (1972) and</w:t>
      </w:r>
      <w:r>
        <w:t xml:space="preserve"> </w:t>
      </w:r>
      <w:r>
        <w:t xml:space="preserve">Mary S. Morgan and Margaret Morrison,</w:t>
      </w:r>
      <w:r>
        <w:t xml:space="preserve"> </w:t>
      </w:r>
      <w:r>
        <w:rPr>
          <w:i/>
        </w:rPr>
        <w:t xml:space="preserve">Models as Mediators</w:t>
      </w:r>
      <w:r>
        <w:t xml:space="preserve"> </w:t>
      </w:r>
      <w:r>
        <w:t xml:space="preserve">(New York: Cambridge University Press, 1999)</w:t>
      </w:r>
      <w:r>
        <w:t xml:space="preserve">, esp. </w:t>
      </w:r>
      <w:r>
        <w:t xml:space="preserve">“</w:t>
      </w:r>
      <w:r>
        <w:t xml:space="preserve">Models as Mediating Instruments</w:t>
      </w:r>
      <w:r>
        <w:t xml:space="preserve">”</w:t>
      </w:r>
      <w:r>
        <w:t xml:space="preserve"> </w:t>
      </w:r>
      <w:r>
        <w:t xml:space="preserve">(pp. 10–37).</w:t>
      </w:r>
    </w:p>
  </w:footnote>
  <w:footnote w:id="25">
    <w:p>
      <w:pPr>
        <w:pStyle w:val="FootnoteText"/>
      </w:pPr>
      <w:r>
        <w:rPr>
          <w:rStyle w:val="FootnoteReference"/>
        </w:rPr>
        <w:footnoteRef/>
      </w:r>
      <w:r>
        <w:t xml:space="preserve"> </w:t>
      </w:r>
      <w:r>
        <w:t xml:space="preserve">Clifford Geertz,</w:t>
      </w:r>
      <w:r>
        <w:t xml:space="preserve"> </w:t>
      </w:r>
      <w:r>
        <w:rPr>
          <w:i/>
        </w:rPr>
        <w:t xml:space="preserve">The Interpretation of Cultures</w:t>
      </w:r>
      <w:r>
        <w:t xml:space="preserve">, 2017, 93.</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7">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New York: Clarendon Press : Oxford University Press, 1984), 158.</w:t>
      </w:r>
    </w:p>
  </w:footnote>
  <w:footnote w:id="28">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_rels/footnotes.xml.rels><?xml version="1.0" encoding="UTF-8"?>
<Relationships xmlns="http://schemas.openxmlformats.org/package/2006/relationships"><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
  <cp:keywords/>
  <dcterms:created xsi:type="dcterms:W3CDTF">2020-10-27T08:55:37Z</dcterms:created>
  <dcterms:modified xsi:type="dcterms:W3CDTF">2020-10-27T08:55:37Z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