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MATRICE DES CORRECTIONS ET AMÉLIORATIONS</w:t>
      </w:r>
    </w:p>
    <w:p>
      <w:pPr>
        <w:spacing w:after="40"/>
      </w:pPr>
      <w:r>
        <w:rPr>
          <w:rFonts w:ascii="Arial" w:cs="Arial" w:eastAsia="Arial" w:hAnsi="Arial"/>
          <w:sz w:val="19"/>
          <w:szCs w:val="19"/>
        </w:rPr>
        <w:t xml:space="preserve">Plan de Gestion du Patrimoine Culturel (PGPC) — Projet de raffinerie d'alumine WCAG, Kanfarandé / Dobali, Préfecture de Boké (République de Guinée)</w:t>
      </w:r>
    </w:p>
    <w:p>
      <w:pPr>
        <w:spacing w:after="40"/>
      </w:pPr>
      <w:r>
        <w:rPr>
          <w:rFonts w:ascii="Arial" w:cs="Arial" w:eastAsia="Arial" w:hAnsi="Arial"/>
          <w:b/>
          <w:bCs/>
          <w:sz w:val="18"/>
          <w:szCs w:val="18"/>
        </w:rPr>
        <w:t xml:space="preserve">Revue par : </w:t>
      </w:r>
      <w:r>
        <w:rPr>
          <w:rFonts w:ascii="Arial" w:cs="Arial" w:eastAsia="Arial" w:hAnsi="Arial"/>
          <w:b/>
          <w:bCs/>
          <w:color w:val="1F3864"/>
          <w:sz w:val="18"/>
          <w:szCs w:val="18"/>
        </w:rPr>
        <w:t xml:space="preserve">Dr IBRAHIMA DIALLO</w:t>
      </w:r>
      <w:r>
        <w:rPr>
          <w:rFonts w:ascii="Arial" w:cs="Arial" w:eastAsia="Arial" w:hAnsi="Arial"/>
          <w:sz w:val="18"/>
          <w:szCs w:val="18"/>
        </w:rPr>
        <w:t xml:space="preserve">    ·    Référentiel : normes chinoises (China Exim Bank, MOFCOM/MEE, GB/HJ) et bonnes pratiques internationales    ·    Date : 17/08/2026</w:t>
      </w:r>
    </w:p>
    <w:p>
      <w:pPr>
        <w:spacing w:after="160"/>
      </w:pPr>
      <w:r>
        <w:rPr>
          <w:rFonts w:ascii="Arial" w:cs="Arial" w:eastAsia="Arial" w:hAnsi="Arial"/>
          <w:i/>
          <w:iCs/>
          <w:color w:val="7F7F7F"/>
          <w:sz w:val="17"/>
          <w:szCs w:val="17"/>
        </w:rPr>
        <w:t xml:space="preserve">La présente matrice recense et justifie les 30 rajouts et améliorations proposés par le Dr IBRAHIMA DIALLO, intégrés au document sous forme de commentaires (version commentée) et, pour les principaux, appliqués dans la version propre. Chaque proposition est rattachée au référentiel pertinent (bailleur chinois, normes GB, conventions UNESCO, SFI NP).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500"/>
        <w:gridCol w:w="4200"/>
        <w:gridCol w:w="2650"/>
        <w:gridCol w:w="3778"/>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Section / Emplacement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Élément concerné / Constat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Correction / amélioration proposée (rajout)</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Norme(s) / référentiel de référence</w:t>
            </w:r>
          </w:p>
        </w:tc>
        <w:tc>
          <w:tcPr>
            <w:tcW w:type="dxa" w:w="37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Justification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Introduction — cadre juridique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Cadre limité au droit guinéen et à la SFI PS8.</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 référentiel du bailleur chinois (ressources culturelles physiques).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Financement China Exim Bank : conformité exigée au référentiel du bailleur, absent du chapitre.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Introduction — Constitution 2025</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Référence constitutionnelle imprécise (liberté de culte).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Citer l'article exact et confirmer l'entrée en vigueur.</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Constitution guinéenne (art. à préciser).</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Une citation précise renforce la valeur juridique du Plan.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Introduction — Arrêté MEDD</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Arrêté rattaché au MEDD alors que l'autorité patrimoniale relève de la Culture.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Clarifier l'articulation MEDD / autorité du patrimoine et l'objet de l'arrêté.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L/2016/036 ; arrêté A/2023/1595/MEDD.</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institutionnelle nécessaire à la validité des procédures.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1 — intitulé/cohérence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Titre fautif ; doublons et divergences Tab.1/Tab.2 ; orthographes variables.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le titre, aligner Tab.1 et Tab.2, homogénéiser villages et importances.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 / cohérence documentaire.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les divergences de données sur les sites et coordonnées.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Baseline — buffer Dawakaré</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Buffer de 200 m calqué sur la distance à la centrale, non justifié.</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Justifier techniquement la zone tampon et acter le statut « zone d'exclusion ».</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8 (patrimoine critique).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Un site non reproductible exige l'absence d'impact significatif, démontré par l'étude d'impact.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Baseline — Dawakaré critique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Site non reproductible non rattaché à une catégorie normative.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Classer explicitement en « patrimoine critique » + analyse d'alternatives.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8 (patrimoine critique).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Déclenche les exigences renforcées d'évitement, non-atteinte et consentement.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Critères — référentiel international</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Recours à la PS8 alors que le Projet n'est pas financé par la SFI.</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Désigner le bailleur chinois comme référentiel principal, PS8/ESS8 en complément.</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 ; SFI NP8 ; BM ESS8.</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Ancre la méthode dans le cadre contractuel réel du Projet.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référence légale erronée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Loi de 1991 sur les monuments et reliques » (non guinéenne).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Remplacer par la Loi L/2016/036/A du 09/11/2016.</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L/2016/036/A (Guinée).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 une erreur de droit susceptible d'invalider la grille de classement.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catégories PS8</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Grille sans la catégorie « patrimoine critique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la catégorie critique et ses exigences renforcées.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8.</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Complète la typologie applicable à Dawakaré.</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Régulateur — autorité compétente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Dénomination et compétences de l'autorité patrimoniale imprécises.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Préciser l'autorité nationale et son articulation avec la DPTH.</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L/2016/036 ; MOFCOM/MEE (2022).</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Chaîne d'autorité claire exigée pour la traçabilité des autorisations.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Protocoles internationaux</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adaptée » (au lieu d'« adoptée ») ; instruments incomplets.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et ajouter Conventions UNESCO 2003 et 1970 ; Principes ICOMOS-Chine.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UNESCO 1972/2003/1970 ; ICOMOS-Chine.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patrimoine immatériel Baga/Nalou relève de la Convention de 2003.</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Engagement — CLPE/FPIC</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Consentement invoqué sans processus défini.</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Définir le processus CLPE (documentation, désaccords, NP7).</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7 ; bonnes pratiques CLPE.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Preuve documentée du consentement exigée pour les sites critiques.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Découverte fortuite — base légale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Arrêt/sécurisation sans visa légal explicite.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Viser l'article de la Loi L/2016/036 et prévoir un archéologue qualifié.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L/2016/036 ; loi chinoise sur les reliques (modèle).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Fonde juridiquement l'arrêt des travaux et l'évaluation.</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Découverte fortuite — autorité</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Notification DPTH incohérente avec l'autorité nationale citée.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Harmoniser l'autorité à notifier et les délais légaux.</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L/2016/036.</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une notification à une autorité non compétente.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Découverte fortuite — restes humains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Aucun protocole spécifique aux restes humains.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 protocole (autorités, anthropologue, ré-inhumation rituelle).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 droit funéraire/islamique.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Contexte à cimetières dispersés : forte probabilité de sépultures.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Mesures — Fé-ra / PAR</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Condition rituelle non liée au calendrier du PAR.</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Inscrire le transfert du génie comme jalon contraignant du PAR.</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5 (réinstallation).</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Sécurise la séquence « génie avant ménages » exigée par la communauté.</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Suivi — eau mare Dawakaré</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Paramètres sans référentiel ni seuils.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Fixer normes, seuils, état de référence, laboratoire accrédité.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3838-2002 ; GB/T 14848-2017 ; OMS.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Rend le suivi interprétable et déclencheur d'actions correctives.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Suivi — bruit</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Mesures sans valeurs limites.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Fixer des seuils sonores aux limites des buffers.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3096-2008 ; GB 12523-2011.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Protège la sensibilité rituelle des sites.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Suivi — vibrations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Mesures sans seuil protecteur.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Retenir un seuil de vibration et l'arrêt en cas de dépassement.</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6722 (Chine).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Protège un site non reproductible pendant les fondations.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Budget du PGPC</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Aucun budget propre (renvoi au PGES).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Intégrer un budget indicatif dédié par poste.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Exigence d'auditabilité du bailleur.</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Un plan sans ligne budgétaire est difficilement auditable.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Documentation — données GPS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Diffusion de coordonnées précises des sites sacrés.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Classer les données confidentielles ; publier des versions généralisées.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Principe de confidentialité ; bonnes pratiques.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Réduit les risques de pillage et d'intrusion.</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Documentation — immatériel</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Captations sans cadre de consentement/PI.</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Aligner sur la Convention 2003 (consentement, PI, partage des bénéfices).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UNESCO 2003.</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Protège les droits des communautés détentrices.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Baseline — sépultures en concession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Risque élevé de sépultures lors des terrassements.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Recenser/géoréférencer les sépultures ; déclencher le protocole restes humains.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 droit funéraire.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Prévient la profanation involontaire lors du déplacement de 6 villages.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5 — zones tampons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Zones tampons décrites de façon générique.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Préciser dimensions et régime par site ; exclusion opposable pour Dawakaré.</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8 ; plans d'exécution.</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Rend les buffers opérationnels et opposables.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Plaintes — patrimoine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Mécanisme générique renvoyé au chap. 18.</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Canal spécifique, confidentiel, culturellement adapté.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Exigence bailleur (mécanisme de griefs).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Accès effectif des détenteurs coutumiers aux recours.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Gouvernance — RACI</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Rôles/responsabilités non formalisés.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une matrice RACI et un Responsable Patrimoine dédié.</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de gestion.</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Clarifie la redevabilité et les moyens humains.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Mesures — accès communautaire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Accès aux sites préservés non formalisé.</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Formaliser les modalités d'accès malgré les emprises de sécurité.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8 ; bonnes pratiques.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une atteinte indirecte aux pratiques rituelles.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Suivi — formation/indicateurs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Indicateurs sans cibles chiffrées.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Cible 100 % formé avant terrassement ; cibles SMART ; archéologue mobilisable.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de suivi.</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Rend le dispositif mesurable et vérifiable.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Protocoles — instruments régionaux</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Instruments régionaux incomplets/à vérifier.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la Charte de la renaissance culturelle africaine (2006) ; vérifier intitulés.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UA — Charte 2006 ; UNESCO.</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Complète le cadre international applicable en Guinée.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Engagement — divulgation/genre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Prévention des attentes pouvant sous-déclarer des sites.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Divulgation continue + approche sensible au genre + traçabilité.</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d'engagement.</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Améliore l'exhaustivité et l'équité de l'inventaire.</w:t>
            </w:r>
          </w:p>
        </w:tc>
      </w:tr>
    </w:tbl>
    <w:p>
      <w:pPr>
        <w:spacing w:before="200"/>
      </w:pPr>
      <w:r>
        <w:rPr>
          <w:rFonts w:ascii="Arial" w:cs="Arial" w:eastAsia="Arial" w:hAnsi="Arial"/>
          <w:i/>
          <w:iCs/>
          <w:color w:val="7F7F7F"/>
          <w:sz w:val="15"/>
          <w:szCs w:val="15"/>
        </w:rPr>
        <w:t xml:space="preserve">Référentiels : China Exim Bank (2007) et MOFCOM/MEE (2022) pour le cadre du bailleur ; normes chinoises GB (eau GB 3838-2002, GB/T 14848-2017 ; bruit GB 3096-2008, GB 12523-2011 ; vibrations GB 6722) ; Conventions UNESCO 1972/2003/1970 ; SFI Normes de performance (NP 5, NP 7, NP 8) mobilisées à titre de bonnes pratiques internationales.</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corrections — Plan de gestion du patrimoine culturel (WCAG)</dc:title>
  <dc:creator>Dr IBRAHIMA DIALLO</dc:creator>
  <cp:lastModifiedBy>Un-named</cp:lastModifiedBy>
  <cp:revision>1</cp:revision>
  <dcterms:created xsi:type="dcterms:W3CDTF">2026-08-17T16:42:51.134Z</dcterms:created>
  <dcterms:modified xsi:type="dcterms:W3CDTF">2026-08-17T16:42:51.134Z</dcterms:modified>
</cp:coreProperties>
</file>

<file path=docProps/custom.xml><?xml version="1.0" encoding="utf-8"?>
<Properties xmlns="http://schemas.openxmlformats.org/officeDocument/2006/custom-properties" xmlns:vt="http://schemas.openxmlformats.org/officeDocument/2006/docPropsVTypes"/>
</file>