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MATRICE DES CORRECTIONS ET AMÉLIORATIONS</w:t>
      </w:r>
    </w:p>
    <w:p>
      <w:pPr>
        <w:spacing w:after="40"/>
      </w:pPr>
      <w:r>
        <w:rPr>
          <w:rFonts w:ascii="Arial" w:cs="Arial" w:eastAsia="Arial" w:hAnsi="Arial"/>
          <w:sz w:val="19"/>
          <w:szCs w:val="19"/>
        </w:rPr>
        <w:t xml:space="preserve">EIES Raffinerie WCAG — Ch. 9 (Adaptation et résilience climatique), Ch. 13 (Services écosystémiques), Ch. 18 (Mécanisme de gestion des plaintes) — Dobali, Préfecture de Boké (Guinée)</w:t>
      </w:r>
    </w:p>
    <w:p>
      <w:pPr>
        <w:spacing w:after="40"/>
      </w:pPr>
      <w:r>
        <w:rPr>
          <w:rFonts w:ascii="Arial" w:cs="Arial" w:eastAsia="Arial" w:hAnsi="Arial"/>
          <w:b/>
          <w:bCs/>
          <w:sz w:val="18"/>
          <w:szCs w:val="18"/>
        </w:rPr>
        <w:t xml:space="preserve">Revue par : </w:t>
      </w:r>
      <w:r>
        <w:rPr>
          <w:rFonts w:ascii="Arial" w:cs="Arial" w:eastAsia="Arial" w:hAnsi="Arial"/>
          <w:b/>
          <w:bCs/>
          <w:color w:val="1F3864"/>
          <w:sz w:val="18"/>
          <w:szCs w:val="18"/>
        </w:rPr>
        <w:t xml:space="preserve">Dr IBRAHIMA DIALLO</w:t>
      </w:r>
      <w:r>
        <w:rPr>
          <w:rFonts w:ascii="Arial" w:cs="Arial" w:eastAsia="Arial" w:hAnsi="Arial"/>
          <w:sz w:val="18"/>
          <w:szCs w:val="18"/>
        </w:rPr>
        <w:t xml:space="preserve">    ·    Référentiel : normes chinoises (China Exim Bank, MOFCOM/MEE, GB/HJ) et bonnes pratiques internationales    ·    Date : 17/08/2026</w:t>
      </w:r>
    </w:p>
    <w:p>
      <w:pPr>
        <w:spacing w:after="160"/>
      </w:pPr>
      <w:r>
        <w:rPr>
          <w:rFonts w:ascii="Arial" w:cs="Arial" w:eastAsia="Arial" w:hAnsi="Arial"/>
          <w:i/>
          <w:iCs/>
          <w:color w:val="7F7F7F"/>
          <w:sz w:val="17"/>
          <w:szCs w:val="17"/>
        </w:rPr>
        <w:t xml:space="preserve">La présente matrice recense et justifie les 26 rajouts et améliorations proposés par le Dr IBRAHIMA DIALLO, intégrés au document sous forme de commentaires (version commentée) et, pour les principaux, appliqués dans la version propre. Chaque proposition est rattachée au référentiel pertinent (bailleur chinois, normes GB, SFI/BM, conventions internationales).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500"/>
        <w:gridCol w:w="4200"/>
        <w:gridCol w:w="2650"/>
        <w:gridCol w:w="3778"/>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Section / Emplacement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Élément concerné / Constat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Correction / amélioration proposée (rajout)</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Norme(s) / référentiel de référence</w:t>
            </w:r>
          </w:p>
        </w:tc>
        <w:tc>
          <w:tcPr>
            <w:tcW w:type="dxa" w:w="37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Justification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Cadre climatique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Analyse rattachée au seul GIEC / code guinéen.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 cadre du bailleur et la stratégie d'adaptation chinoise ; annoncer un inventaire GES.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MOFCOM/MEE (2022) ; BRI verte (2021) ; ISO 14090.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Cadre attendu par la China Exim Bank ; le charbon impose un volet atténuation/GES.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Charbon / gazéification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Centrale à charbon + gazéification du charbon.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Justifier au regard de l'engagement chinois (2021) de non-construction de charbon à l'étranger ; analyse d'alternatives ; maximiser le renouvelable.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Engagement Chine (21/09/2021) ; BRI verte.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Point potentiellement bloquant pour un financement chinois — à traiter en amont.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Parc à résidus (méthode amont)</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Rehausses « par la méthode amont » (technique la moins sûre).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Justifier par étude géotechnique/sismique ou privilégier la méthode aval/axiale ; étude de rupture de digue.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La rehausse amont présente un risque élevé de liquéfaction et de rupture.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Crue de projet</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Risque de rupture des digues sans niveau de protection défini.</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Définir la crue de projet (ex. 1:1000) et la revanche, avec majoration climatique.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51018 ; GB 50201 ; GIEC (SSP).</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Sécurise le parc à résidus face aux pluies extrêmes croissantes.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Bases de dimensionnement</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Dimensionnement fondé sur les seules valeurs historiques.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les référentiels parasismiques et des hypothèses climatiques projetées.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18306 ; GB 50011 ; GIEC (SSP).</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Les ouvrages critiques doivent tenir compte des horizons climatiques longs.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Base de la résilience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Résilience définie par le seul code guinéen.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Compléter par les référentiels bailleur/international.</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MOFCOM/MEE (2022) ; TCFD ; ISO 14090.</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Structure l'analyse des risques climatiques au-delà d'une définition.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Énergie renouvelable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Photovoltaïque présenté comme simple « complément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Quantifier la part renouvelable et la trajectoire de décarbonation.</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BRI verte ; politique chinoise de sortie du charbon.</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Démontre l'alignement énergétique avec les attentes du bailleur.</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Résidus phase I</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Volumes cités sans capacité totale ni classification.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Indiquer capacité totale, classe de l'ouvrage et caractérisation des boues rouges.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5085.1/5085.3 ; GB 18599-2020.</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Détermine les exigences d'étanchéité et de sécurité.</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Ch.9 — Évaluation climatique différée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Prise en compte « progressive dans les phases ultérieures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Engager dès à présent l'évaluation des risques climatiques (structure TCFD/GIEC), chiffrée.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TCFD ; GIEC.</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report en aval n'est pas conforme aux attentes du bailleur.</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Cadre méthodologique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Analyse fondée sur EEM/SCEE-CE uniquement.</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Rattacher à la NP 6 SFI / ESS6 BM (habitats, services prioritaires).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6 ; BM ESS6 ; MOFCOM/MEE (2022).</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Ancre l'évaluation dans les référentiels du bailleur.</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Mangroves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Fonctions citées sans statut d'habitat ni exigence.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Traiter les mangroves comme habitat naturel/critique + carbone bleu ; perte nette nulle + BAP.</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6 ; Convention de Ramsar.</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Protège un habitat prioritaire et le carbone bleu.</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Contamination de l'eau</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Risque de contamination signalé sans référentiels de maîtrise.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étanchéité, surveillance des eaux souterraines et normes d'eau potable.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18599-2020 ; GB/T 14848-2017 ; GB 5749.</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Rend la maîtrise du risque vérifiable.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Cotation eau (incohérence)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majeure pendant la phase de construction » répété deux fois.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la phase visée (exploitation).</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 cohérence.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Erreur de phase faussant la conclusion d'impact.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Méthode de cotation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Niveaux d'impact sans matrice ni seuils.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Présenter la matrice de significativité et quantifier les services (SCEE-CE).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EEM ; SCEE-CE (2021).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Cotation reproductible et traçable exigée.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Impacts cumulatifs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Données AMCP utilisées « à titre complémentaire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Formaliser une Évaluation des Impacts Cumulatifs avec les projets AMCP.</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Note d'orientation SFI (impacts cumulatifs).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Les pressions sur pêche/mangroves/eau sont cumulatives.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Artefacts de forme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Top of Form / Bottom of Form » (copier-coller).</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Supprimer les artefacts et vérifier le document.</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Nettoyage nécessaire d'artefacts de formulaire web.</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Eau potable / WASH</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Absence de forages et de puits améliorés.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Garantir un approvisionnement conforme sur les sites de réinstallation.</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5749 / OMS ; SFI NP 4 ; PAR/PRMS.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Santé et sécurité communautaires ; obligation de réinstallation.</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Ch.13 — Réinstallation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Orthographe « Katchfn » ; lien PAR à préciser.</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et rattacher explicitement à la NP 5 / PAR-PRMS ; cohérence inter-chapitres.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5 ; PAR/PRMS.</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Assure la cohérence et la conformité de la réinstallation.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Base du MGP</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MGP fondé sur la seule réglementation guinéenne.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les exigences du bailleur et internationales.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 ; SFI NP 1 ; BM ESS10.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Définit les caractéristiques d'un MGP efficace.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Accès au MGP</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Texte incomplet ; point de dépôt unique au siège.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Compléter la localisation ; multiplier les points de proximité accessibles.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1 ; bonnes pratiques.</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Accès effectif des communautés éloignées et non alphabétisées.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VBG/EAS-HS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Confidentialité générale sans dispositif VBG.</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 canal anonyme et une filière VBG/EAS-HS centrée sur les victimes.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2/NP 4 ; bonnes pratiques BM (EAS/HS).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L'afflux de main-d'œuvre accroît fortement ce risque.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Gouvernance/langues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Point de contact unique ; langues limitées.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Comité paritaire en genre ; réception dans les langues locales.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 ; SFI NP 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Inclusion et redevabilité du dispositif.</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Accessibilité</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Affichage en anglais/français seulement.</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Baga/Nalou/Soussou et modalités pour non-alphabétisés.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1 ; ESS10.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l'exclusion d'une partie des communautés.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Logigrammes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Renvois « Figure xx » non finalisés.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Insérer les logigrammes des niveaux 1 et 2 ; vérifier les renvois.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Finalisation nécessaire du document.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Recours judiciaire / niveau 2</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Objectif d'éviter la justice sans garanties.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Préciser la non-substitution au recours judiciaire ; délais niveau 2 ; tiers indépendant ; indicateurs.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1 ; ESS10.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Garantit l'équité et la mesurabilité du MGP.</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Ch.18 — Griefs des travailleurs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MGP communautaire uniquement.</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 mécanisme de plainte distinct pour les travailleurs.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2.</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Obligation d'un dispositif de griefs de travail.</w:t>
            </w:r>
          </w:p>
        </w:tc>
      </w:tr>
    </w:tbl>
    <w:p>
      <w:pPr>
        <w:spacing w:before="200"/>
      </w:pPr>
      <w:r>
        <w:rPr>
          <w:rFonts w:ascii="Arial" w:cs="Arial" w:eastAsia="Arial" w:hAnsi="Arial"/>
          <w:i/>
          <w:iCs/>
          <w:color w:val="7F7F7F"/>
          <w:sz w:val="15"/>
          <w:szCs w:val="15"/>
        </w:rPr>
        <w:t xml:space="preserve">Référentiels : China Exim Bank (2007), MOFCOM/MEE (2022), BRI verte (2021), engagement chinois de sortie du charbon à l'étranger (2021) ; normes chinoises GB (parcs à résidus GB 50863-2013, GB 39496-2020 ; crues GB 51018, GB 50201 ; sismique GB 18306, GB 50011 ; déchets GB 18599-2020, GB 5085 ; eau GB/T 14848-2017, GB 5749) ; SFI NP 1/2/4/5/6, BM ESS6/ESS10 ; Convention de Ramsar ; GIEC (scénarios SSP), TCFD, ISO 14090.</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corrections — Chapitres 9, 13 et 18 (EIES Raffinerie WCAG)</dc:title>
  <dc:creator>Dr IBRAHIMA DIALLO</dc:creator>
  <cp:lastModifiedBy>Un-named</cp:lastModifiedBy>
  <cp:revision>1</cp:revision>
  <dcterms:created xsi:type="dcterms:W3CDTF">2026-08-17T16:48:21.494Z</dcterms:created>
  <dcterms:modified xsi:type="dcterms:W3CDTF">2026-08-17T16:48:21.495Z</dcterms:modified>
</cp:coreProperties>
</file>

<file path=docProps/custom.xml><?xml version="1.0" encoding="utf-8"?>
<Properties xmlns="http://schemas.openxmlformats.org/officeDocument/2006/custom-properties" xmlns:vt="http://schemas.openxmlformats.org/officeDocument/2006/docPropsVTypes"/>
</file>