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32568" w14:textId="77777777" w:rsidR="006A74CD" w:rsidRDefault="007561DE">
      <w:pPr>
        <w:keepNext/>
        <w:keepLines/>
        <w:numPr>
          <w:ilvl w:val="0"/>
          <w:numId w:val="2"/>
        </w:numPr>
        <w:spacing w:after="0" w:line="276" w:lineRule="auto"/>
        <w:jc w:val="both"/>
        <w:rPr>
          <w:rFonts w:ascii="Arial" w:eastAsia="Times New Roman" w:hAnsi="Arial" w:cs="Arial"/>
          <w:b/>
          <w:bCs/>
          <w:sz w:val="21"/>
          <w:szCs w:val="21"/>
          <w:lang w:val="fr-FR"/>
        </w:rPr>
      </w:pPr>
      <w:bookmarkStart w:id="0" w:name="_Toc210821867"/>
      <w:bookmarkStart w:id="1" w:name="_Toc210994950"/>
      <w:bookmarkStart w:id="2" w:name="_Toc222731448"/>
      <w:r>
        <w:rPr>
          <w:rFonts w:ascii="Arial" w:eastAsia="Times New Roman" w:hAnsi="Arial" w:cs="Arial"/>
          <w:b/>
          <w:bCs/>
          <w:sz w:val="21"/>
          <w:szCs w:val="21"/>
          <w:lang w:val="fr-FR"/>
        </w:rPr>
        <w:t>DESCRIPTION DES MESURES ET INITIATIVES RELATIVES À L'ADAPTATION ET À LA RÉSILIENCE AU CHANGEMENT CLIMATIQUE</w:t>
      </w:r>
      <w:bookmarkEnd w:id="0"/>
      <w:bookmarkEnd w:id="1"/>
      <w:bookmarkEnd w:id="2"/>
      <w:r>
        <w:rPr>
          <w:rFonts w:ascii="Arial" w:eastAsia="Times New Roman" w:hAnsi="Arial" w:cs="Arial"/>
          <w:b/>
          <w:bCs/>
          <w:sz w:val="21"/>
          <w:szCs w:val="21"/>
          <w:lang w:val="fr-FR"/>
        </w:rPr>
        <w:t xml:space="preserve">  </w:t>
      </w:r>
    </w:p>
    <w:p w14:paraId="553ED767" w14:textId="77777777" w:rsidR="006A74CD" w:rsidRDefault="006A74CD">
      <w:pPr>
        <w:spacing w:after="0" w:line="276" w:lineRule="auto"/>
        <w:jc w:val="both"/>
        <w:rPr>
          <w:rFonts w:ascii="Arial" w:eastAsia="Times New Roman" w:hAnsi="Arial" w:cs="Arial"/>
          <w:kern w:val="0"/>
          <w:sz w:val="21"/>
          <w:szCs w:val="21"/>
        </w:rPr>
      </w:pPr>
    </w:p>
    <w:p w14:paraId="66DA7557"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Face au changement climatique, deux types d’actions sont possibles : l’atténuation et l’adaptation. Le Projet étant financé par la China Exim Bank, l’analyse est rattachée aux « Lignes directrices pour la protection de l’environnement écologique dans les projets d’investissement et de coopération à l’étranger » (MOFCOM/MEE, 2022) et aux orientations chinoises de développement vert. L’atténuation consiste à limiter les causes du réchauffement, en réduisant les émissions de gaz à effet de serre ou en renforçant leur stockage, comme le définit le GIEC (Groupe d’experts intergouvernemental sur l’évolution du climat). L’adaptation, quant à elle, vise à ajuster les sociétés et les infrastructures aux impacts déjà observés ou prévus, afin de réduire les risques liés au climat (Commissariat général du développement durable, 2025).</w:t>
      </w:r>
    </w:p>
    <w:p w14:paraId="65D46C29" w14:textId="77777777" w:rsidR="006A74CD" w:rsidRDefault="006A74CD">
      <w:pPr>
        <w:spacing w:after="0" w:line="276" w:lineRule="auto"/>
        <w:jc w:val="both"/>
        <w:rPr>
          <w:rFonts w:ascii="Arial" w:eastAsia="Times New Roman" w:hAnsi="Arial" w:cs="Arial"/>
          <w:kern w:val="0"/>
          <w:sz w:val="21"/>
          <w:szCs w:val="21"/>
        </w:rPr>
      </w:pPr>
    </w:p>
    <w:p w14:paraId="21464DC4"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Les activités humaines continueront à influencer fortement le climat. Le GIEC a montré que l’ampleur du réchauffement à l’horizon 2100 dépendra directement de nos émissions. La priorité reste donc de les réduire, ce qui constitue la stratégie d’atténuation (ibid).</w:t>
      </w:r>
    </w:p>
    <w:p w14:paraId="21222F1F" w14:textId="77777777" w:rsidR="006A74CD" w:rsidRDefault="006A74CD">
      <w:pPr>
        <w:spacing w:after="0" w:line="276" w:lineRule="auto"/>
        <w:jc w:val="both"/>
        <w:rPr>
          <w:rFonts w:ascii="Arial" w:eastAsia="Times New Roman" w:hAnsi="Arial" w:cs="Arial"/>
          <w:kern w:val="0"/>
          <w:sz w:val="21"/>
          <w:szCs w:val="21"/>
        </w:rPr>
      </w:pPr>
    </w:p>
    <w:p w14:paraId="377686B6"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Cependant, les effets du changement climatique – inondations, sécheresses, canicules, érosion côtière… sont déjà perceptibles. Il est donc essentiel de s’adapter dès maintenant, notamment en planifiant les villes, les infrastructures et les modes de vie pour renforcer la résilience des populations, des infrastructures et des entreprises, c’est-à-dire leur capacité à faire face aux crises et à s’en remettre (Commissariat général du développement durable, 2025).</w:t>
      </w:r>
    </w:p>
    <w:p w14:paraId="591AD4C6" w14:textId="77777777" w:rsidR="006A74CD" w:rsidRDefault="006A74CD">
      <w:pPr>
        <w:spacing w:after="0" w:line="276" w:lineRule="auto"/>
        <w:jc w:val="both"/>
        <w:rPr>
          <w:rFonts w:ascii="Arial" w:eastAsia="Times New Roman" w:hAnsi="Arial" w:cs="Arial"/>
          <w:kern w:val="0"/>
          <w:sz w:val="21"/>
          <w:szCs w:val="21"/>
        </w:rPr>
      </w:pPr>
    </w:p>
    <w:p w14:paraId="756195E7"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Le réchauffement planétaire, qui a déjà atteint environ 1,1 °C par rapport à l’ère préindustrielle, provoque des impacts plus importants et plus rapides sur les systèmes naturels que ce que prévoyaient les analyses antérieures. Dans de nombreuses régions, cela se traduit par une diminution notable des populations animales et végétales, voire par des extinctions d’espèces (Brun et Bostvironnois, 2022).</w:t>
      </w:r>
    </w:p>
    <w:p w14:paraId="3BC0C74A" w14:textId="77777777" w:rsidR="006A74CD" w:rsidRDefault="006A74CD">
      <w:pPr>
        <w:spacing w:after="0" w:line="276" w:lineRule="auto"/>
        <w:jc w:val="both"/>
        <w:rPr>
          <w:rFonts w:ascii="Arial" w:eastAsia="Times New Roman" w:hAnsi="Arial" w:cs="Arial"/>
          <w:kern w:val="0"/>
          <w:sz w:val="21"/>
          <w:szCs w:val="21"/>
        </w:rPr>
      </w:pPr>
    </w:p>
    <w:p w14:paraId="6DAA2BD6"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Ces changements se manifestent concrètement par des mortalités massives d’arbres, la dégradation sévère des récifs coralliens tropicaux, la destruction des forêts sous-marines de laminaires, ainsi que par le déplacement progressif de nombreuses espèces vers les pôles ou vers des altitudes plus élevées pour trouver des conditions de vie plus favorables. L’ensemble de ces phénomènes illustre l’ampleur des perturbations déjà à l’œuvre dans les écosystèmes mondiaux (ibid.).</w:t>
      </w:r>
    </w:p>
    <w:p w14:paraId="3460954C" w14:textId="77777777" w:rsidR="006A74CD" w:rsidRDefault="006A74CD">
      <w:pPr>
        <w:spacing w:after="0" w:line="276" w:lineRule="auto"/>
        <w:jc w:val="both"/>
        <w:rPr>
          <w:rFonts w:ascii="Arial" w:eastAsia="Times New Roman" w:hAnsi="Arial" w:cs="Arial"/>
          <w:kern w:val="0"/>
          <w:sz w:val="21"/>
          <w:szCs w:val="21"/>
        </w:rPr>
      </w:pPr>
    </w:p>
    <w:p w14:paraId="784C5574"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À ces tendances s’ajoutent les événements climatiques extrêmes, qui surviennent brutalement et peuvent pousser les milieux naturels à franchir des seuils critiques, provoquant des mortalités massives et réduisant la résilience des écosystèmes (Brun et Bostvironnois, 2022).</w:t>
      </w:r>
    </w:p>
    <w:p w14:paraId="237742F8" w14:textId="77777777" w:rsidR="006A74CD" w:rsidRDefault="006A74CD">
      <w:pPr>
        <w:spacing w:after="0" w:line="276" w:lineRule="auto"/>
        <w:jc w:val="both"/>
        <w:rPr>
          <w:rFonts w:ascii="Arial" w:eastAsia="Times New Roman" w:hAnsi="Arial" w:cs="Arial"/>
          <w:kern w:val="0"/>
          <w:sz w:val="21"/>
          <w:szCs w:val="21"/>
        </w:rPr>
      </w:pPr>
    </w:p>
    <w:p w14:paraId="3150F970"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Dans ce contexte, la République de Guinée n’échappe pas à ces dynamiques. L’intégration des enjeux climatiques dans les projets miniers et industriels est à la fois une exigence réglementaire et une démarche stratégique pour renforcer la durabilité des investissements. Les événements extrêmes représentent des risques spécifiques pour la sécurité des travailleurs, la stabilité des infrastructures et la préservation des milieux naturels. Une évaluation rigoureuse des risques climatiques, combinée à la mise en œuvre de mesures d’atténuation et d’adaptation, constitue donc un levier essentiel pour sécuriser les opérations et limiter les impacts environnementaux.</w:t>
      </w:r>
    </w:p>
    <w:p w14:paraId="0A7E1342" w14:textId="77777777" w:rsidR="006A74CD" w:rsidRDefault="006A74CD">
      <w:pPr>
        <w:spacing w:after="0" w:line="276" w:lineRule="auto"/>
        <w:jc w:val="both"/>
        <w:rPr>
          <w:rFonts w:ascii="Arial" w:eastAsia="Times New Roman" w:hAnsi="Arial" w:cs="Arial"/>
          <w:kern w:val="0"/>
          <w:sz w:val="21"/>
          <w:szCs w:val="21"/>
        </w:rPr>
      </w:pPr>
    </w:p>
    <w:p w14:paraId="4D3F1D1A" w14:textId="77777777" w:rsidR="006A74CD" w:rsidRDefault="006A74CD">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C’est dans cette logique que s’inscrit le présent chapitre sur les mesures et initiatives d’adaptation pour les grands projets structurants, notamment le projet d’usine d’alumine à Dobali, porté par la Société WCAG dans la sous-préfecture de Kafarandé, préfecture de Boké. Pour un projet de cette envergure, il est crucial d’analyser les risques climatiques liés à ses installations et à sa zone d’implantation, afin d’anticiper les vulnérabilités et de renforcer sa résilience face aux aléas futurs.</w:t>
      </w:r>
    </w:p>
    <w:p w14:paraId="094C4DAF"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Les sections suivantes présentent les principaux risques climatiques identifiés ainsi que les initiatives proposées pour y répondre de manière structurée et proactive.</w:t>
      </w:r>
    </w:p>
    <w:p w14:paraId="4F4CE0E1" w14:textId="77777777" w:rsidR="006A74CD" w:rsidRDefault="006A74CD">
      <w:pPr>
        <w:rPr>
          <w:rFonts w:ascii="Arial" w:eastAsia="Times New Roman" w:hAnsi="Arial" w:cs="Arial"/>
          <w:b/>
          <w:bCs/>
          <w:sz w:val="21"/>
          <w:szCs w:val="21"/>
          <w:lang w:val="fr-FR"/>
        </w:rPr>
      </w:pPr>
    </w:p>
    <w:p w14:paraId="535BFB51" w14:textId="77777777" w:rsidR="006A74CD" w:rsidRDefault="007561DE">
      <w:pPr>
        <w:keepNext/>
        <w:keepLines/>
        <w:numPr>
          <w:ilvl w:val="1"/>
          <w:numId w:val="2"/>
        </w:numPr>
        <w:spacing w:after="0" w:line="276" w:lineRule="auto"/>
        <w:jc w:val="both"/>
        <w:rPr>
          <w:rFonts w:ascii="Arial" w:eastAsia="Times New Roman" w:hAnsi="Arial" w:cs="Arial"/>
          <w:b/>
          <w:bCs/>
          <w:sz w:val="21"/>
          <w:szCs w:val="21"/>
          <w:lang w:val="fr-FR"/>
        </w:rPr>
      </w:pPr>
      <w:bookmarkStart w:id="4" w:name="_Toc210821868"/>
      <w:bookmarkStart w:id="5" w:name="_Toc210994951"/>
      <w:bookmarkStart w:id="6" w:name="_Toc217390058"/>
      <w:bookmarkStart w:id="7" w:name="_Toc222731449"/>
      <w:r>
        <w:rPr>
          <w:rFonts w:ascii="Arial" w:eastAsia="Times New Roman" w:hAnsi="Arial" w:cs="Arial"/>
          <w:b/>
          <w:bCs/>
          <w:sz w:val="21"/>
          <w:szCs w:val="21"/>
          <w:lang w:val="fr-FR"/>
        </w:rPr>
        <w:t>Évaluation des Risques Climatiques</w:t>
      </w:r>
      <w:bookmarkEnd w:id="4"/>
      <w:bookmarkEnd w:id="5"/>
      <w:bookmarkEnd w:id="6"/>
      <w:bookmarkEnd w:id="7"/>
    </w:p>
    <w:p w14:paraId="0AC53BA1" w14:textId="77777777" w:rsidR="006A74CD" w:rsidRDefault="006A74CD">
      <w:pPr>
        <w:spacing w:after="0" w:line="276" w:lineRule="auto"/>
        <w:jc w:val="both"/>
        <w:rPr>
          <w:rFonts w:ascii="Arial" w:eastAsia="Times New Roman" w:hAnsi="Arial" w:cs="Arial"/>
          <w:kern w:val="0"/>
          <w:sz w:val="21"/>
          <w:szCs w:val="21"/>
        </w:rPr>
      </w:pPr>
    </w:p>
    <w:p w14:paraId="4B8D43DD"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Analyse des vulnérabilités : Évaluation des impacts potentiels du changement climatique sur les écosystèmes entourant le Projet, ainsi que sur les espèces et leurs habitats.</w:t>
      </w:r>
    </w:p>
    <w:p w14:paraId="05714DDB" w14:textId="77777777" w:rsidR="006A74CD" w:rsidRDefault="006A74CD">
      <w:pPr>
        <w:spacing w:after="0" w:line="276" w:lineRule="auto"/>
        <w:jc w:val="both"/>
        <w:rPr>
          <w:rFonts w:ascii="Arial" w:eastAsia="Times New Roman" w:hAnsi="Arial" w:cs="Arial"/>
          <w:kern w:val="0"/>
          <w:sz w:val="21"/>
          <w:szCs w:val="21"/>
        </w:rPr>
      </w:pPr>
    </w:p>
    <w:p w14:paraId="66C4727E"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Une politique efficace d’adaptation et de renforcement de la résilience des industriels du projet WCAG repose sur une évaluation des risques liés à la variabilité climatique et aux changements climatiques susceptibles d’affecter les ouvrages, les conditions d’exploitation et les milieux naturels traversés.</w:t>
      </w:r>
    </w:p>
    <w:p w14:paraId="196944DC" w14:textId="77777777" w:rsidR="006A74CD" w:rsidRDefault="006A74CD">
      <w:pPr>
        <w:spacing w:after="0" w:line="276" w:lineRule="auto"/>
        <w:jc w:val="both"/>
        <w:rPr>
          <w:rFonts w:ascii="Arial" w:eastAsia="Times New Roman" w:hAnsi="Arial" w:cs="Arial"/>
          <w:kern w:val="0"/>
          <w:sz w:val="21"/>
          <w:szCs w:val="21"/>
        </w:rPr>
      </w:pPr>
    </w:p>
    <w:p w14:paraId="768373C6"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La présente section donne une vue d’ensemble des principaux effets de l’évolution des facteurs et des risques climatiques sur la raffinerie et ses installations associées d’après les tendances observées et les projections récentes. </w:t>
      </w:r>
    </w:p>
    <w:p w14:paraId="2BFD7A8D" w14:textId="77777777" w:rsidR="006A74CD" w:rsidRDefault="006A74CD">
      <w:pPr>
        <w:spacing w:after="0" w:line="276" w:lineRule="auto"/>
        <w:jc w:val="both"/>
        <w:rPr>
          <w:rFonts w:ascii="Arial" w:eastAsia="Times New Roman" w:hAnsi="Arial" w:cs="Arial"/>
          <w:kern w:val="0"/>
          <w:sz w:val="21"/>
          <w:szCs w:val="21"/>
        </w:rPr>
      </w:pPr>
    </w:p>
    <w:p w14:paraId="3653445F" w14:textId="3907DE45" w:rsidR="006A74CD" w:rsidRDefault="007561DE">
      <w:p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Comprenant principalement la raffinerie d’alumine, au cœur des activités, comprendra également plusieurs installations auxiliaires indispensables au fonctionnement du site, qui comprend :</w:t>
      </w:r>
    </w:p>
    <w:p w14:paraId="3372BF7D" w14:textId="77777777" w:rsidR="006A74CD" w:rsidRDefault="006A74CD">
      <w:pPr>
        <w:spacing w:after="0" w:line="276" w:lineRule="auto"/>
        <w:jc w:val="both"/>
        <w:rPr>
          <w:rFonts w:ascii="Arial" w:eastAsia="Arial" w:hAnsi="Arial" w:cs="Arial"/>
          <w:kern w:val="0"/>
          <w:sz w:val="21"/>
          <w:szCs w:val="21"/>
        </w:rPr>
      </w:pPr>
    </w:p>
    <w:p w14:paraId="5428E31E" w14:textId="77777777" w:rsidR="006A74CD" w:rsidRDefault="007561DE">
      <w:pPr>
        <w:numPr>
          <w:ilvl w:val="0"/>
          <w:numId w:val="3"/>
        </w:numPr>
        <w:spacing w:after="0" w:line="276" w:lineRule="auto"/>
        <w:ind w:left="714" w:hanging="357"/>
        <w:jc w:val="both"/>
        <w:rPr>
          <w:rFonts w:ascii="Arial" w:eastAsia="Arial" w:hAnsi="Arial" w:cs="Arial"/>
          <w:kern w:val="0"/>
          <w:sz w:val="21"/>
          <w:szCs w:val="21"/>
        </w:rPr>
      </w:pPr>
      <w:r>
        <w:rPr>
          <w:rFonts w:ascii="Arial" w:eastAsia="Arial" w:hAnsi="Arial" w:cs="Arial"/>
          <w:kern w:val="0"/>
          <w:sz w:val="21"/>
          <w:szCs w:val="21"/>
        </w:rPr>
        <w:t>la centrale électrique ;</w:t>
      </w:r>
    </w:p>
    <w:p w14:paraId="3F9DE564"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l’installation de stockage des résidus de boue rouge ;</w:t>
      </w:r>
    </w:p>
    <w:p w14:paraId="277611F5"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une station à gaz;</w:t>
      </w:r>
    </w:p>
    <w:p w14:paraId="779BBBAB"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un réservoir d’eau ;</w:t>
      </w:r>
    </w:p>
    <w:p w14:paraId="2C7B7CE4"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des zones résidentielles et d’hébergement ;</w:t>
      </w:r>
    </w:p>
    <w:p w14:paraId="187314B7"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les infrastructures de transport et d’accès, comme les routes internes, les convoyeurs et les pipelines,</w:t>
      </w:r>
    </w:p>
    <w:p w14:paraId="11EE7AD0"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des installations solaires pour produire de l’électricité. </w:t>
      </w:r>
    </w:p>
    <w:p w14:paraId="04EA383C"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Des infrastructures de stockage et de traitement de l’eau, comprenant des réservoirs d’eau, des stations de pompage, des conduites d’eau brute, des stations de traitement de l’eau afin de répondre aux besoins en eau douce du Projet et d’assurer un approvisionnement continu en eau de procédé et en eau potable. </w:t>
      </w:r>
    </w:p>
    <w:p w14:paraId="287C11E4" w14:textId="77777777" w:rsidR="006A74CD" w:rsidRDefault="006A74CD">
      <w:pPr>
        <w:spacing w:after="0" w:line="276" w:lineRule="auto"/>
        <w:jc w:val="both"/>
        <w:rPr>
          <w:rFonts w:ascii="Arial" w:eastAsia="Times New Roman" w:hAnsi="Arial" w:cs="Arial"/>
          <w:kern w:val="0"/>
          <w:sz w:val="21"/>
          <w:szCs w:val="21"/>
        </w:rPr>
      </w:pPr>
    </w:p>
    <w:p w14:paraId="3AC7253B" w14:textId="77777777" w:rsidR="006A74CD" w:rsidRDefault="007561DE">
      <w:p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La raffinerie et ses infrastructures associées forment un ensemble intégré, organisé pour assurer le traitement de la bauxite en alumine. Ces infrastructures sont disséminés sur un large territoire constitué à la fois des milieux naturels et anthropisés.</w:t>
      </w:r>
    </w:p>
    <w:p w14:paraId="04EC1444" w14:textId="77777777" w:rsidR="006A74CD" w:rsidRDefault="006A74CD">
      <w:pPr>
        <w:spacing w:after="0" w:line="276" w:lineRule="auto"/>
        <w:jc w:val="both"/>
        <w:rPr>
          <w:rFonts w:ascii="Arial" w:eastAsia="Times New Roman" w:hAnsi="Arial" w:cs="Arial"/>
          <w:kern w:val="0"/>
          <w:sz w:val="21"/>
          <w:szCs w:val="21"/>
          <w:shd w:val="clear" w:color="auto" w:fill="FF0000"/>
        </w:rPr>
      </w:pPr>
    </w:p>
    <w:p w14:paraId="6FD22148" w14:textId="77777777" w:rsidR="006A74CD" w:rsidRDefault="007561DE">
      <w:p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À ce titre, elles sont particulièrement exposées aux effets de la variabilité climatique et du changement climatique, notamment : </w:t>
      </w:r>
    </w:p>
    <w:p w14:paraId="6B53CA47" w14:textId="77777777" w:rsidR="006A74CD" w:rsidRDefault="006A74CD">
      <w:pPr>
        <w:spacing w:after="0" w:line="276" w:lineRule="auto"/>
        <w:jc w:val="both"/>
        <w:rPr>
          <w:rFonts w:ascii="Arial" w:eastAsia="Times New Roman" w:hAnsi="Arial" w:cs="Arial"/>
          <w:kern w:val="0"/>
          <w:sz w:val="21"/>
          <w:szCs w:val="21"/>
        </w:rPr>
      </w:pPr>
    </w:p>
    <w:p w14:paraId="08840134" w14:textId="01C0040F" w:rsidR="006A74CD" w:rsidRDefault="007561DE">
      <w:pPr>
        <w:numPr>
          <w:ilvl w:val="0"/>
          <w:numId w:val="4"/>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L’intensification des précipitations entraînant des risques de rupture des digues au niveau du parc à boues rouges, à traiter par la définition d’une crue de projet et d’une revanche (GB 50863-2013, GB 51018, GB 50201) intégrant la majoration climatique des pluies extrêmes; </w:t>
      </w:r>
    </w:p>
    <w:p w14:paraId="4B2EE1A9" w14:textId="77777777" w:rsidR="006A74CD" w:rsidRDefault="007561DE">
      <w:pPr>
        <w:numPr>
          <w:ilvl w:val="0"/>
          <w:numId w:val="4"/>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L’augmentation des températures moyennes susceptible d’affecter les matériaux et les conditions d’exploitation.</w:t>
      </w:r>
    </w:p>
    <w:p w14:paraId="6093EBF5" w14:textId="14F23302" w:rsidR="006A74CD" w:rsidRPr="00AB61A3" w:rsidRDefault="00AB61A3">
      <w:pPr>
        <w:spacing w:after="0" w:line="276" w:lineRule="auto"/>
        <w:ind w:left="720"/>
        <w:jc w:val="both"/>
        <w:rPr>
          <w:rFonts w:ascii="Arial" w:hAnsi="Arial" w:cs="Arial"/>
          <w:kern w:val="0"/>
          <w:sz w:val="21"/>
          <w:szCs w:val="21"/>
          <w:shd w:val="clear" w:color="auto" w:fill="FF0000"/>
          <w:lang w:eastAsia="zh-CN"/>
        </w:rPr>
      </w:pPr>
      <w:r>
        <w:rPr>
          <w:rFonts w:ascii="Arial" w:hAnsi="Arial" w:cs="Arial" w:hint="eastAsia"/>
          <w:kern w:val="0"/>
          <w:sz w:val="21"/>
          <w:szCs w:val="21"/>
          <w:shd w:val="clear" w:color="auto" w:fill="FF0000"/>
          <w:lang w:eastAsia="zh-CN"/>
        </w:rPr>
        <w:t xml:space="preserve"> </w:t>
      </w:r>
    </w:p>
    <w:p w14:paraId="25CFEE7F" w14:textId="77777777" w:rsidR="006A74CD" w:rsidRDefault="007561DE">
      <w:pPr>
        <w:spacing w:after="0" w:line="276" w:lineRule="auto"/>
        <w:jc w:val="both"/>
        <w:rPr>
          <w:rFonts w:ascii="Arial" w:eastAsia="Arial" w:hAnsi="Arial" w:cs="Arial"/>
          <w:kern w:val="0"/>
          <w:sz w:val="21"/>
          <w:szCs w:val="21"/>
        </w:rPr>
      </w:pPr>
      <w:r>
        <w:rPr>
          <w:rFonts w:ascii="Arial" w:eastAsia="Arial" w:hAnsi="Arial" w:cs="Arial"/>
          <w:kern w:val="0"/>
          <w:sz w:val="21"/>
          <w:szCs w:val="21"/>
        </w:rPr>
        <w:lastRenderedPageBreak/>
        <w:t>Dans le cas du projet de WCAG, les impacts potentiels du changement climatique peuvent se traduire par des contraintes sur la durabilité des infrastructures, des perturbations temporaires des activités et des effets indirects sur les milieux naturels.</w:t>
      </w:r>
    </w:p>
    <w:p w14:paraId="34FD4578" w14:textId="77777777" w:rsidR="006A74CD" w:rsidRDefault="006A74CD">
      <w:pPr>
        <w:spacing w:after="0" w:line="276" w:lineRule="auto"/>
        <w:jc w:val="both"/>
        <w:rPr>
          <w:rFonts w:ascii="Arial" w:eastAsia="Times New Roman" w:hAnsi="Arial" w:cs="Arial"/>
          <w:kern w:val="0"/>
          <w:sz w:val="21"/>
          <w:szCs w:val="21"/>
          <w:shd w:val="clear" w:color="auto" w:fill="FF0000"/>
        </w:rPr>
      </w:pPr>
    </w:p>
    <w:p w14:paraId="735EE36F"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Les effets indirects du changement climatique sur le projet peuvent également résulter de modifications progressives des conditions environnementales locales, susceptibles d’influencer l’occupation des sols, les usages du territoire et, de manière plus générale, le contexte socioéconomique régional. Ces facteurs peuvent générer des risques et des vulnérabilités supplémentaires, en particulier dans un contexte de capacités d’adaptation limitée. </w:t>
      </w:r>
    </w:p>
    <w:p w14:paraId="1A48072C" w14:textId="77777777" w:rsidR="006A74CD" w:rsidRDefault="006A74CD">
      <w:pPr>
        <w:spacing w:after="0" w:line="276" w:lineRule="auto"/>
        <w:jc w:val="both"/>
        <w:rPr>
          <w:rFonts w:ascii="Arial" w:eastAsia="Times New Roman" w:hAnsi="Arial" w:cs="Arial"/>
          <w:color w:val="EE0000"/>
          <w:kern w:val="0"/>
          <w:sz w:val="21"/>
          <w:szCs w:val="21"/>
        </w:rPr>
      </w:pPr>
    </w:p>
    <w:p w14:paraId="5847E18C" w14:textId="77777777" w:rsidR="006A74CD" w:rsidRDefault="007561DE">
      <w:pPr>
        <w:spacing w:after="0" w:line="276" w:lineRule="auto"/>
        <w:jc w:val="both"/>
      </w:pPr>
      <w:r>
        <w:rPr>
          <w:rFonts w:ascii="Arial" w:eastAsia="Times New Roman" w:hAnsi="Arial" w:cs="Arial"/>
          <w:kern w:val="0"/>
          <w:sz w:val="21"/>
          <w:szCs w:val="21"/>
          <w:u w:val="single"/>
        </w:rPr>
        <w:t>Cartographie des zones à risque</w:t>
      </w:r>
      <w:r>
        <w:rPr>
          <w:rFonts w:ascii="Arial" w:eastAsia="Times New Roman" w:hAnsi="Arial" w:cs="Arial"/>
          <w:kern w:val="0"/>
          <w:sz w:val="21"/>
          <w:szCs w:val="21"/>
        </w:rPr>
        <w:t> : Identification des zones sensibles et des habitats critiques pour les espèces en déclin.</w:t>
      </w:r>
    </w:p>
    <w:p w14:paraId="58A4AB66" w14:textId="77777777" w:rsidR="006A74CD" w:rsidRDefault="006A74CD">
      <w:pPr>
        <w:spacing w:after="0" w:line="276" w:lineRule="auto"/>
        <w:jc w:val="both"/>
        <w:rPr>
          <w:rFonts w:ascii="Arial" w:eastAsia="Times New Roman" w:hAnsi="Arial" w:cs="Arial"/>
          <w:kern w:val="0"/>
          <w:sz w:val="21"/>
          <w:szCs w:val="21"/>
        </w:rPr>
      </w:pPr>
    </w:p>
    <w:p w14:paraId="40504557" w14:textId="4BE71342" w:rsidR="006A74CD" w:rsidRPr="0083416D" w:rsidRDefault="007561DE">
      <w:pPr>
        <w:spacing w:after="0" w:line="276" w:lineRule="auto"/>
        <w:jc w:val="both"/>
        <w:rPr>
          <w:rFonts w:ascii="Arial" w:eastAsia="Times New Roman" w:hAnsi="Arial" w:cs="Arial"/>
          <w:i/>
          <w:iCs/>
          <w:kern w:val="0"/>
          <w:sz w:val="21"/>
          <w:szCs w:val="21"/>
          <w:rPrChange w:id="17" w:author="Ismael SAMBY" w:date="2026-07-17T15:10:00Z">
            <w:rPr>
              <w:rFonts w:ascii="Arial" w:eastAsia="Times New Roman" w:hAnsi="Arial" w:cs="Arial"/>
              <w:kern w:val="0"/>
              <w:sz w:val="21"/>
              <w:szCs w:val="21"/>
            </w:rPr>
          </w:rPrChange>
        </w:rPr>
      </w:pPr>
      <w:r>
        <w:rPr>
          <w:rFonts w:ascii="Arial" w:eastAsia="Times New Roman" w:hAnsi="Arial" w:cs="Arial"/>
          <w:kern w:val="0"/>
          <w:sz w:val="21"/>
          <w:szCs w:val="21"/>
        </w:rPr>
        <w:t xml:space="preserve">La présente étude d’impact a permis de mettre en évidence la diversité des habitats naturels présents – forêts, zones humides, savanes, mangroves – ainsi que d’élaborer une cartographie détaillée des zones sensibles et à haute valeur écologique (</w:t>
      </w:r>
      <w:r>
        <w:rPr>
          <w:rFonts w:ascii="Arial" w:eastAsia="Times New Roman" w:hAnsi="Arial" w:cs="Arial"/>
          <w:i/>
          <w:iCs/>
          <w:kern w:val="0"/>
          <w:sz w:val="21"/>
          <w:szCs w:val="21"/>
          <w:rPrChange w:id="30" w:author="Ismael SAMBY" w:date="2026-07-17T15:10:00Z">
            <w:rPr>
              <w:rFonts w:ascii="Arial" w:eastAsia="Times New Roman" w:hAnsi="Arial" w:cs="Arial"/>
              <w:kern w:val="0"/>
              <w:sz w:val="21"/>
              <w:szCs w:val="21"/>
            </w:rPr>
          </w:rPrChange>
        </w:rPr>
        <w:t>voir la section 8.</w:t>
      </w:r>
      <w:r>
        <w:rPr>
          <w:rFonts w:ascii="Arial" w:eastAsia="Times New Roman" w:hAnsi="Arial" w:cs="Arial"/>
          <w:i/>
          <w:iCs/>
          <w:kern w:val="0"/>
          <w:sz w:val="21"/>
          <w:szCs w:val="21"/>
          <w:rPrChange w:id="32" w:author="Ismael SAMBY" w:date="2026-07-17T15:10:00Z">
            <w:rPr>
              <w:rFonts w:ascii="Arial" w:eastAsia="Times New Roman" w:hAnsi="Arial" w:cs="Arial"/>
              <w:kern w:val="0"/>
              <w:sz w:val="21"/>
              <w:szCs w:val="21"/>
            </w:rPr>
          </w:rPrChange>
        </w:rPr>
        <w:t>3 carte d’occupation des sol</w:t>
      </w:r>
      <w:r>
        <w:rPr>
          <w:rFonts w:ascii="Arial" w:eastAsia="Times New Roman" w:hAnsi="Arial" w:cs="Arial"/>
          <w:i/>
          <w:iCs/>
          <w:kern w:val="0"/>
          <w:sz w:val="21"/>
          <w:szCs w:val="21"/>
        </w:rPr>
        <w:t>)</w:t>
      </w:r>
      <w:r>
        <w:rPr>
          <w:rFonts w:ascii="Arial" w:eastAsia="Times New Roman" w:hAnsi="Arial" w:cs="Arial"/>
          <w:i/>
          <w:iCs/>
          <w:kern w:val="0"/>
          <w:sz w:val="21"/>
          <w:szCs w:val="21"/>
          <w:rPrChange w:id="33" w:author="Ismael SAMBY" w:date="2026-07-17T15:10:00Z">
            <w:rPr>
              <w:rFonts w:ascii="Arial" w:eastAsia="Times New Roman" w:hAnsi="Arial" w:cs="Arial"/>
              <w:kern w:val="0"/>
              <w:sz w:val="21"/>
              <w:szCs w:val="21"/>
            </w:rPr>
          </w:rPrChange>
        </w:rPr>
        <w:t>.</w:t>
      </w:r>
    </w:p>
    <w:p w14:paraId="6280F9EA" w14:textId="77777777" w:rsidR="006A74CD" w:rsidRDefault="006A74CD">
      <w:pPr>
        <w:spacing w:after="0" w:line="276" w:lineRule="auto"/>
        <w:jc w:val="both"/>
        <w:rPr>
          <w:rFonts w:ascii="Arial" w:eastAsia="Times New Roman" w:hAnsi="Arial" w:cs="Arial"/>
          <w:kern w:val="0"/>
          <w:sz w:val="21"/>
          <w:szCs w:val="21"/>
        </w:rPr>
      </w:pPr>
    </w:p>
    <w:p w14:paraId="090061A6" w14:textId="77777777" w:rsidR="006A74CD" w:rsidRDefault="006A74CD">
      <w:pPr>
        <w:spacing w:after="0" w:line="276" w:lineRule="auto"/>
        <w:jc w:val="both"/>
        <w:rPr>
          <w:rFonts w:ascii="Arial" w:eastAsia="Times New Roman" w:hAnsi="Arial" w:cs="Arial"/>
          <w:kern w:val="0"/>
          <w:sz w:val="21"/>
          <w:szCs w:val="21"/>
        </w:rPr>
      </w:pPr>
    </w:p>
    <w:p w14:paraId="6EAED666" w14:textId="77777777" w:rsidR="006A74CD" w:rsidRDefault="007561DE">
      <w:pPr>
        <w:keepNext/>
        <w:keepLines/>
        <w:numPr>
          <w:ilvl w:val="1"/>
          <w:numId w:val="2"/>
        </w:numPr>
        <w:spacing w:after="0" w:line="276" w:lineRule="auto"/>
        <w:jc w:val="both"/>
        <w:rPr>
          <w:rFonts w:ascii="Arial" w:eastAsia="Times New Roman" w:hAnsi="Arial" w:cs="Arial"/>
          <w:b/>
          <w:bCs/>
          <w:sz w:val="21"/>
          <w:szCs w:val="21"/>
          <w:lang w:val="fr-FR"/>
        </w:rPr>
      </w:pPr>
      <w:bookmarkStart w:id="35" w:name="_Toc210821869"/>
      <w:bookmarkStart w:id="36" w:name="_Toc210994952"/>
      <w:bookmarkStart w:id="37" w:name="_Toc217390059"/>
      <w:bookmarkStart w:id="38" w:name="_Toc222731450"/>
      <w:r>
        <w:rPr>
          <w:rFonts w:ascii="Arial" w:eastAsia="Times New Roman" w:hAnsi="Arial" w:cs="Arial"/>
          <w:b/>
          <w:bCs/>
          <w:sz w:val="21"/>
          <w:szCs w:val="21"/>
          <w:lang w:val="fr-FR"/>
        </w:rPr>
        <w:t>Pratiques de résiliences face aux risques climatiques</w:t>
      </w:r>
      <w:bookmarkEnd w:id="35"/>
      <w:bookmarkEnd w:id="36"/>
      <w:bookmarkEnd w:id="37"/>
      <w:bookmarkEnd w:id="38"/>
    </w:p>
    <w:p w14:paraId="4463F0A1" w14:textId="77777777" w:rsidR="006A74CD" w:rsidRDefault="006A74CD">
      <w:pPr>
        <w:spacing w:after="0" w:line="276" w:lineRule="auto"/>
        <w:jc w:val="both"/>
        <w:rPr>
          <w:rFonts w:ascii="Arial" w:eastAsia="Times New Roman" w:hAnsi="Arial" w:cs="Arial"/>
          <w:kern w:val="0"/>
          <w:sz w:val="21"/>
          <w:szCs w:val="21"/>
        </w:rPr>
      </w:pPr>
    </w:p>
    <w:p w14:paraId="491327C8" w14:textId="7F58F134"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Le code de l’environnement de 2019 de la Guinée définit la résilience comme : Des mesures nécessaires pour maintenir et rétablir la diversité et la capacité des écosystèmes et des êtres humains à résister aux perturbations et dégradations environnementales et à se reconstituer. </w:t>
      </w:r>
    </w:p>
    <w:p w14:paraId="7EE9EE95" w14:textId="77777777" w:rsidR="006A74CD" w:rsidRDefault="006A74CD">
      <w:pPr>
        <w:spacing w:after="0" w:line="276" w:lineRule="auto"/>
        <w:jc w:val="both"/>
        <w:rPr>
          <w:rFonts w:ascii="Arial" w:eastAsia="Times New Roman" w:hAnsi="Arial" w:cs="Arial"/>
          <w:kern w:val="0"/>
          <w:sz w:val="21"/>
          <w:szCs w:val="21"/>
        </w:rPr>
      </w:pPr>
    </w:p>
    <w:p w14:paraId="6F72BC8B"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Dans le cadre du présent projet de WCAG, toutes les infrastructures feront l’objet de mesures de résilience visant à anticiper et à réduire les impacts des événements climatiques extrêmes tels que les fortes pluies, les vagues de chaleur, les sécheresses prolongées, les vents violents et les inondations. Ces mesures permettront de sécuriser les infrastructures, d’assurer la continuité des opérations, de protéger le personnel et de limiter les impacts sur l’environnement et les communautés locales.</w:t>
      </w:r>
    </w:p>
    <w:p w14:paraId="1FB8086D" w14:textId="77777777" w:rsidR="006A74CD" w:rsidRDefault="006A74CD">
      <w:pPr>
        <w:spacing w:after="0" w:line="276" w:lineRule="auto"/>
        <w:jc w:val="both"/>
        <w:rPr>
          <w:rFonts w:ascii="Arial" w:eastAsia="Times New Roman" w:hAnsi="Arial" w:cs="Arial"/>
          <w:kern w:val="0"/>
          <w:sz w:val="21"/>
          <w:szCs w:val="21"/>
        </w:rPr>
      </w:pPr>
    </w:p>
    <w:p w14:paraId="7227EEAC" w14:textId="77777777" w:rsidR="006A74CD" w:rsidRDefault="007561DE">
      <w:pPr>
        <w:keepNext/>
        <w:keepLines/>
        <w:numPr>
          <w:ilvl w:val="2"/>
          <w:numId w:val="2"/>
        </w:numPr>
        <w:spacing w:after="0" w:line="276" w:lineRule="auto"/>
        <w:jc w:val="both"/>
        <w:rPr>
          <w:rFonts w:ascii="Arial" w:eastAsia="Times New Roman" w:hAnsi="Arial" w:cs="Arial"/>
          <w:b/>
          <w:bCs/>
          <w:sz w:val="21"/>
          <w:szCs w:val="21"/>
          <w:lang w:val="fr-FR"/>
        </w:rPr>
      </w:pPr>
      <w:r>
        <w:rPr>
          <w:rFonts w:ascii="Arial" w:eastAsia="Times New Roman" w:hAnsi="Arial" w:cs="Arial"/>
          <w:b/>
          <w:bCs/>
          <w:sz w:val="21"/>
          <w:szCs w:val="21"/>
          <w:lang w:val="fr-FR"/>
        </w:rPr>
        <w:t>Protection des habitats naturels</w:t>
      </w:r>
    </w:p>
    <w:p w14:paraId="00FC3BB8" w14:textId="77777777" w:rsidR="006A74CD" w:rsidRDefault="006A74CD">
      <w:pPr>
        <w:rPr>
          <w:rFonts w:eastAsia="SimSun"/>
          <w:kern w:val="0"/>
        </w:rPr>
      </w:pPr>
    </w:p>
    <w:p w14:paraId="678B9F70" w14:textId="77777777" w:rsidR="006A74CD" w:rsidRDefault="007561DE">
      <w:pPr>
        <w:spacing w:after="0" w:line="240" w:lineRule="auto"/>
        <w:rPr>
          <w:rFonts w:ascii="Arial" w:eastAsia="Times New Roman" w:hAnsi="Arial" w:cs="Arial"/>
          <w:kern w:val="0"/>
          <w:sz w:val="21"/>
          <w:szCs w:val="21"/>
          <w:u w:val="single"/>
        </w:rPr>
      </w:pPr>
      <w:r>
        <w:rPr>
          <w:rFonts w:ascii="Arial" w:eastAsia="Times New Roman" w:hAnsi="Arial" w:cs="Arial"/>
          <w:kern w:val="0"/>
          <w:sz w:val="21"/>
          <w:szCs w:val="21"/>
          <w:u w:val="single"/>
        </w:rPr>
        <w:t xml:space="preserve">Zones de protection et Restauration écologique des écosystèmes : </w:t>
      </w:r>
    </w:p>
    <w:p w14:paraId="72708239" w14:textId="77777777" w:rsidR="006A74CD" w:rsidRDefault="006A74CD">
      <w:pPr>
        <w:spacing w:after="0" w:line="276" w:lineRule="auto"/>
        <w:jc w:val="both"/>
        <w:rPr>
          <w:rFonts w:eastAsia="SimSun"/>
          <w:kern w:val="0"/>
        </w:rPr>
      </w:pPr>
    </w:p>
    <w:p w14:paraId="6140B7A5" w14:textId="78060D55" w:rsidR="006A74CD" w:rsidRDefault="00A92862">
      <w:pPr>
        <w:numPr>
          <w:ilvl w:val="0"/>
          <w:numId w:val="5"/>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Change w:id="42" w:author="Ismael SAMBY" w:date="2026-07-17T12:48:00Z">
            <w:rPr/>
          </w:rPrChange>
        </w:rPr>
        <w:t xml:space="preserve">Les zones côtières écologiquement sensibles seront identifiées, et des mesures de protection adaptées seront envisagées, en concertation avec les communautés et les autorités compétentes, afin de préserver la biodiversité locale et les habitats essentiels </w:t>
      </w:r>
      <w:r>
        <w:rPr>
          <w:rFonts w:ascii="Arial" w:eastAsia="Times New Roman" w:hAnsi="Arial" w:cs="Arial"/>
          <w:kern w:val="0"/>
          <w:sz w:val="21"/>
          <w:szCs w:val="21"/>
        </w:rPr>
        <w:t>;</w:t>
      </w:r>
    </w:p>
    <w:p w14:paraId="0AD2275C" w14:textId="77777777" w:rsidR="006A74CD" w:rsidRDefault="007561DE">
      <w:pPr>
        <w:numPr>
          <w:ilvl w:val="0"/>
          <w:numId w:val="5"/>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Initiatives de restauration des écosystèmes endommagés, comme les mangroves, pour renforcer leur résilience face aux impacts climatiques. Les mangroves aident à prévenir l’érosion et à bloquer les ondes de tempête lors de conditions météorologiques extrêmes. La protection des mangroves peut agir comme une barrière naturelle contre l'érosion.</w:t>
      </w:r>
    </w:p>
    <w:p w14:paraId="3B3CB5E9" w14:textId="77777777" w:rsidR="006A74CD" w:rsidRDefault="006A74CD">
      <w:pPr>
        <w:spacing w:after="0" w:line="276" w:lineRule="auto"/>
        <w:jc w:val="both"/>
        <w:rPr>
          <w:rFonts w:ascii="Arial" w:eastAsia="Times New Roman" w:hAnsi="Arial" w:cs="Arial"/>
          <w:kern w:val="0"/>
          <w:sz w:val="21"/>
          <w:szCs w:val="21"/>
        </w:rPr>
      </w:pPr>
    </w:p>
    <w:p w14:paraId="231B7C0B" w14:textId="77777777" w:rsidR="006A74CD" w:rsidRDefault="007561DE">
      <w:pPr>
        <w:keepNext/>
        <w:keepLines/>
        <w:numPr>
          <w:ilvl w:val="2"/>
          <w:numId w:val="2"/>
        </w:numPr>
        <w:spacing w:after="0" w:line="276" w:lineRule="auto"/>
        <w:jc w:val="both"/>
        <w:rPr>
          <w:rFonts w:ascii="Arial" w:eastAsia="Times New Roman" w:hAnsi="Arial" w:cs="Arial"/>
          <w:b/>
          <w:bCs/>
          <w:sz w:val="21"/>
          <w:szCs w:val="21"/>
          <w:lang w:val="fr-FR"/>
        </w:rPr>
      </w:pPr>
      <w:r>
        <w:rPr>
          <w:rFonts w:ascii="Arial" w:eastAsia="Times New Roman" w:hAnsi="Arial" w:cs="Arial"/>
          <w:b/>
          <w:bCs/>
          <w:sz w:val="21"/>
          <w:szCs w:val="21"/>
          <w:lang w:val="fr-FR"/>
        </w:rPr>
        <w:lastRenderedPageBreak/>
        <w:t>Adaptation des infrastructures</w:t>
      </w:r>
    </w:p>
    <w:p w14:paraId="70728803" w14:textId="77777777" w:rsidR="006A74CD" w:rsidRDefault="006A74CD">
      <w:pPr>
        <w:spacing w:after="0" w:line="240" w:lineRule="auto"/>
        <w:rPr>
          <w:rFonts w:ascii="Times New Roman" w:eastAsia="Times New Roman" w:hAnsi="Times New Roman"/>
          <w:kern w:val="0"/>
          <w:sz w:val="24"/>
          <w:szCs w:val="24"/>
          <w:lang w:val="fr-FR" w:eastAsia="fr-FR"/>
        </w:rPr>
      </w:pPr>
    </w:p>
    <w:p w14:paraId="50EC5FC8" w14:textId="77777777" w:rsidR="00A92862" w:rsidRDefault="00A92862">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Change w:id="50" w:author="Ismael SAMBY" w:date="2026-07-17T12:49:00Z">
            <w:rPr/>
          </w:rPrChange>
        </w:rPr>
        <w:t>Les infrastructures du Projet seront conçues en intégrant des principes d'adaptation aux changements climatiques, notamment au regard des risques d'inondation, d'élévation du niveau de la mer et d'événements météorologiques extrêmes, sur la base des résultats de l'étude d'évaluation des risques climatiques prévue dans le cadre du Projet.</w:t>
      </w:r>
    </w:p>
    <w:p w14:paraId="3BA43D8D" w14:textId="77777777" w:rsidR="006A74CD" w:rsidRDefault="006A74CD">
      <w:pPr>
        <w:spacing w:after="0" w:line="276" w:lineRule="auto"/>
        <w:jc w:val="both"/>
        <w:rPr>
          <w:rFonts w:ascii="Arial" w:eastAsia="Times New Roman" w:hAnsi="Arial" w:cs="Arial"/>
          <w:kern w:val="0"/>
          <w:sz w:val="21"/>
          <w:szCs w:val="21"/>
        </w:rPr>
      </w:pPr>
    </w:p>
    <w:p w14:paraId="26DA0C63" w14:textId="3286A1C5"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L’adaptation de ces infrastructures doit répondre à des stratégies différentes en fonction du type de risque : risques épisodiques dus à des phénomènes extrêmes ; et risques à évolution lente tels que l’inondation permanente d’installations résultant de l’élévation du niveau de la mer. Ces différents types de risques appellent des interventions différentes et soulèvent des problèmes technologiques différents. Dans le premier cas, il faut des solutions de réduction des risques, notamment des travaux de protection des côtes, tandis que dans le second, il faut une action à long terme consistant à contenir les risques et à renforcer la résilience. Des mesures d’intervention réglementaire efficaces qui intègrent ou adaptent la réglementation et les politiques existantes, doivent donc être prises. Il n’existe cependant pas de solution unique pour planifier l’adaptation au changement climatique, étant donné le caractère divers, complexe et fondamentalement lié au contexte de l’adaptation. Néanmoins, quelques mesures sont proposées pour chaque composante du projet à savoir :  </w:t>
      </w:r>
    </w:p>
    <w:p w14:paraId="1619F45B" w14:textId="77777777" w:rsidR="006A74CD" w:rsidRDefault="006A74CD">
      <w:pPr>
        <w:spacing w:after="0" w:line="240" w:lineRule="auto"/>
        <w:rPr>
          <w:rFonts w:ascii="Times New Roman" w:eastAsia="Times New Roman" w:hAnsi="Times New Roman"/>
          <w:kern w:val="0"/>
          <w:sz w:val="24"/>
          <w:szCs w:val="24"/>
          <w:lang w:val="fr-FR" w:eastAsia="fr-FR"/>
        </w:rPr>
      </w:pPr>
    </w:p>
    <w:p w14:paraId="7CBFF7FC"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Raffinerie d’alumine</w:t>
      </w:r>
    </w:p>
    <w:p w14:paraId="6B996FD6" w14:textId="77777777" w:rsidR="006A74CD" w:rsidRDefault="006A74CD">
      <w:pPr>
        <w:spacing w:after="0" w:line="276" w:lineRule="auto"/>
        <w:jc w:val="both"/>
        <w:rPr>
          <w:rFonts w:ascii="Arial" w:eastAsia="Times New Roman" w:hAnsi="Arial" w:cs="Arial"/>
          <w:kern w:val="0"/>
          <w:sz w:val="21"/>
          <w:szCs w:val="21"/>
        </w:rPr>
      </w:pPr>
    </w:p>
    <w:p w14:paraId="78645728" w14:textId="2E5AF8AC"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La raffinerie sera conçue pour fonctionner de manière continue et sûre malgré les aléas climatiques. Les unités de digestion, le four de calcination, l’aire de stockage de la bauxite, le silo d’hydroxyde d’aluminium et la station d’évaporation et de raffinage seront dimensionnés pour résister à des températures ambiantes élevées et conçus selon les référentiels parasismiques chinois (GB 18306, GB 50011) et des hypothèses climatiques issues de projections GIEC (scénarios SSP). Les structures critiques seront surélevées et protégées contre les inondations, et les réseaux de drainage seront adaptés pour évacuer les pluies extrêmes. Des systèmes de surveillance et de contrôle </w:t>
      </w:r>
    </w:p>
    <w:p w14:paraId="3C708175" w14:textId="77777777" w:rsidR="006A74CD" w:rsidRDefault="006A74CD">
      <w:pPr>
        <w:spacing w:after="0" w:line="276" w:lineRule="auto"/>
        <w:jc w:val="both"/>
        <w:rPr>
          <w:rFonts w:ascii="Arial" w:eastAsia="Times New Roman" w:hAnsi="Arial" w:cs="Arial"/>
          <w:kern w:val="0"/>
          <w:sz w:val="21"/>
          <w:szCs w:val="21"/>
        </w:rPr>
      </w:pPr>
    </w:p>
    <w:p w14:paraId="43233CF2"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Installation de stockage des résidus de boue rouge</w:t>
      </w:r>
    </w:p>
    <w:p w14:paraId="39E5E8C8" w14:textId="77777777" w:rsidR="006A74CD" w:rsidRDefault="006A74CD">
      <w:pPr>
        <w:spacing w:after="0" w:line="240" w:lineRule="auto"/>
        <w:ind w:left="714"/>
        <w:jc w:val="both"/>
        <w:rPr>
          <w:rFonts w:ascii="Arial" w:eastAsia="Times New Roman" w:hAnsi="Arial" w:cs="Arial"/>
          <w:b/>
          <w:bCs/>
          <w:kern w:val="0"/>
          <w:sz w:val="21"/>
          <w:szCs w:val="21"/>
        </w:rPr>
      </w:pPr>
    </w:p>
    <w:p w14:paraId="44200477"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L’aire de stockage des résidus de boue rouge sera construite à sec, entourée de digues sur quatre côtés et équipée de rehausses selon la méthode amont pour résister aux pluies exceptionnelles ; ce choix de rehausse amont, sensible au risque de liquéfaction, devra être justifié par une étude géotechnique et sismique conformément aux normes chinoises GB 50863-2013 (conception) et GB 39496-2020 (sécurité des parcs à résidus), une méthode aval/axiale étant à privilégier le cas échéant. Chaque sous-zone sera dotée d’un système de drainage par puits et conduites en acier, relié à un bassin de régulation des eaux pluviales pour collecter et recycler l’eau excédentaire. Des panneaux de signalisation et un plan d’intervention d’urgence permettront de sécuriser le site et de protéger le personnel. Cette conception prendra en compte les volumes estimés pour la phase I : 2,135 millions de tonnes d’argile rouge par an, dont 1,452 million de tonnes de solides et 683 000 tonnes de liquides.</w:t>
      </w:r>
    </w:p>
    <w:p w14:paraId="1B5831D5" w14:textId="77777777" w:rsidR="006A74CD" w:rsidRDefault="006A74CD">
      <w:pPr>
        <w:spacing w:after="0" w:line="240" w:lineRule="auto"/>
        <w:rPr>
          <w:rFonts w:ascii="Times New Roman" w:eastAsia="Times New Roman" w:hAnsi="Times New Roman"/>
          <w:kern w:val="0"/>
          <w:sz w:val="24"/>
          <w:szCs w:val="24"/>
          <w:lang w:val="fr-FR" w:eastAsia="fr-FR"/>
        </w:rPr>
      </w:pPr>
    </w:p>
    <w:p w14:paraId="217C81BC"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Centrale électrique (énergie hybride)</w:t>
      </w:r>
    </w:p>
    <w:p w14:paraId="4089DC78" w14:textId="77777777" w:rsidR="006A74CD" w:rsidRDefault="006A74CD">
      <w:pPr>
        <w:spacing w:after="0" w:line="240" w:lineRule="auto"/>
        <w:ind w:left="714"/>
        <w:jc w:val="both"/>
        <w:rPr>
          <w:rFonts w:ascii="Arial" w:eastAsia="Times New Roman" w:hAnsi="Arial" w:cs="Arial"/>
          <w:b/>
          <w:bCs/>
          <w:kern w:val="0"/>
          <w:sz w:val="21"/>
          <w:szCs w:val="21"/>
        </w:rPr>
      </w:pPr>
    </w:p>
    <w:p w14:paraId="03DBB2E7"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La centrale thermique dédiée fournira l’alimentation électrique et thermique nécessaire à la raffinerie, avec deux chaudières et deux groupes de production (1 en veille et 1 en révision) et deux désurchauffeurs-détendeurs. L’installation photovoltaïque complétera l’approvisionnement énergétique, réduira l’empreinte carbone et stabilisera l’alimentation. Tous les équipements devront être dimensionnés en fonction des projections climatiques, pour prévenir les risques </w:t>
        <w:lastRenderedPageBreak/>
        <w:t>d’inondation et protégés contre les températures extrêmes. Cette configuration hybride pourra garantir une alimentation fiable et continue pour l’ensemble du complexe industriel.</w:t>
      </w:r>
    </w:p>
    <w:p w14:paraId="1E6AEA16" w14:textId="77777777" w:rsidR="006A74CD" w:rsidRDefault="006A74CD">
      <w:pPr>
        <w:spacing w:after="0" w:line="240" w:lineRule="auto"/>
        <w:rPr>
          <w:rFonts w:ascii="Times New Roman" w:eastAsia="Times New Roman" w:hAnsi="Times New Roman"/>
          <w:kern w:val="0"/>
          <w:sz w:val="24"/>
          <w:szCs w:val="24"/>
          <w:lang w:val="fr-FR" w:eastAsia="fr-FR"/>
        </w:rPr>
      </w:pPr>
    </w:p>
    <w:p w14:paraId="06A3213E"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Unité de gazéification du charbon</w:t>
      </w:r>
    </w:p>
    <w:p w14:paraId="3B3EF36F" w14:textId="77777777" w:rsidR="006A74CD" w:rsidRDefault="006A74CD">
      <w:pPr>
        <w:spacing w:after="0" w:line="240" w:lineRule="auto"/>
        <w:ind w:left="714"/>
        <w:jc w:val="both"/>
        <w:rPr>
          <w:rFonts w:ascii="Arial" w:eastAsia="Times New Roman" w:hAnsi="Arial" w:cs="Arial"/>
          <w:b/>
          <w:bCs/>
          <w:kern w:val="0"/>
          <w:sz w:val="21"/>
          <w:szCs w:val="21"/>
        </w:rPr>
      </w:pPr>
    </w:p>
    <w:p w14:paraId="1CCED8EB" w14:textId="77777777" w:rsidR="006A74CD" w:rsidRDefault="006A74CD" w:rsidP="00A92862">
      <w:pPr>
        <w:spacing w:after="0" w:line="276" w:lineRule="auto"/>
        <w:jc w:val="both"/>
        <w:rPr>
          <w:rFonts w:ascii="Times New Roman" w:eastAsia="Times New Roman" w:hAnsi="Times New Roman"/>
          <w:kern w:val="0"/>
          <w:sz w:val="24"/>
          <w:szCs w:val="24"/>
          <w:lang w:val="fr-FR" w:eastAsia="fr-FR"/>
        </w:rPr>
        <w:pPrChange w:id="63" w:author="Ismael SAMBY" w:date="2026-07-17T12:52:00Z">
          <w:pPr>
            <w:spacing w:after="0" w:line="240" w:lineRule="auto"/>
          </w:pPr>
        </w:pPrChange>
      </w:pPr>
      <w:r>
        <w:rPr>
          <w:rFonts w:ascii="Arial" w:eastAsia="Times New Roman" w:hAnsi="Arial" w:cs="Arial"/>
          <w:kern w:val="0"/>
          <w:sz w:val="21"/>
          <w:szCs w:val="21"/>
        </w:rPr>
        <w:t xml:space="preserve">Nota : le recours au charbon (centrale thermique et gazéification) doit être justifié au regard de l’engagement de la Chine (2021) de ne plus construire de nouvelles centrales à charbon à l’étranger, avec analyse d’alternatives et maximisation de la part renouvelable. L’unité de gazéification produira 120 000 Nm³/h de gaz de houille propre pour alimenter les fours de calcination. Elle comprendra deux gazéifieurs à lit fluidisé circulant de 60 000 Nm³/h chacun et toutes les installations auxiliaires nécessaires (hangar à charbon, système d’alimentation, atelier, désulfuration, compresseurs, stockage des cendres et recyclage d’eau). </w:t>
      </w:r>
    </w:p>
    <w:p w14:paraId="46647E1F" w14:textId="77777777" w:rsidR="006A74CD" w:rsidRDefault="006A74CD">
      <w:pPr>
        <w:spacing w:after="0" w:line="240" w:lineRule="auto"/>
        <w:rPr>
          <w:rFonts w:ascii="Times New Roman" w:eastAsia="Times New Roman" w:hAnsi="Times New Roman"/>
          <w:kern w:val="0"/>
          <w:sz w:val="24"/>
          <w:szCs w:val="24"/>
          <w:lang w:val="fr-FR" w:eastAsia="fr-FR"/>
        </w:rPr>
      </w:pPr>
    </w:p>
    <w:p w14:paraId="1847416F" w14:textId="77777777" w:rsidR="006A74CD" w:rsidRDefault="006A74CD">
      <w:pPr>
        <w:spacing w:after="0" w:line="240" w:lineRule="auto"/>
        <w:rPr>
          <w:rFonts w:ascii="Times New Roman" w:eastAsia="Times New Roman" w:hAnsi="Times New Roman"/>
          <w:kern w:val="0"/>
          <w:sz w:val="24"/>
          <w:szCs w:val="24"/>
          <w:lang w:val="fr-FR" w:eastAsia="fr-FR"/>
        </w:rPr>
      </w:pPr>
    </w:p>
    <w:p w14:paraId="00A5EE75"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Réservoirs et infrastructures de stockage et traitement de l’eau</w:t>
      </w:r>
    </w:p>
    <w:p w14:paraId="78B9BBA4" w14:textId="77777777" w:rsidR="006A74CD" w:rsidRDefault="006A74CD">
      <w:pPr>
        <w:spacing w:after="0" w:line="240" w:lineRule="auto"/>
        <w:ind w:left="714"/>
        <w:jc w:val="both"/>
        <w:rPr>
          <w:rFonts w:ascii="Arial" w:eastAsia="Times New Roman" w:hAnsi="Arial" w:cs="Arial"/>
          <w:b/>
          <w:bCs/>
          <w:kern w:val="0"/>
          <w:sz w:val="21"/>
          <w:szCs w:val="21"/>
        </w:rPr>
      </w:pPr>
    </w:p>
    <w:p w14:paraId="08608B2D"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Les réservoirs et stations de traitement d’eau seront dimensionnés pour garantir un approvisionnement même lors de sécheresses prolongées et de fortes pluies. Des couvertures limiteront l’évaporation, la collecte des eaux pluviales et le recyclage des eaux industrielles sécuriseront l’approvisionnement en eau potable et de procédé. La qualité de l’eau devra être suivie en continu pour prévenir toute contamination liée aux événements climatiques.</w:t>
      </w:r>
    </w:p>
    <w:p w14:paraId="7AC80174" w14:textId="77777777" w:rsidR="006A74CD" w:rsidRDefault="006A74CD">
      <w:pPr>
        <w:spacing w:after="0" w:line="240" w:lineRule="auto"/>
        <w:rPr>
          <w:rFonts w:ascii="Times New Roman" w:eastAsia="Times New Roman" w:hAnsi="Times New Roman"/>
          <w:kern w:val="0"/>
          <w:sz w:val="24"/>
          <w:szCs w:val="24"/>
          <w:lang w:val="fr-FR" w:eastAsia="fr-FR"/>
        </w:rPr>
      </w:pPr>
    </w:p>
    <w:p w14:paraId="65ECC39D"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Zones résidentielles et base-vie</w:t>
      </w:r>
    </w:p>
    <w:p w14:paraId="47193D45" w14:textId="77777777" w:rsidR="006A74CD" w:rsidRDefault="006A74CD">
      <w:pPr>
        <w:spacing w:after="0" w:line="276" w:lineRule="auto"/>
        <w:jc w:val="both"/>
        <w:rPr>
          <w:rFonts w:ascii="Arial" w:eastAsia="Times New Roman" w:hAnsi="Arial" w:cs="Arial"/>
          <w:kern w:val="0"/>
          <w:sz w:val="21"/>
          <w:szCs w:val="21"/>
        </w:rPr>
      </w:pPr>
    </w:p>
    <w:p w14:paraId="2E5054BD"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La base-vie sera implantée hors des zones inondables et comprendra des dortoirs, restauration, bureaux, installations sportives et espaces verts. Les bâtiments intégreront ventilation naturelle, toitures réfléchissantes et aménagements végétalisés pour limiter l’exposition à la chaleur. Les réseaux internes d’électricité et d’eau potable, les systèmes de traitement des eaux usées et les dispositifs de sécurité incendie assureront la protection et le confort du personnel. La gestion des déchets, nuisances et interactions sociales sera intégrée dans le chapitre dédié à cet effet.</w:t>
      </w:r>
    </w:p>
    <w:p w14:paraId="5ACF93E0" w14:textId="77777777" w:rsidR="006A74CD" w:rsidRDefault="006A74CD">
      <w:pPr>
        <w:spacing w:after="0" w:line="240" w:lineRule="auto"/>
        <w:rPr>
          <w:rFonts w:ascii="Times New Roman" w:eastAsia="Times New Roman" w:hAnsi="Times New Roman"/>
          <w:kern w:val="0"/>
          <w:sz w:val="24"/>
          <w:szCs w:val="24"/>
          <w:lang w:val="fr-FR" w:eastAsia="fr-FR"/>
        </w:rPr>
      </w:pPr>
    </w:p>
    <w:p w14:paraId="6868E192"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Infrastructures de transport et routes</w:t>
      </w:r>
    </w:p>
    <w:p w14:paraId="1AA29F25" w14:textId="77777777" w:rsidR="006A74CD" w:rsidRDefault="006A74CD">
      <w:pPr>
        <w:spacing w:after="0" w:line="276" w:lineRule="auto"/>
        <w:jc w:val="both"/>
        <w:rPr>
          <w:rFonts w:ascii="Arial" w:eastAsia="Times New Roman" w:hAnsi="Arial" w:cs="Arial"/>
          <w:kern w:val="0"/>
          <w:sz w:val="21"/>
          <w:szCs w:val="21"/>
        </w:rPr>
      </w:pPr>
    </w:p>
    <w:p w14:paraId="3FE5883E" w14:textId="77777777" w:rsidR="006A74CD" w:rsidRDefault="006A74CD">
      <w:pPr>
        <w:spacing w:after="0" w:line="276" w:lineRule="auto"/>
        <w:jc w:val="both"/>
        <w:rPr>
          <w:rFonts w:ascii="Arial" w:eastAsia="Times New Roman" w:hAnsi="Arial" w:cs="Arial"/>
          <w:kern w:val="0"/>
          <w:sz w:val="21"/>
          <w:szCs w:val="21"/>
        </w:rPr>
      </w:pPr>
      <w:r>
        <w:t>Les routes de desserte portuaire et le corridor K0–K40 seront conçues en tenant compte des contraintes climatiques locales, notamment des fortes précipitations saisonnières.</w:t>
      </w:r>
    </w:p>
    <w:p w14:paraId="63A88551" w14:textId="77777777" w:rsidR="006A74CD" w:rsidRDefault="006A74CD">
      <w:pPr>
        <w:spacing w:after="0" w:line="276" w:lineRule="auto"/>
        <w:jc w:val="both"/>
        <w:rPr>
          <w:rFonts w:ascii="Arial" w:eastAsia="Times New Roman" w:hAnsi="Arial" w:cs="Arial"/>
          <w:kern w:val="0"/>
          <w:sz w:val="21"/>
          <w:szCs w:val="21"/>
        </w:rPr>
      </w:pPr>
    </w:p>
    <w:p w14:paraId="530F699D" w14:textId="77777777" w:rsidR="006A74CD" w:rsidRDefault="007561DE">
      <w:pPr>
        <w:keepNext/>
        <w:keepLines/>
        <w:numPr>
          <w:ilvl w:val="1"/>
          <w:numId w:val="2"/>
        </w:numPr>
        <w:spacing w:after="0" w:line="276" w:lineRule="auto"/>
        <w:jc w:val="both"/>
      </w:pPr>
      <w:r>
        <w:rPr>
          <w:rFonts w:ascii="Arial" w:eastAsia="SimSun" w:hAnsi="Arial" w:cs="Arial"/>
          <w:b/>
          <w:kern w:val="0"/>
          <w:sz w:val="21"/>
          <w:szCs w:val="32"/>
          <w:lang w:val="fr-FR"/>
        </w:rPr>
        <w:t xml:space="preserve"> </w:t>
      </w:r>
      <w:bookmarkStart w:id="68" w:name="_Toc210821870"/>
      <w:bookmarkStart w:id="69" w:name="_Toc210994953"/>
      <w:bookmarkStart w:id="70" w:name="_Toc217390060"/>
      <w:bookmarkStart w:id="71" w:name="_Toc222731451"/>
      <w:r>
        <w:rPr>
          <w:rFonts w:ascii="Arial" w:eastAsia="Times New Roman" w:hAnsi="Arial" w:cs="Arial"/>
          <w:b/>
          <w:bCs/>
          <w:sz w:val="21"/>
          <w:szCs w:val="21"/>
          <w:lang w:val="fr-FR"/>
        </w:rPr>
        <w:t>Mesures d’Atténuation</w:t>
      </w:r>
      <w:bookmarkEnd w:id="68"/>
      <w:bookmarkEnd w:id="69"/>
      <w:bookmarkEnd w:id="70"/>
      <w:bookmarkEnd w:id="71"/>
    </w:p>
    <w:p w14:paraId="1153892D" w14:textId="77777777" w:rsidR="006A74CD" w:rsidRDefault="006A74CD">
      <w:pPr>
        <w:rPr>
          <w:rFonts w:eastAsia="SimSun"/>
          <w:kern w:val="0"/>
          <w:lang w:val="fr-FR"/>
        </w:rPr>
      </w:pPr>
    </w:p>
    <w:p w14:paraId="4CC22E5B" w14:textId="77777777" w:rsidR="006A74CD" w:rsidRDefault="007561DE">
      <w:pPr>
        <w:spacing w:after="0" w:line="240" w:lineRule="auto"/>
        <w:jc w:val="both"/>
        <w:rPr>
          <w:rFonts w:ascii="Arial" w:eastAsia="Times New Roman" w:hAnsi="Arial" w:cs="Arial"/>
          <w:kern w:val="0"/>
          <w:sz w:val="21"/>
          <w:szCs w:val="21"/>
          <w:u w:val="single"/>
        </w:rPr>
      </w:pPr>
      <w:r>
        <w:rPr>
          <w:rFonts w:ascii="Arial" w:eastAsia="Times New Roman" w:hAnsi="Arial" w:cs="Arial"/>
          <w:kern w:val="0"/>
          <w:sz w:val="21"/>
          <w:szCs w:val="21"/>
          <w:u w:val="single"/>
        </w:rPr>
        <w:t>Intégration des Considérations Environnementales</w:t>
      </w:r>
    </w:p>
    <w:p w14:paraId="50793CF0" w14:textId="77777777" w:rsidR="006A74CD" w:rsidRDefault="006A74CD">
      <w:pPr>
        <w:spacing w:after="0" w:line="240" w:lineRule="auto"/>
        <w:jc w:val="both"/>
        <w:rPr>
          <w:rFonts w:ascii="Arial" w:eastAsia="Times New Roman" w:hAnsi="Arial" w:cs="Arial"/>
          <w:kern w:val="0"/>
          <w:sz w:val="21"/>
          <w:szCs w:val="21"/>
          <w:u w:val="single"/>
        </w:rPr>
      </w:pPr>
    </w:p>
    <w:p w14:paraId="5623A1E5"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Les considérations liées au changement climatique sont intégrées dans la planification, la construction et l’exploitation du projet, notamment à travers :</w:t>
      </w:r>
    </w:p>
    <w:p w14:paraId="3006BECF" w14:textId="77777777" w:rsidR="006A74CD" w:rsidRDefault="006A74CD">
      <w:pPr>
        <w:spacing w:after="0" w:line="276" w:lineRule="auto"/>
        <w:jc w:val="both"/>
        <w:rPr>
          <w:rFonts w:ascii="Arial" w:eastAsia="Times New Roman" w:hAnsi="Arial" w:cs="Arial"/>
          <w:kern w:val="0"/>
          <w:sz w:val="21"/>
          <w:szCs w:val="21"/>
        </w:rPr>
      </w:pPr>
    </w:p>
    <w:p w14:paraId="0DD2E544" w14:textId="77777777" w:rsidR="006A74CD" w:rsidRDefault="007561DE">
      <w:pPr>
        <w:numPr>
          <w:ilvl w:val="0"/>
          <w:numId w:val="7"/>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l’application des recommandations de l’ÉIES ;</w:t>
      </w:r>
    </w:p>
    <w:p w14:paraId="6EB221EA" w14:textId="77777777" w:rsidR="006A74CD" w:rsidRDefault="007561DE">
      <w:pPr>
        <w:numPr>
          <w:ilvl w:val="0"/>
          <w:numId w:val="7"/>
        </w:numPr>
        <w:spacing w:after="0" w:line="276" w:lineRule="auto"/>
        <w:jc w:val="both"/>
      </w:pPr>
      <w:r>
        <w:rPr>
          <w:rFonts w:ascii="Arial" w:eastAsia="Times New Roman" w:hAnsi="Arial" w:cs="Arial"/>
          <w:kern w:val="0"/>
          <w:sz w:val="21"/>
          <w:szCs w:val="21"/>
        </w:rPr>
        <w:lastRenderedPageBreak/>
        <w:t>la mise en œuvre d’un Plan de Gestion Environnementale et Sociale (PGES</w:t>
      </w:r>
      <w:r>
        <w:rPr>
          <w:rFonts w:ascii="Arial" w:eastAsia="Times New Roman" w:hAnsi="Arial" w:cs="Arial"/>
          <w:b/>
          <w:bCs/>
          <w:kern w:val="0"/>
          <w:sz w:val="21"/>
          <w:szCs w:val="21"/>
        </w:rPr>
        <w:t>)</w:t>
      </w:r>
      <w:r>
        <w:rPr>
          <w:rFonts w:ascii="Arial" w:eastAsia="Times New Roman" w:hAnsi="Arial" w:cs="Arial"/>
          <w:kern w:val="0"/>
          <w:sz w:val="21"/>
          <w:szCs w:val="21"/>
        </w:rPr>
        <w:t xml:space="preserve"> couvrant les risques climatiques identifiés.</w:t>
      </w:r>
    </w:p>
    <w:p w14:paraId="42CC0166" w14:textId="77777777" w:rsidR="006A74CD" w:rsidRDefault="006A74CD">
      <w:pPr>
        <w:spacing w:after="0" w:line="276" w:lineRule="auto"/>
        <w:jc w:val="both"/>
        <w:rPr>
          <w:rFonts w:ascii="Arial" w:eastAsia="Times New Roman" w:hAnsi="Arial" w:cs="Arial"/>
          <w:kern w:val="0"/>
          <w:sz w:val="21"/>
          <w:szCs w:val="21"/>
          <w:lang w:eastAsia="zh-CN"/>
        </w:rPr>
      </w:pPr>
    </w:p>
    <w:p w14:paraId="275E7568" w14:textId="77777777" w:rsidR="006A74CD" w:rsidRDefault="007561DE">
      <w:pPr>
        <w:spacing w:after="0" w:line="240" w:lineRule="auto"/>
        <w:jc w:val="both"/>
        <w:rPr>
          <w:rFonts w:ascii="Arial" w:eastAsia="Times New Roman" w:hAnsi="Arial" w:cs="Arial"/>
          <w:kern w:val="0"/>
          <w:sz w:val="21"/>
          <w:szCs w:val="21"/>
          <w:u w:val="single"/>
        </w:rPr>
      </w:pPr>
      <w:r>
        <w:rPr>
          <w:rFonts w:ascii="Arial" w:eastAsia="Times New Roman" w:hAnsi="Arial" w:cs="Arial"/>
          <w:kern w:val="0"/>
          <w:sz w:val="21"/>
          <w:szCs w:val="21"/>
          <w:u w:val="single"/>
        </w:rPr>
        <w:t>Surveillance et Recherche</w:t>
      </w:r>
    </w:p>
    <w:p w14:paraId="6DCAD7F7" w14:textId="77777777" w:rsidR="006A74CD" w:rsidRDefault="006A74CD">
      <w:pPr>
        <w:spacing w:after="0" w:line="240" w:lineRule="auto"/>
        <w:jc w:val="both"/>
        <w:rPr>
          <w:rFonts w:ascii="Arial" w:eastAsia="Times New Roman" w:hAnsi="Arial" w:cs="Arial"/>
          <w:kern w:val="0"/>
          <w:sz w:val="21"/>
          <w:szCs w:val="21"/>
          <w:u w:val="single"/>
        </w:rPr>
      </w:pPr>
    </w:p>
    <w:p w14:paraId="19CC1FFC"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Mise en place de programmes de surveillance pour suivre l'état des espèces menacées et de leurs habitats durant et après la construction. Le suivi des espèces préoccupantes le cadre de la résilience au changement climatique vise à surveiller les écosystèmes et les espèces pour comprendre leur état, anticiper et atténuer les impacts du CC. </w:t>
      </w:r>
    </w:p>
    <w:p w14:paraId="46F3C6C3" w14:textId="77777777" w:rsidR="006A74CD" w:rsidRDefault="006A74CD">
      <w:pPr>
        <w:spacing w:after="0" w:line="276" w:lineRule="auto"/>
        <w:jc w:val="both"/>
        <w:rPr>
          <w:rFonts w:ascii="Arial" w:eastAsia="Times New Roman" w:hAnsi="Arial" w:cs="Arial"/>
          <w:kern w:val="0"/>
          <w:sz w:val="21"/>
          <w:szCs w:val="21"/>
        </w:rPr>
      </w:pPr>
    </w:p>
    <w:p w14:paraId="111CF3DF"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Ces suivis permettent d'évaluer la santé des habitats, de suivre l'évolution des migrations d'espèces, d'identifier les zones sensibles et de guider les mesures de gestion adaptées. </w:t>
      </w:r>
    </w:p>
    <w:p w14:paraId="1EC45B00" w14:textId="77777777" w:rsidR="006A74CD" w:rsidRDefault="006A74CD">
      <w:pPr>
        <w:spacing w:after="0" w:line="276" w:lineRule="auto"/>
        <w:jc w:val="both"/>
        <w:rPr>
          <w:rFonts w:ascii="Arial" w:eastAsia="Times New Roman" w:hAnsi="Arial" w:cs="Arial"/>
          <w:kern w:val="0"/>
          <w:sz w:val="21"/>
          <w:szCs w:val="21"/>
        </w:rPr>
      </w:pPr>
    </w:p>
    <w:p w14:paraId="6DE3D02F" w14:textId="77777777" w:rsidR="006A74CD" w:rsidRDefault="006A74CD">
      <w:pPr>
        <w:spacing w:after="0" w:line="276" w:lineRule="auto"/>
        <w:jc w:val="both"/>
        <w:rPr>
          <w:rFonts w:ascii="Arial" w:eastAsia="Times New Roman" w:hAnsi="Arial" w:cs="Arial"/>
          <w:kern w:val="0"/>
          <w:sz w:val="21"/>
          <w:szCs w:val="21"/>
        </w:rPr>
      </w:pPr>
    </w:p>
    <w:p w14:paraId="57B69C53" w14:textId="77777777" w:rsidR="006A74CD" w:rsidRDefault="006A74CD">
      <w:pPr>
        <w:spacing w:after="0" w:line="276" w:lineRule="auto"/>
        <w:jc w:val="both"/>
        <w:rPr>
          <w:rFonts w:ascii="Arial" w:eastAsia="Times New Roman" w:hAnsi="Arial" w:cs="Arial"/>
          <w:kern w:val="0"/>
          <w:sz w:val="21"/>
          <w:szCs w:val="21"/>
        </w:rPr>
      </w:pPr>
    </w:p>
    <w:p w14:paraId="139802BB" w14:textId="77777777" w:rsidR="006A74CD" w:rsidRDefault="006A74CD">
      <w:pPr>
        <w:spacing w:after="0" w:line="276" w:lineRule="auto"/>
        <w:jc w:val="both"/>
        <w:rPr>
          <w:rFonts w:ascii="Arial" w:eastAsia="Times New Roman" w:hAnsi="Arial" w:cs="Arial"/>
          <w:kern w:val="0"/>
          <w:sz w:val="21"/>
          <w:szCs w:val="21"/>
        </w:rPr>
      </w:pPr>
    </w:p>
    <w:p w14:paraId="49AD8CF6" w14:textId="77777777" w:rsidR="006A74CD" w:rsidRDefault="006A74CD">
      <w:pPr>
        <w:spacing w:after="0" w:line="276" w:lineRule="auto"/>
        <w:jc w:val="both"/>
        <w:rPr>
          <w:rFonts w:ascii="Arial" w:eastAsia="Times New Roman" w:hAnsi="Arial" w:cs="Arial"/>
          <w:kern w:val="0"/>
          <w:sz w:val="21"/>
          <w:szCs w:val="21"/>
        </w:rPr>
      </w:pPr>
    </w:p>
    <w:p w14:paraId="220588B8" w14:textId="77777777" w:rsidR="006A74CD" w:rsidRDefault="006A74CD">
      <w:pPr>
        <w:spacing w:after="0" w:line="276" w:lineRule="auto"/>
        <w:jc w:val="both"/>
        <w:rPr>
          <w:rFonts w:ascii="Arial" w:eastAsia="Times New Roman" w:hAnsi="Arial" w:cs="Arial"/>
          <w:kern w:val="0"/>
          <w:sz w:val="21"/>
          <w:szCs w:val="21"/>
        </w:rPr>
      </w:pPr>
    </w:p>
    <w:p w14:paraId="495ABC08" w14:textId="77777777" w:rsidR="006A74CD" w:rsidRDefault="007561DE">
      <w:pPr>
        <w:tabs>
          <w:tab w:val="left" w:pos="720"/>
        </w:tabs>
        <w:spacing w:after="0" w:line="240" w:lineRule="auto"/>
        <w:jc w:val="both"/>
        <w:rPr>
          <w:rFonts w:ascii="Arial" w:eastAsia="Times New Roman" w:hAnsi="Arial" w:cs="Arial"/>
          <w:kern w:val="0"/>
          <w:sz w:val="21"/>
          <w:szCs w:val="21"/>
          <w:u w:val="single"/>
        </w:rPr>
      </w:pPr>
      <w:r>
        <w:rPr>
          <w:rFonts w:ascii="Arial" w:eastAsia="Times New Roman" w:hAnsi="Arial" w:cs="Arial"/>
          <w:kern w:val="0"/>
          <w:sz w:val="21"/>
          <w:szCs w:val="21"/>
          <w:u w:val="single"/>
        </w:rPr>
        <w:t xml:space="preserve">Partenariats de recherche : </w:t>
      </w:r>
    </w:p>
    <w:p w14:paraId="38EC59CC" w14:textId="77777777" w:rsidR="006A74CD" w:rsidRDefault="006A74CD">
      <w:pPr>
        <w:spacing w:after="0" w:line="276" w:lineRule="auto"/>
        <w:jc w:val="both"/>
        <w:rPr>
          <w:rFonts w:ascii="Arial" w:eastAsia="Times New Roman" w:hAnsi="Arial" w:cs="Arial"/>
          <w:kern w:val="0"/>
          <w:sz w:val="21"/>
          <w:szCs w:val="21"/>
          <w:u w:val="single"/>
        </w:rPr>
      </w:pPr>
    </w:p>
    <w:p w14:paraId="5E3DA73F"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Des échanges techniques généraux avec des institutions nationales de recherche peuvent être envisagés, à titre indicatif, afin de mieux comprendre les tendances générales liées au changement climatique.</w:t>
      </w:r>
    </w:p>
    <w:p w14:paraId="7E46084E" w14:textId="77777777" w:rsidR="006A74CD" w:rsidRDefault="006A74CD">
      <w:pPr>
        <w:spacing w:after="0" w:line="276" w:lineRule="auto"/>
        <w:jc w:val="both"/>
        <w:rPr>
          <w:rFonts w:ascii="Arial" w:eastAsia="Times New Roman" w:hAnsi="Arial" w:cs="Arial"/>
          <w:kern w:val="0"/>
          <w:sz w:val="21"/>
          <w:szCs w:val="21"/>
        </w:rPr>
      </w:pPr>
    </w:p>
    <w:p w14:paraId="5FB9922B" w14:textId="77777777" w:rsidR="006A74CD" w:rsidRDefault="007561DE">
      <w:pPr>
        <w:tabs>
          <w:tab w:val="left" w:pos="720"/>
        </w:tabs>
        <w:spacing w:after="0" w:line="240" w:lineRule="auto"/>
        <w:jc w:val="both"/>
        <w:rPr>
          <w:rFonts w:ascii="Arial" w:eastAsia="Times New Roman" w:hAnsi="Arial" w:cs="Arial"/>
          <w:kern w:val="0"/>
          <w:sz w:val="21"/>
          <w:szCs w:val="21"/>
          <w:u w:val="single"/>
        </w:rPr>
      </w:pPr>
      <w:r>
        <w:rPr>
          <w:rFonts w:ascii="Arial" w:eastAsia="Times New Roman" w:hAnsi="Arial" w:cs="Arial"/>
          <w:kern w:val="0"/>
          <w:sz w:val="21"/>
          <w:szCs w:val="21"/>
          <w:u w:val="single"/>
        </w:rPr>
        <w:t>Sensibilisation et Participation Communautaire</w:t>
      </w:r>
    </w:p>
    <w:p w14:paraId="6D2962F2" w14:textId="77777777" w:rsidR="006A74CD" w:rsidRDefault="006A74CD">
      <w:pPr>
        <w:tabs>
          <w:tab w:val="left" w:pos="720"/>
        </w:tabs>
        <w:spacing w:after="0" w:line="240" w:lineRule="auto"/>
        <w:jc w:val="both"/>
        <w:rPr>
          <w:rFonts w:ascii="Arial" w:eastAsia="Times New Roman" w:hAnsi="Arial" w:cs="Arial"/>
          <w:kern w:val="0"/>
          <w:sz w:val="21"/>
          <w:szCs w:val="21"/>
          <w:u w:val="single"/>
        </w:rPr>
      </w:pPr>
    </w:p>
    <w:p w14:paraId="67C5CA42"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Des actions de sensibilisation seront menées auprès des travailleurs et des communautés riveraines afin de :</w:t>
      </w:r>
    </w:p>
    <w:p w14:paraId="29ED38FE" w14:textId="77777777" w:rsidR="006A74CD" w:rsidRDefault="006A74CD">
      <w:pPr>
        <w:spacing w:after="0" w:line="276" w:lineRule="auto"/>
        <w:jc w:val="both"/>
        <w:rPr>
          <w:rFonts w:ascii="Arial" w:eastAsia="Times New Roman" w:hAnsi="Arial" w:cs="Arial"/>
          <w:kern w:val="0"/>
          <w:sz w:val="21"/>
          <w:szCs w:val="21"/>
        </w:rPr>
      </w:pPr>
    </w:p>
    <w:p w14:paraId="0CB03B26" w14:textId="77777777" w:rsidR="006A74CD" w:rsidRDefault="007561DE">
      <w:pPr>
        <w:numPr>
          <w:ilvl w:val="0"/>
          <w:numId w:val="7"/>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promouvoir les bonnes pratiques de gestion des eaux et des sols ;</w:t>
      </w:r>
    </w:p>
    <w:p w14:paraId="5FD9D03C" w14:textId="77777777" w:rsidR="006A74CD" w:rsidRDefault="007561DE">
      <w:pPr>
        <w:numPr>
          <w:ilvl w:val="0"/>
          <w:numId w:val="7"/>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prévenir les dégradations environnementales susceptibles d’aggraver les effets climatiques.</w:t>
      </w:r>
    </w:p>
    <w:p w14:paraId="421666D0" w14:textId="77777777" w:rsidR="006A74CD" w:rsidRDefault="006A74CD">
      <w:pPr>
        <w:spacing w:after="0" w:line="276" w:lineRule="auto"/>
        <w:jc w:val="both"/>
        <w:rPr>
          <w:rFonts w:ascii="Arial" w:eastAsia="Times New Roman" w:hAnsi="Arial" w:cs="Arial"/>
          <w:kern w:val="0"/>
          <w:sz w:val="21"/>
          <w:szCs w:val="21"/>
        </w:rPr>
      </w:pPr>
    </w:p>
    <w:p w14:paraId="70730B4E" w14:textId="77777777" w:rsidR="006A74CD" w:rsidRDefault="007561DE">
      <w:pPr>
        <w:rPr>
          <w:rFonts w:ascii="Arial" w:eastAsia="Times New Roman" w:hAnsi="Arial" w:cs="Arial"/>
          <w:kern w:val="0"/>
          <w:sz w:val="21"/>
          <w:szCs w:val="21"/>
        </w:rPr>
      </w:pPr>
      <w:r>
        <w:rPr>
          <w:rFonts w:ascii="Arial" w:eastAsia="Times New Roman" w:hAnsi="Arial" w:cs="Arial"/>
          <w:kern w:val="0"/>
          <w:sz w:val="21"/>
          <w:szCs w:val="21"/>
        </w:rPr>
        <w:t xml:space="preserve">Les considérations liées au changement climatique seront prises en compte de manière proportionnée et progressive dans les phases ultérieures de conception, de construction et d’exploitation du projet, conformément aux exigences réglementaires applicables. </w:t>
      </w:r>
    </w:p>
    <w:p w14:paraId="0CA627B5" w14:textId="77777777" w:rsidR="006A74CD" w:rsidRDefault="007561DE">
      <w:pPr>
        <w:keepNext/>
        <w:keepLines/>
        <w:numPr>
          <w:ilvl w:val="0"/>
          <w:numId w:val="8"/>
        </w:numPr>
        <w:spacing w:after="0" w:line="276" w:lineRule="auto"/>
        <w:jc w:val="both"/>
      </w:pPr>
      <w:bookmarkStart w:id="73" w:name="_Toc210821893"/>
      <w:bookmarkStart w:id="74" w:name="_Toc210994982"/>
      <w:bookmarkStart w:id="75" w:name="_Toc222731511"/>
      <w:r>
        <w:rPr>
          <w:rFonts w:ascii="Arial" w:eastAsia="Times New Roman" w:hAnsi="Arial" w:cs="Arial"/>
          <w:b/>
          <w:bCs/>
          <w:sz w:val="21"/>
          <w:szCs w:val="21"/>
          <w:lang w:val="fr-FR"/>
        </w:rPr>
        <w:t>VALORISATION DES SERVICES ÉCOSYSTÉMIQUES</w:t>
      </w:r>
      <w:bookmarkEnd w:id="73"/>
      <w:bookmarkEnd w:id="74"/>
      <w:bookmarkEnd w:id="75"/>
      <w:r>
        <w:rPr>
          <w:rFonts w:ascii="Arial" w:eastAsia="SimSun" w:hAnsi="Arial" w:cs="Arial"/>
          <w:b/>
          <w:kern w:val="0"/>
          <w:sz w:val="21"/>
          <w:szCs w:val="21"/>
        </w:rPr>
        <w:t xml:space="preserve">  </w:t>
      </w:r>
    </w:p>
    <w:p w14:paraId="5D4DFE74" w14:textId="77777777" w:rsidR="006A74CD" w:rsidRDefault="006A74CD">
      <w:pPr>
        <w:rPr>
          <w:rFonts w:eastAsia="SimSun"/>
          <w:kern w:val="0"/>
        </w:rPr>
      </w:pPr>
    </w:p>
    <w:p w14:paraId="14278EB8"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 projet de raffinerie d’alumine et des installations associées de WCAG, s’inscrit dans un espace rural caractérisé par une forte dépendance des populations aux ressources naturelles et aux écosystèmes locaux. Il sera implanté dans les territoires faiblement urbanisés mais écologiquement fonctionnels, composés principalement de mangroves, savanes arborées et arbustives, de forêts-galeries, de zones humides, de bas-fonds agricoles et de cours d’eau.</w:t>
      </w:r>
    </w:p>
    <w:p w14:paraId="4C9AF5DF" w14:textId="77777777" w:rsidR="006A74CD" w:rsidRDefault="006A74CD">
      <w:pPr>
        <w:spacing w:after="0" w:line="276" w:lineRule="auto"/>
        <w:jc w:val="both"/>
        <w:rPr>
          <w:rFonts w:ascii="Arial" w:hAnsi="Arial" w:cs="Arial"/>
          <w:kern w:val="0"/>
          <w:sz w:val="21"/>
          <w:szCs w:val="21"/>
          <w:lang w:val="fr-FR" w:eastAsia="fr-FR"/>
        </w:rPr>
      </w:pPr>
    </w:p>
    <w:p w14:paraId="6FD73B5C"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Ces écosystèmes fournissent une diversité de services écosystémiques indispensables au bien-être des communautés riveraines, notamment en matière de subsistance, de sécurité alimentaire, de régulation hydrologique, de protection des sols, de maintien de la biodiversité et de valeurs culturelles. Leur prise en compte constitue un enjeu central de l’Étude d’Impact Environnemental et Social (ÉIES), compte tenu de l’envergure du Projet.</w:t>
      </w:r>
    </w:p>
    <w:p w14:paraId="2F0D1FF9" w14:textId="77777777" w:rsidR="006A74CD" w:rsidRDefault="006A74CD">
      <w:pPr>
        <w:spacing w:after="0" w:line="276" w:lineRule="auto"/>
        <w:jc w:val="both"/>
        <w:rPr>
          <w:rFonts w:ascii="Arial" w:hAnsi="Arial" w:cs="Arial"/>
          <w:kern w:val="0"/>
          <w:sz w:val="21"/>
          <w:szCs w:val="21"/>
          <w:lang w:val="fr-FR" w:eastAsia="fr-FR"/>
        </w:rPr>
      </w:pPr>
    </w:p>
    <w:p w14:paraId="25906E7F" w14:textId="77777777" w:rsidR="006A74CD" w:rsidRDefault="007561DE">
      <w:pPr>
        <w:spacing w:after="0" w:line="276" w:lineRule="auto"/>
        <w:jc w:val="both"/>
      </w:pPr>
      <w:r>
        <w:rPr>
          <w:rFonts w:ascii="Arial" w:hAnsi="Arial" w:cs="Arial"/>
          <w:kern w:val="0"/>
          <w:sz w:val="21"/>
          <w:szCs w:val="21"/>
          <w:lang w:val="fr-FR" w:eastAsia="fr-FR"/>
        </w:rPr>
        <w:t xml:space="preserve">Les mesures d’atténuation pour préserver les services écosystémiques et garantir l'intégration des communautés. Il convient de noter aussi que le </w:t>
      </w:r>
      <w:r>
        <w:rPr>
          <w:rFonts w:ascii="Arial" w:hAnsi="Arial" w:cs="Arial"/>
          <w:kern w:val="0"/>
          <w:sz w:val="21"/>
          <w:szCs w:val="21"/>
          <w:lang w:eastAsia="fr-FR"/>
        </w:rPr>
        <w:t>PAR/PRMS constituent des instruments essentiels pour atténuer les impacts sur les services écosystémiques et préserver les moyens de subsistance des communautés locales. Leur mise en œuvre rigoureuse permettra de compenser la perte définitive de certaines terres et d’assurer une transition socio-économique durable pour les populations affectées.</w:t>
      </w:r>
    </w:p>
    <w:p w14:paraId="30EBCC37" w14:textId="77777777" w:rsidR="006A74CD" w:rsidRDefault="006A74CD">
      <w:pPr>
        <w:spacing w:after="0" w:line="276" w:lineRule="auto"/>
        <w:jc w:val="both"/>
        <w:rPr>
          <w:rFonts w:ascii="Arial" w:eastAsia="DengXian" w:hAnsi="Arial" w:cs="Arial"/>
          <w:kern w:val="0"/>
          <w:sz w:val="21"/>
          <w:szCs w:val="21"/>
          <w:lang w:val="fr-FR"/>
        </w:rPr>
      </w:pPr>
    </w:p>
    <w:tbl>
      <w:tblPr>
        <w:tblW w:w="9060" w:type="dxa"/>
        <w:tblCellMar>
          <w:left w:w="10" w:type="dxa"/>
          <w:right w:w="10" w:type="dxa"/>
        </w:tblCellMar>
        <w:tblLook w:val="0000" w:firstRow="0" w:lastRow="0" w:firstColumn="0" w:lastColumn="0" w:noHBand="0" w:noVBand="0"/>
      </w:tblPr>
      <w:tblGrid>
        <w:gridCol w:w="9060"/>
      </w:tblGrid>
      <w:tr w:rsidR="006A74CD" w14:paraId="41CBC154" w14:textId="77777777">
        <w:tc>
          <w:tcPr>
            <w:tcW w:w="9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617CB" w14:textId="77777777" w:rsidR="006A74CD" w:rsidRDefault="007561DE">
            <w:pPr>
              <w:spacing w:after="0" w:line="276" w:lineRule="auto"/>
              <w:jc w:val="both"/>
            </w:pPr>
            <w:r>
              <w:rPr>
                <w:rFonts w:ascii="Arial" w:hAnsi="Arial" w:cs="Arial"/>
                <w:i/>
                <w:kern w:val="0"/>
                <w:sz w:val="20"/>
                <w:szCs w:val="20"/>
                <w:lang w:val="fr-FR"/>
              </w:rPr>
              <w:t>L’Évaluation des écosystèmes pour le Millénaire (EEM)</w:t>
            </w:r>
            <w:r>
              <w:rPr>
                <w:rFonts w:ascii="Arial" w:hAnsi="Arial" w:cs="Arial"/>
                <w:kern w:val="0"/>
                <w:sz w:val="20"/>
                <w:szCs w:val="20"/>
                <w:lang w:val="fr-FR"/>
              </w:rPr>
              <w:t xml:space="preserve"> définit les services écosystémiques comme « les avantages que les populations tirent des écosystèmes ». Le Système de comptabilité environnementale et économique - Comptabilité des écosystèmes (SCEE-CE - 2021) propose une liste de référence des services écosystémiques. Cette liste est disponible à l'adresse suivante : https://seea.un.org/ecosystem-accounting.</w:t>
            </w:r>
          </w:p>
        </w:tc>
      </w:tr>
    </w:tbl>
    <w:p w14:paraId="40C493A6" w14:textId="03D2BE5F" w:rsidR="006A74CD" w:rsidRDefault="006A74CD">
      <w:pPr>
        <w:spacing w:line="276" w:lineRule="auto"/>
        <w:jc w:val="both"/>
        <w:rPr>
          <w:rFonts w:ascii="Arial" w:eastAsia="SimSun" w:hAnsi="Arial" w:cs="Arial"/>
          <w:kern w:val="0"/>
          <w:lang w:val="fr-FR" w:eastAsia="zh-CN"/>
        </w:rPr>
      </w:pPr>
    </w:p>
    <w:p w14:paraId="4C8E6A08" w14:textId="77777777" w:rsidR="00C93A69" w:rsidRPr="00C93A69" w:rsidRDefault="00C93A69" w:rsidP="00C93A69">
      <w:pPr>
        <w:keepNext/>
        <w:keepLines/>
        <w:numPr>
          <w:ilvl w:val="1"/>
          <w:numId w:val="8"/>
        </w:numPr>
        <w:spacing w:after="0" w:line="276" w:lineRule="auto"/>
        <w:ind w:left="0" w:firstLine="0"/>
        <w:jc w:val="both"/>
        <w:rPr>
          <w:rFonts w:ascii="Arial" w:eastAsia="Times New Roman" w:hAnsi="Arial" w:cs="Arial"/>
          <w:b/>
          <w:bCs/>
          <w:sz w:val="21"/>
          <w:szCs w:val="21"/>
          <w:lang w:val="fr-FR"/>
          <w:rPrChange w:id="78" w:author="Ismael SAMBY" w:date="2026-07-17T13:13:00Z">
            <w:rPr/>
          </w:rPrChange>
        </w:rPr>
        <w:pPrChange w:id="80" w:author="Ismael SAMBY" w:date="2026-07-17T13:13:00Z">
          <w:pPr>
            <w:pStyle w:val="font-claude-response-body"/>
          </w:pPr>
        </w:pPrChange>
      </w:pPr>
      <w:r>
        <w:rPr>
          <w:rFonts w:ascii="Arial" w:eastAsia="Times New Roman" w:hAnsi="Arial" w:cs="Arial"/>
          <w:sz w:val="21"/>
          <w:szCs w:val="21"/>
          <w:lang w:val="fr-FR"/>
          <w:rPrChange w:id="82" w:author="Ismael SAMBY" w:date="2026-07-17T13:13:00Z">
            <w:rPr>
              <w:rStyle w:val="lev"/>
            </w:rPr>
          </w:rPrChange>
        </w:rPr>
        <w:t>13.1. Méthodologie</w:t>
      </w:r>
    </w:p>
    <w:p w14:paraId="657F7959" w14:textId="77777777" w:rsidR="00C93A69" w:rsidRDefault="00C93A69" w:rsidP="00C93A69">
      <w:pPr>
        <w:spacing w:after="0" w:line="276" w:lineRule="auto"/>
        <w:jc w:val="both"/>
        <w:rPr>
          <w:rFonts w:ascii="Arial" w:hAnsi="Arial" w:cs="Arial"/>
          <w:kern w:val="0"/>
          <w:sz w:val="21"/>
          <w:szCs w:val="21"/>
          <w:lang w:val="fr-FR" w:eastAsia="fr-FR"/>
        </w:rPr>
      </w:pPr>
    </w:p>
    <w:p w14:paraId="5DA8A9D4" w14:textId="41293914" w:rsidR="00C93A69" w:rsidRPr="00C93A69" w:rsidRDefault="00C93A69" w:rsidP="00C93A69">
      <w:pPr>
        <w:spacing w:after="0" w:line="276" w:lineRule="auto"/>
        <w:jc w:val="both"/>
        <w:rPr>
          <w:rFonts w:ascii="Arial" w:hAnsi="Arial" w:cs="Arial"/>
          <w:kern w:val="0"/>
          <w:sz w:val="21"/>
          <w:szCs w:val="21"/>
          <w:lang w:val="fr-FR" w:eastAsia="fr-FR"/>
          <w:rPrChange w:id="85" w:author="Ismael SAMBY" w:date="2026-07-17T13:14:00Z">
            <w:rPr/>
          </w:rPrChange>
        </w:rPr>
        <w:pPrChange w:id="87" w:author="Ismael SAMBY" w:date="2026-07-17T13:14:00Z">
          <w:pPr>
            <w:pStyle w:val="font-claude-response-body"/>
          </w:pPr>
        </w:pPrChange>
      </w:pPr>
      <w:r>
        <w:rPr>
          <w:rFonts w:ascii="Arial" w:hAnsi="Arial" w:cs="Arial"/>
          <w:kern w:val="0"/>
          <w:sz w:val="21"/>
          <w:szCs w:val="21"/>
          <w:lang w:val="fr-FR" w:eastAsia="fr-FR"/>
          <w:rPrChange w:id="89" w:author="Ismael SAMBY" w:date="2026-07-17T13:14:00Z">
            <w:rPr/>
          </w:rPrChange>
        </w:rPr>
        <w:t>L'analyse s'appuie sur les sources de données suivantes :</w:t>
      </w:r>
    </w:p>
    <w:p w14:paraId="6DD97B5B" w14:textId="77777777" w:rsidR="00C93A69" w:rsidRDefault="00C93A69" w:rsidP="00C93A69">
      <w:pPr>
        <w:spacing w:after="0" w:line="276" w:lineRule="auto"/>
        <w:jc w:val="both"/>
        <w:rPr>
          <w:rFonts w:ascii="Arial" w:hAnsi="Arial" w:cs="Arial"/>
          <w:kern w:val="0"/>
          <w:sz w:val="21"/>
          <w:szCs w:val="21"/>
          <w:lang w:val="fr-FR" w:eastAsia="fr-FR"/>
        </w:rPr>
      </w:pPr>
    </w:p>
    <w:p w14:paraId="2A881F21" w14:textId="665F374D" w:rsidR="00C93A69" w:rsidRPr="00C93A69" w:rsidRDefault="00C93A69" w:rsidP="00C93A69">
      <w:pPr>
        <w:pStyle w:val="Paragraphedeliste"/>
        <w:numPr>
          <w:ilvl w:val="0"/>
          <w:numId w:val="17"/>
        </w:numPr>
        <w:spacing w:after="0" w:line="276" w:lineRule="auto"/>
        <w:jc w:val="both"/>
        <w:rPr>
          <w:rFonts w:ascii="Arial" w:hAnsi="Arial" w:cs="Arial"/>
          <w:kern w:val="0"/>
          <w:sz w:val="21"/>
          <w:szCs w:val="21"/>
          <w:lang w:val="fr-FR" w:eastAsia="fr-FR"/>
          <w:rPrChange w:id="92" w:author="Ismael SAMBY" w:date="2026-07-17T13:16:00Z">
            <w:rPr/>
          </w:rPrChange>
        </w:rPr>
        <w:pPrChange w:id="94" w:author="Ismael SAMBY" w:date="2026-07-17T13:16:00Z">
          <w:pPr>
            <w:pStyle w:val="font-claude-response-body"/>
            <w:numPr>
              <w:numId w:val="16"/>
            </w:numPr>
            <w:tabs>
              <w:tab w:val="num" w:pos="720"/>
            </w:tabs>
            <w:ind w:left="720" w:hanging="360"/>
          </w:pPr>
        </w:pPrChange>
      </w:pPr>
      <w:r>
        <w:rPr>
          <w:rFonts w:ascii="Arial" w:hAnsi="Arial" w:cs="Arial"/>
          <w:kern w:val="0"/>
          <w:sz w:val="21"/>
          <w:szCs w:val="21"/>
          <w:lang w:val="fr-FR" w:eastAsia="fr-FR"/>
          <w:rPrChange w:id="96" w:author="Ismael SAMBY" w:date="2026-07-17T13:16:00Z">
            <w:rPr/>
          </w:rPrChange>
        </w:rPr>
        <w:t>Les inventaires et relevés biophysiques de terrain réalisés par OKAPI dans le cadre de la présente étude (2025-2026), portant sur la caractérisation des écosystèmes de la zone d'étude (mangroves, savanes, forêts-galeries, zones humides, cours d'eau, bas-fonds agricoles) ;</w:t>
      </w:r>
    </w:p>
    <w:p w14:paraId="431F0B28" w14:textId="77777777" w:rsidR="00C93A69" w:rsidRPr="00C93A69" w:rsidRDefault="00C93A69" w:rsidP="00C93A69">
      <w:pPr>
        <w:pStyle w:val="Paragraphedeliste"/>
        <w:numPr>
          <w:ilvl w:val="0"/>
          <w:numId w:val="17"/>
        </w:numPr>
        <w:spacing w:after="0" w:line="276" w:lineRule="auto"/>
        <w:jc w:val="both"/>
        <w:rPr>
          <w:rFonts w:ascii="Arial" w:hAnsi="Arial" w:cs="Arial"/>
          <w:kern w:val="0"/>
          <w:sz w:val="21"/>
          <w:szCs w:val="21"/>
          <w:lang w:val="fr-FR" w:eastAsia="fr-FR"/>
          <w:rPrChange w:id="98" w:author="Ismael SAMBY" w:date="2026-07-17T13:16:00Z">
            <w:rPr/>
          </w:rPrChange>
        </w:rPr>
        <w:pPrChange w:id="100" w:author="Ismael SAMBY" w:date="2026-07-17T13:16:00Z">
          <w:pPr>
            <w:pStyle w:val="font-claude-response-body"/>
            <w:numPr>
              <w:numId w:val="16"/>
            </w:numPr>
            <w:tabs>
              <w:tab w:val="num" w:pos="720"/>
            </w:tabs>
            <w:ind w:left="720" w:hanging="360"/>
          </w:pPr>
        </w:pPrChange>
      </w:pPr>
      <w:r>
        <w:rPr>
          <w:rFonts w:ascii="Arial" w:hAnsi="Arial" w:cs="Arial"/>
          <w:kern w:val="0"/>
          <w:sz w:val="21"/>
          <w:szCs w:val="21"/>
          <w:lang w:val="fr-FR" w:eastAsia="fr-FR"/>
          <w:rPrChange w:id="102" w:author="Ismael SAMBY" w:date="2026-07-17T13:16:00Z">
            <w:rPr/>
          </w:rPrChange>
        </w:rPr>
        <w:t>Les enquêtes socio-économiques menées auprès des ménages et des communautés riveraines, incluant les données relatives aux moyens de subsistance, aux pratiques agricoles, halieutiques et de cueillette, ainsi qu'au patrimoine culturel ;</w:t>
      </w:r>
    </w:p>
    <w:p w14:paraId="18FBD307" w14:textId="4A977405" w:rsidR="00C93A69" w:rsidRDefault="00C93A69" w:rsidP="00C93A69">
      <w:pPr>
        <w:pStyle w:val="Paragraphedeliste"/>
        <w:numPr>
          <w:ilvl w:val="0"/>
          <w:numId w:val="17"/>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Change w:id="105" w:author="Ismael SAMBY" w:date="2026-07-17T13:16:00Z">
            <w:rPr/>
          </w:rPrChange>
        </w:rPr>
        <w:t>Les données secondaires disponibles issues des Études d'Impact Environnemental et Social des projets tiers présents dans la même zone d'influence régionale (AMC Cargo Port, AMC Bauxite Port et AMC Railway), utilisées à titre complémentaire pour contextualiser certains constats, notamment sur les activités de pêche partagées avec les communautés côtières concernées par ces projets.</w:t>
      </w:r>
    </w:p>
    <w:p w14:paraId="2F4AB304" w14:textId="77777777" w:rsidR="00C93A69" w:rsidRPr="00C93A69" w:rsidRDefault="00C93A69" w:rsidP="00C93A69">
      <w:pPr>
        <w:pStyle w:val="Paragraphedeliste"/>
        <w:spacing w:after="0" w:line="276" w:lineRule="auto"/>
        <w:jc w:val="both"/>
        <w:rPr>
          <w:rFonts w:ascii="Arial" w:hAnsi="Arial" w:cs="Arial"/>
          <w:kern w:val="0"/>
          <w:sz w:val="21"/>
          <w:szCs w:val="21"/>
          <w:lang w:val="fr-FR" w:eastAsia="fr-FR"/>
          <w:rPrChange w:id="107" w:author="Ismael SAMBY" w:date="2026-07-17T13:16:00Z">
            <w:rPr/>
          </w:rPrChange>
        </w:rPr>
        <w:pPrChange w:id="109" w:author="Ismael SAMBY" w:date="2026-07-17T13:16:00Z">
          <w:pPr>
            <w:pStyle w:val="font-claude-response-body"/>
            <w:numPr>
              <w:numId w:val="16"/>
            </w:numPr>
            <w:tabs>
              <w:tab w:val="num" w:pos="720"/>
            </w:tabs>
            <w:ind w:left="720" w:hanging="360"/>
          </w:pPr>
        </w:pPrChange>
      </w:pPr>
    </w:p>
    <w:p w14:paraId="0FDB70B0" w14:textId="65BA19B1" w:rsidR="00C93A69" w:rsidRPr="00C93A69" w:rsidRDefault="00C93A69" w:rsidP="00C93A69">
      <w:pPr>
        <w:spacing w:after="0" w:line="276" w:lineRule="auto"/>
        <w:jc w:val="both"/>
        <w:rPr>
          <w:rFonts w:ascii="Arial" w:hAnsi="Arial" w:cs="Arial"/>
          <w:kern w:val="0"/>
          <w:sz w:val="21"/>
          <w:szCs w:val="21"/>
          <w:lang w:val="fr-FR" w:eastAsia="fr-FR"/>
          <w:rPrChange w:id="111" w:author="Ismael SAMBY" w:date="2026-07-17T13:14:00Z">
            <w:rPr/>
          </w:rPrChange>
        </w:rPr>
        <w:pPrChange w:id="113" w:author="Ismael SAMBY" w:date="2026-07-17T13:14:00Z">
          <w:pPr>
            <w:pStyle w:val="font-claude-response-body"/>
          </w:pPr>
        </w:pPrChange>
      </w:pPr>
      <w:r>
        <w:rPr>
          <w:rFonts w:ascii="Arial" w:hAnsi="Arial" w:cs="Arial"/>
          <w:kern w:val="0"/>
          <w:sz w:val="21"/>
          <w:szCs w:val="21"/>
          <w:lang w:val="fr-FR" w:eastAsia="fr-FR"/>
          <w:rPrChange w:id="115" w:author="Ismael SAMBY" w:date="2026-07-17T13:14:00Z">
            <w:rPr/>
          </w:rPrChange>
        </w:rPr>
        <w:t xml:space="preserve">Pour chaque service écosystémique identifié, l'évaluation d'impact distingue la phase de construction et la phase d'exploitation du Projet, et qualifie le niveau d'impact (mineur, moyen, majeur) sur la base de la sensibilité du service, de l'ampleur de la perturbation anticipée et du degré </w:t>
      </w:r>
      <w:r>
        <w:rPr>
          <w:rFonts w:ascii="Arial" w:hAnsi="Arial" w:cs="Arial"/>
          <w:kern w:val="0"/>
          <w:sz w:val="21"/>
          <w:szCs w:val="21"/>
          <w:lang w:val="fr-FR" w:eastAsia="fr-FR"/>
          <w:rPrChange w:id="116" w:author="Ismael SAMBY" w:date="2026-07-17T13:14:00Z">
            <w:rPr/>
          </w:rPrChange>
        </w:rPr>
        <w:lastRenderedPageBreak/>
        <w:t>de dépendance des communautés locales vis-à-vis de ce service. Les mesures d'atténuation correspondantes sont développées dans le Plan de Gestion Environnementale et Sociale (PGES) et, dans le Plan d'Action de Réinstallation / Plan de Restauration des Moyens de Subsistance (PAR/PRMS).</w:t>
      </w:r>
    </w:p>
    <w:p w14:paraId="46DDE86D" w14:textId="77777777" w:rsidR="00C93A69" w:rsidRDefault="00C93A69">
      <w:pPr>
        <w:spacing w:line="276" w:lineRule="auto"/>
        <w:jc w:val="both"/>
        <w:rPr>
          <w:rFonts w:ascii="Arial" w:eastAsia="SimSun" w:hAnsi="Arial" w:cs="Arial"/>
          <w:kern w:val="0"/>
          <w:lang w:val="fr-FR" w:eastAsia="zh-CN"/>
        </w:rPr>
      </w:pPr>
    </w:p>
    <w:p w14:paraId="506122DE" w14:textId="77777777" w:rsidR="006A74CD" w:rsidRDefault="007561DE">
      <w:pPr>
        <w:keepNext/>
        <w:keepLines/>
        <w:numPr>
          <w:ilvl w:val="1"/>
          <w:numId w:val="8"/>
        </w:numPr>
        <w:spacing w:after="0" w:line="276" w:lineRule="auto"/>
        <w:ind w:left="0" w:firstLine="0"/>
        <w:jc w:val="both"/>
        <w:rPr>
          <w:rFonts w:ascii="Arial" w:eastAsia="Times New Roman" w:hAnsi="Arial" w:cs="Arial"/>
          <w:b/>
          <w:bCs/>
          <w:sz w:val="21"/>
          <w:szCs w:val="21"/>
          <w:lang w:val="fr-FR"/>
        </w:rPr>
      </w:pPr>
      <w:bookmarkStart w:id="117" w:name="_Toc194299105"/>
      <w:bookmarkStart w:id="118" w:name="_Ref191632812"/>
      <w:bookmarkStart w:id="119" w:name="_Toc191545607"/>
      <w:bookmarkStart w:id="120" w:name="_Toc184282094"/>
      <w:bookmarkStart w:id="121" w:name="_Toc210821895"/>
      <w:bookmarkStart w:id="122" w:name="_Toc210994984"/>
      <w:bookmarkStart w:id="123" w:name="_Toc222731512"/>
      <w:r>
        <w:rPr>
          <w:rFonts w:ascii="Arial" w:eastAsia="Times New Roman" w:hAnsi="Arial" w:cs="Arial"/>
          <w:b/>
          <w:bCs/>
          <w:sz w:val="21"/>
          <w:szCs w:val="21"/>
          <w:lang w:val="fr-FR"/>
        </w:rPr>
        <w:t>Services Ecosystémiques</w:t>
      </w:r>
      <w:bookmarkEnd w:id="117"/>
      <w:bookmarkEnd w:id="118"/>
      <w:bookmarkEnd w:id="119"/>
      <w:bookmarkEnd w:id="120"/>
      <w:bookmarkEnd w:id="121"/>
      <w:bookmarkEnd w:id="122"/>
      <w:bookmarkEnd w:id="123"/>
    </w:p>
    <w:p w14:paraId="39837724" w14:textId="77777777" w:rsidR="006A74CD" w:rsidRDefault="006A74CD">
      <w:pPr>
        <w:spacing w:after="0" w:line="240" w:lineRule="auto"/>
        <w:rPr>
          <w:rFonts w:eastAsia="SimSun"/>
          <w:kern w:val="0"/>
          <w:lang w:val="fr-FR" w:eastAsia="fr-FR"/>
        </w:rPr>
      </w:pPr>
    </w:p>
    <w:p w14:paraId="037E676A"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Cette section vise à identifier et à évaluer les impacts potentiels du projet de WCAG sur les services écosystémiques présents dans la zone d’étude, conformément au cadre de l’Évaluation des Écosystèmes pour le Millénaire (EEM) </w:t>
      </w:r>
    </w:p>
    <w:p w14:paraId="2351FDFD" w14:textId="77777777" w:rsidR="006A74CD" w:rsidRDefault="006A74CD">
      <w:pPr>
        <w:spacing w:after="0" w:line="276" w:lineRule="auto"/>
        <w:jc w:val="both"/>
        <w:rPr>
          <w:rFonts w:ascii="Arial" w:hAnsi="Arial" w:cs="Arial"/>
          <w:kern w:val="0"/>
          <w:sz w:val="21"/>
          <w:szCs w:val="21"/>
          <w:lang w:val="fr-FR" w:eastAsia="fr-FR"/>
        </w:rPr>
      </w:pPr>
    </w:p>
    <w:p w14:paraId="1B899A65"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écosystèmes présents dans la zone du Projet (savanes, forêts-galeries, zones humides, cours d’eau, bas-fonds agricoles) assurent des fonctions essentielles de subsistance, de régulation environnementale et de soutien aux activités socio-économiques locales. Le caractère complexe du projet, la diversité des installations constituent les principaux facteurs d’interaction avec ces services.</w:t>
      </w:r>
    </w:p>
    <w:p w14:paraId="08F4D31C" w14:textId="77777777" w:rsidR="006A74CD" w:rsidRDefault="006A74CD">
      <w:pPr>
        <w:spacing w:after="0" w:line="276" w:lineRule="auto"/>
        <w:jc w:val="both"/>
        <w:rPr>
          <w:rFonts w:ascii="Arial" w:hAnsi="Arial" w:cs="Arial"/>
          <w:kern w:val="0"/>
          <w:sz w:val="21"/>
          <w:szCs w:val="21"/>
          <w:lang w:val="fr-FR" w:eastAsia="fr-FR"/>
        </w:rPr>
      </w:pPr>
    </w:p>
    <w:p w14:paraId="3353986A"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écosystèmes présents dans la zone du Projet fournissent des services relevant des quatre grandes catégories reconnues par le EEM établi en 2005. </w:t>
      </w:r>
    </w:p>
    <w:p w14:paraId="290AD9AD" w14:textId="77777777" w:rsidR="006A74CD" w:rsidRDefault="006A74CD">
      <w:pPr>
        <w:spacing w:after="0" w:line="276" w:lineRule="auto"/>
        <w:jc w:val="both"/>
        <w:rPr>
          <w:rFonts w:ascii="Arial" w:hAnsi="Arial" w:cs="Arial"/>
          <w:kern w:val="0"/>
          <w:sz w:val="21"/>
          <w:szCs w:val="21"/>
          <w:lang w:val="fr-FR" w:eastAsia="fr-FR"/>
        </w:rPr>
      </w:pPr>
    </w:p>
    <w:p w14:paraId="204D7A0C" w14:textId="77777777" w:rsidR="006A74CD" w:rsidRDefault="007561DE">
      <w:pPr>
        <w:numPr>
          <w:ilvl w:val="0"/>
          <w:numId w:val="9"/>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services d’approvisionnement, qui regroupent tous les biens produits par les écosystèmes (nourriture, bois de chauffage, etc.) ;</w:t>
      </w:r>
    </w:p>
    <w:p w14:paraId="574FDAAD" w14:textId="77777777" w:rsidR="006A74CD" w:rsidRDefault="007561DE">
      <w:pPr>
        <w:numPr>
          <w:ilvl w:val="0"/>
          <w:numId w:val="9"/>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services culturels, qui correspondent aux bénéfices inspirés de la nature comme les loisirs, l’inspiration artistique ou religieuse, les innovations scientifiques ;</w:t>
      </w:r>
    </w:p>
    <w:p w14:paraId="2D850128" w14:textId="77777777" w:rsidR="006A74CD" w:rsidRDefault="007561DE">
      <w:pPr>
        <w:numPr>
          <w:ilvl w:val="0"/>
          <w:numId w:val="9"/>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services de régulation, qui participent à la régulation des conditions environnementales comme le climat (stockage de carbone, effet de la végétation sur les précipitations, etc.), les inondations, les maladies ou encore la détoxification ;</w:t>
      </w:r>
    </w:p>
    <w:p w14:paraId="628A1AFE" w14:textId="77777777" w:rsidR="006A74CD" w:rsidRDefault="007561DE">
      <w:pPr>
        <w:numPr>
          <w:ilvl w:val="0"/>
          <w:numId w:val="9"/>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services de support (nommés aussi « maintien »), qui regroupent toutes les propriétés écosystémiques permettant la réalisation des trois autres catégories de services, comme la pollinisation, le recyclage des nutriments (organismes détritivores, associations symbiotiques entre plantes et bactéries fixatrices d’azote, ou entre plantes et champignons mycorhiziens…) ou la formation des sols. </w:t>
      </w:r>
    </w:p>
    <w:p w14:paraId="673A7CB4" w14:textId="77777777" w:rsidR="006A74CD" w:rsidRDefault="006A74CD">
      <w:pPr>
        <w:spacing w:after="0" w:line="276" w:lineRule="auto"/>
        <w:jc w:val="both"/>
        <w:rPr>
          <w:rFonts w:ascii="Arial" w:hAnsi="Arial" w:cs="Arial"/>
          <w:kern w:val="0"/>
          <w:sz w:val="21"/>
          <w:szCs w:val="21"/>
          <w:lang w:val="fr-FR" w:eastAsia="fr-FR"/>
        </w:rPr>
      </w:pPr>
    </w:p>
    <w:p w14:paraId="49CEFDF3" w14:textId="77777777" w:rsidR="006A74CD" w:rsidRDefault="006A74CD">
      <w:pPr>
        <w:spacing w:after="0" w:line="276" w:lineRule="auto"/>
        <w:jc w:val="both"/>
        <w:rPr>
          <w:rFonts w:ascii="Arial" w:hAnsi="Arial" w:cs="Arial"/>
          <w:kern w:val="0"/>
          <w:sz w:val="21"/>
          <w:szCs w:val="21"/>
          <w:lang w:val="fr-FR" w:eastAsia="fr-FR"/>
        </w:rPr>
      </w:pPr>
    </w:p>
    <w:p w14:paraId="24F13715"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24" w:name="_Toc222731513"/>
      <w:r>
        <w:rPr>
          <w:rFonts w:ascii="Arial" w:eastAsia="Times New Roman" w:hAnsi="Arial" w:cs="Arial"/>
          <w:b/>
          <w:bCs/>
          <w:sz w:val="21"/>
          <w:szCs w:val="21"/>
          <w:lang w:val="fr-FR"/>
        </w:rPr>
        <w:t>Services d’approvisionnement</w:t>
      </w:r>
      <w:bookmarkEnd w:id="124"/>
    </w:p>
    <w:p w14:paraId="54DAF85E" w14:textId="77777777" w:rsidR="006A74CD" w:rsidRDefault="006A74CD">
      <w:pPr>
        <w:spacing w:after="0" w:line="276" w:lineRule="auto"/>
        <w:jc w:val="both"/>
        <w:rPr>
          <w:rFonts w:ascii="Arial" w:hAnsi="Arial" w:cs="Arial"/>
          <w:kern w:val="0"/>
          <w:sz w:val="21"/>
          <w:szCs w:val="21"/>
          <w:lang w:val="fr-FR" w:eastAsia="fr-FR"/>
        </w:rPr>
      </w:pPr>
    </w:p>
    <w:p w14:paraId="6F7722E2"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Du point de vue des services d'approvisionnement et de fourniture, les communautés riveraines obtiennent directement de leur environnement la majeure partie de leurs ressources vitales. L’agriculture de subsistance (riz, manioc, maïs, arachide) conserve une position prépondérante, l’élevage extensif, la pêche artisanale ainsi que la chasse viennent compléter l’alimentation des ménages et contribuent à renforcer leur sécurité alimentaire. </w:t>
      </w:r>
    </w:p>
    <w:p w14:paraId="48823827" w14:textId="77777777" w:rsidR="006A74CD" w:rsidRDefault="006A74CD">
      <w:pPr>
        <w:spacing w:after="0" w:line="276" w:lineRule="auto"/>
        <w:jc w:val="both"/>
        <w:rPr>
          <w:rFonts w:ascii="Arial" w:hAnsi="Arial" w:cs="Arial"/>
          <w:kern w:val="0"/>
          <w:sz w:val="21"/>
          <w:szCs w:val="21"/>
          <w:lang w:val="fr-FR" w:eastAsia="fr-FR"/>
        </w:rPr>
      </w:pPr>
    </w:p>
    <w:p w14:paraId="46B11A57"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travaux de construction de la raffinerie et ses installations auxiliaires sont susceptibles de restreindre l’accès à ces ressources, de réduire temporairement ou définitivement certaines surfaces productives et d’affecter les revenus et la sécurité alimentaire des ménages concernés.</w:t>
      </w:r>
    </w:p>
    <w:p w14:paraId="134C6435" w14:textId="77777777" w:rsidR="006A74CD" w:rsidRDefault="006A74CD">
      <w:pPr>
        <w:spacing w:after="0" w:line="276" w:lineRule="auto"/>
        <w:jc w:val="both"/>
        <w:rPr>
          <w:rFonts w:ascii="Arial" w:hAnsi="Arial" w:cs="Arial"/>
          <w:kern w:val="0"/>
          <w:sz w:val="21"/>
          <w:szCs w:val="21"/>
          <w:lang w:val="fr-FR" w:eastAsia="fr-FR"/>
        </w:rPr>
      </w:pPr>
    </w:p>
    <w:p w14:paraId="74AD0E9B"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25" w:name="_Toc222731514"/>
      <w:r>
        <w:rPr>
          <w:rFonts w:ascii="Arial" w:eastAsia="Times New Roman" w:hAnsi="Arial" w:cs="Arial"/>
          <w:b/>
          <w:bCs/>
          <w:sz w:val="21"/>
          <w:szCs w:val="21"/>
          <w:lang w:val="fr-FR"/>
        </w:rPr>
        <w:t>Services de régulation</w:t>
      </w:r>
      <w:bookmarkEnd w:id="125"/>
    </w:p>
    <w:p w14:paraId="2E1649D8" w14:textId="77777777" w:rsidR="006A74CD" w:rsidRDefault="006A74CD">
      <w:pPr>
        <w:spacing w:after="0" w:line="276" w:lineRule="auto"/>
        <w:jc w:val="both"/>
        <w:rPr>
          <w:rFonts w:ascii="Arial" w:hAnsi="Arial" w:cs="Arial"/>
          <w:kern w:val="0"/>
          <w:sz w:val="21"/>
          <w:szCs w:val="21"/>
          <w:lang w:val="fr-FR" w:eastAsia="fr-FR"/>
        </w:rPr>
      </w:pPr>
    </w:p>
    <w:p w14:paraId="281BAEEC"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lastRenderedPageBreak/>
        <w:t xml:space="preserve">Les écosystèmes présents dans la zone du projet assurent des fonctions essentielles de régulation environnementale. </w:t>
      </w:r>
    </w:p>
    <w:p w14:paraId="49126A34" w14:textId="77777777" w:rsidR="006A74CD" w:rsidRDefault="006A74CD">
      <w:pPr>
        <w:spacing w:after="0" w:line="276" w:lineRule="auto"/>
        <w:jc w:val="both"/>
        <w:rPr>
          <w:rFonts w:ascii="Arial" w:hAnsi="Arial" w:cs="Arial"/>
          <w:kern w:val="0"/>
          <w:sz w:val="21"/>
          <w:szCs w:val="21"/>
          <w:lang w:val="fr-FR" w:eastAsia="fr-FR"/>
        </w:rPr>
      </w:pPr>
    </w:p>
    <w:p w14:paraId="628117E4"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mangroves forêts-galeries, zones humides et plaines inondables jouent un rôle majeur dans la régulation hydrologique, en favorisant l’infiltration des eaux, la recharge des nappes et l’atténuation des crues saisonnières. Ces fonctions sont particulièrement sensibles aux travaux de terrassement, à la construction des remblais, des ponts et des dalots, ainsi qu’à la modification des écoulements naturels. </w:t>
      </w:r>
    </w:p>
    <w:p w14:paraId="0D7E7F37" w14:textId="77777777" w:rsidR="006A74CD" w:rsidRDefault="006A74CD">
      <w:pPr>
        <w:spacing w:after="0" w:line="276" w:lineRule="auto"/>
        <w:jc w:val="both"/>
        <w:rPr>
          <w:rFonts w:ascii="Arial" w:hAnsi="Arial" w:cs="Arial"/>
          <w:kern w:val="0"/>
          <w:sz w:val="21"/>
          <w:szCs w:val="21"/>
          <w:lang w:val="fr-FR" w:eastAsia="fr-FR"/>
        </w:rPr>
      </w:pPr>
    </w:p>
    <w:p w14:paraId="48E31E59" w14:textId="287172B0" w:rsidR="006A74CD" w:rsidRDefault="007561DE">
      <w:pPr>
        <w:spacing w:after="0" w:line="276" w:lineRule="auto"/>
        <w:jc w:val="both"/>
      </w:pPr>
      <w:r>
        <w:rPr>
          <w:rFonts w:ascii="Arial" w:hAnsi="Arial" w:cs="Arial"/>
          <w:kern w:val="0"/>
          <w:sz w:val="21"/>
          <w:szCs w:val="21"/>
          <w:lang w:val="fr-FR" w:eastAsia="fr-FR"/>
        </w:rPr>
        <w:t xml:space="preserve">De plus, une partie du paysage est composé de mangroves. Les mangroves, habitat naturel (potentiellement critique) et puits de carbone bleu protégé par la Convention de Ramsar, appellent une exigence de perte nette nulle (voire de gain net) et un Plan d’action biodiversité au titre de la NP 6 de la SFI ; elles assurent une fonction protectrice contre l’érosion des côtes et accumulent d’importantes réserves de carbone, participant ainsi à la mitigation des changements climatiques. Les savanes ainsi que les forêts-galeries contribuent à la régulation hydrologique en assurant le maintien de la qualité et de la disponibilité des eaux superficielles et souterraines. La disparition ou la détérioration de ces habitats entraînerait une diminution de ces services, augmentant ainsi la vulnérabilité des villages communautés aux inondations, à l’érosion et aux sécheresses (</w:t>
      </w:r>
      <w:r>
        <w:rPr>
          <w:rFonts w:ascii="Arial" w:hAnsi="Arial" w:cs="Arial"/>
          <w:i/>
          <w:iCs/>
          <w:kern w:val="0"/>
          <w:sz w:val="21"/>
          <w:szCs w:val="21"/>
          <w:lang w:val="fr-FR" w:eastAsia="fr-FR"/>
        </w:rPr>
        <w:t xml:space="preserve">OKAPI, 2025 et 2026 : données recueillies pendant cette étude WCAG et complété ar les données de l’EIES de AMC CARGO PORT, AMC BAUXITE PORT et AMC RAILWAY).</w:t>
      </w:r>
      <w:r>
        <w:rPr>
          <w:rFonts w:ascii="Arial" w:hAnsi="Arial" w:cs="Arial"/>
          <w:kern w:val="0"/>
          <w:sz w:val="21"/>
          <w:szCs w:val="21"/>
          <w:lang w:val="fr-FR" w:eastAsia="fr-FR"/>
        </w:rPr>
        <w:t>).</w:t>
      </w:r>
    </w:p>
    <w:p w14:paraId="4C100D1B" w14:textId="77777777" w:rsidR="006A74CD" w:rsidRDefault="006A74CD">
      <w:pPr>
        <w:spacing w:after="0" w:line="276" w:lineRule="auto"/>
        <w:jc w:val="both"/>
        <w:rPr>
          <w:rFonts w:ascii="Arial" w:hAnsi="Arial" w:cs="Arial"/>
          <w:color w:val="EE0000"/>
          <w:kern w:val="0"/>
          <w:sz w:val="21"/>
          <w:szCs w:val="21"/>
          <w:lang w:val="fr-FR" w:eastAsia="fr-FR"/>
        </w:rPr>
      </w:pPr>
    </w:p>
    <w:p w14:paraId="1ED3974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formations végétales assurent également une fonction de régulation climatique, par le stockage du carbone et la modération des microclimats locaux. Bien que les surfaces affectées par le projet restent limitées à l’échelle régionale, leur fragmentation pourrait réduire localement ces fonctions.</w:t>
      </w:r>
    </w:p>
    <w:p w14:paraId="366064A7" w14:textId="77777777" w:rsidR="006A74CD" w:rsidRDefault="006A74CD">
      <w:pPr>
        <w:spacing w:after="0" w:line="276" w:lineRule="auto"/>
        <w:jc w:val="both"/>
        <w:rPr>
          <w:rFonts w:ascii="Arial" w:hAnsi="Arial" w:cs="Arial"/>
          <w:kern w:val="0"/>
          <w:sz w:val="21"/>
          <w:szCs w:val="21"/>
          <w:lang w:val="fr-FR" w:eastAsia="fr-FR"/>
        </w:rPr>
      </w:pPr>
    </w:p>
    <w:p w14:paraId="2B0221ED" w14:textId="77777777" w:rsidR="006A74CD" w:rsidRDefault="007561DE">
      <w:pPr>
        <w:spacing w:after="0" w:line="276" w:lineRule="auto"/>
        <w:jc w:val="both"/>
      </w:pPr>
      <w:r>
        <w:rPr>
          <w:rFonts w:ascii="Arial" w:hAnsi="Arial" w:cs="Arial"/>
          <w:kern w:val="0"/>
          <w:sz w:val="21"/>
          <w:szCs w:val="21"/>
          <w:lang w:val="fr-FR" w:eastAsia="fr-FR"/>
        </w:rPr>
        <w:t>Enfin, les écosystèmes riverains jouent un rôle clé dans le maintien de la qualité de l’eau, en filtrant naturellement les sédiments et certains polluants. Toute altération de ces milieux pourrait se traduire par une dégradation des ressources en eau utilisées par les communautés</w:t>
      </w:r>
      <w:r>
        <w:rPr>
          <w:rFonts w:ascii="Times New Roman" w:eastAsia="Times New Roman" w:hAnsi="Times New Roman"/>
          <w:kern w:val="0"/>
          <w:sz w:val="24"/>
          <w:szCs w:val="24"/>
          <w:lang w:val="fr-FR" w:eastAsia="fr-FR"/>
        </w:rPr>
        <w:t>.</w:t>
      </w:r>
    </w:p>
    <w:p w14:paraId="0BDC50FA" w14:textId="77777777" w:rsidR="006A74CD" w:rsidRDefault="006A74CD">
      <w:pPr>
        <w:spacing w:after="0" w:line="276" w:lineRule="auto"/>
        <w:jc w:val="both"/>
        <w:rPr>
          <w:rFonts w:ascii="Times New Roman" w:eastAsia="Times New Roman" w:hAnsi="Times New Roman"/>
          <w:kern w:val="0"/>
          <w:sz w:val="24"/>
          <w:szCs w:val="24"/>
          <w:lang w:val="fr-FR" w:eastAsia="fr-FR"/>
        </w:rPr>
      </w:pPr>
    </w:p>
    <w:p w14:paraId="1E1B2C10" w14:textId="77777777" w:rsidR="006A74CD" w:rsidRDefault="006A74CD">
      <w:pPr>
        <w:spacing w:after="0" w:line="276" w:lineRule="auto"/>
        <w:jc w:val="both"/>
        <w:rPr>
          <w:rFonts w:ascii="Times New Roman" w:eastAsia="Times New Roman" w:hAnsi="Times New Roman"/>
          <w:kern w:val="0"/>
          <w:sz w:val="24"/>
          <w:szCs w:val="24"/>
          <w:lang w:val="fr-FR" w:eastAsia="fr-FR"/>
        </w:rPr>
      </w:pPr>
    </w:p>
    <w:p w14:paraId="13761FDB" w14:textId="77777777" w:rsidR="006A74CD" w:rsidRDefault="006A74CD">
      <w:pPr>
        <w:spacing w:after="0" w:line="276" w:lineRule="auto"/>
        <w:jc w:val="both"/>
        <w:rPr>
          <w:rFonts w:ascii="Times New Roman" w:eastAsia="Times New Roman" w:hAnsi="Times New Roman"/>
          <w:kern w:val="0"/>
          <w:sz w:val="24"/>
          <w:szCs w:val="24"/>
          <w:lang w:val="fr-FR" w:eastAsia="fr-FR"/>
        </w:rPr>
      </w:pPr>
    </w:p>
    <w:p w14:paraId="35B0D752"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29" w:name="_Toc222731515"/>
      <w:r>
        <w:rPr>
          <w:rFonts w:ascii="Arial" w:eastAsia="Times New Roman" w:hAnsi="Arial" w:cs="Arial"/>
          <w:b/>
          <w:bCs/>
          <w:sz w:val="21"/>
          <w:szCs w:val="21"/>
          <w:lang w:val="fr-FR"/>
        </w:rPr>
        <w:t>Services culturels</w:t>
      </w:r>
      <w:bookmarkEnd w:id="129"/>
    </w:p>
    <w:p w14:paraId="5C41388F" w14:textId="77777777" w:rsidR="006A74CD" w:rsidRDefault="006A74CD">
      <w:pPr>
        <w:spacing w:after="0" w:line="276" w:lineRule="auto"/>
        <w:jc w:val="both"/>
        <w:rPr>
          <w:rFonts w:ascii="Arial" w:hAnsi="Arial" w:cs="Arial"/>
          <w:kern w:val="0"/>
          <w:sz w:val="21"/>
          <w:szCs w:val="21"/>
          <w:lang w:val="fr-FR" w:eastAsia="fr-FR"/>
        </w:rPr>
      </w:pPr>
    </w:p>
    <w:p w14:paraId="4D23A2A3"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services culturels fournis par les écosystèmes locaux sont étroitement liés aux pratiques sociales et aux savoirs endogènes des communautés riveraines. Certains sites constituent des repères identitaires et sont associés à des rites, des croyances ou des usages coutumiers, même si leur importance tend à diminuer au profit de pratiques religieuses monothéiste (Islam et christianisme).</w:t>
      </w:r>
    </w:p>
    <w:p w14:paraId="6B231523" w14:textId="77777777" w:rsidR="006A74CD" w:rsidRDefault="006A74CD">
      <w:pPr>
        <w:spacing w:after="0" w:line="276" w:lineRule="auto"/>
        <w:jc w:val="both"/>
        <w:rPr>
          <w:rFonts w:ascii="Arial" w:hAnsi="Arial" w:cs="Arial"/>
          <w:kern w:val="0"/>
          <w:sz w:val="21"/>
          <w:szCs w:val="21"/>
          <w:lang w:val="fr-FR" w:eastAsia="fr-FR"/>
        </w:rPr>
      </w:pPr>
    </w:p>
    <w:p w14:paraId="3BEEDC52"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 paysage rural de la zone d’étude contribue également à la transmission des connaissances traditionnelles en matière d’agriculture, d’élevage, de pêche et de gestion des ressources naturelles. La modification du paysage induite par la construction de la raffinerie d’alumine et de ses installations associées pourraient affecter ces valeurs immatérielles et le lien culturel entre les populations et leur environnement. </w:t>
      </w:r>
    </w:p>
    <w:p w14:paraId="55871253" w14:textId="77777777" w:rsidR="006A74CD" w:rsidRDefault="006A74CD">
      <w:pPr>
        <w:spacing w:after="0" w:line="276" w:lineRule="auto"/>
        <w:jc w:val="both"/>
        <w:rPr>
          <w:rFonts w:ascii="Arial" w:hAnsi="Arial" w:cs="Arial"/>
          <w:kern w:val="0"/>
          <w:sz w:val="21"/>
          <w:szCs w:val="21"/>
          <w:lang w:val="fr-FR" w:eastAsia="fr-FR"/>
        </w:rPr>
      </w:pPr>
    </w:p>
    <w:p w14:paraId="39D6E081"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30" w:name="_Toc222731516"/>
      <w:r>
        <w:rPr>
          <w:rFonts w:ascii="Arial" w:eastAsia="Times New Roman" w:hAnsi="Arial" w:cs="Arial"/>
          <w:b/>
          <w:bCs/>
          <w:sz w:val="21"/>
          <w:szCs w:val="21"/>
          <w:lang w:val="fr-FR"/>
        </w:rPr>
        <w:t>Services de soutien</w:t>
      </w:r>
      <w:bookmarkEnd w:id="130"/>
    </w:p>
    <w:p w14:paraId="036F935A" w14:textId="77777777" w:rsidR="006A74CD" w:rsidRDefault="006A74CD">
      <w:pPr>
        <w:spacing w:after="0" w:line="276" w:lineRule="auto"/>
        <w:jc w:val="both"/>
        <w:rPr>
          <w:rFonts w:ascii="Arial" w:hAnsi="Arial" w:cs="Arial"/>
          <w:kern w:val="0"/>
          <w:sz w:val="21"/>
          <w:szCs w:val="21"/>
          <w:lang w:val="fr-FR" w:eastAsia="fr-FR"/>
        </w:rPr>
      </w:pPr>
    </w:p>
    <w:p w14:paraId="6A74990B" w14:textId="77777777" w:rsidR="006A74CD" w:rsidRDefault="007561DE">
      <w:pPr>
        <w:spacing w:after="0" w:line="276" w:lineRule="auto"/>
        <w:jc w:val="both"/>
      </w:pPr>
      <w:r>
        <w:rPr>
          <w:rFonts w:ascii="Arial" w:hAnsi="Arial" w:cs="Arial"/>
          <w:kern w:val="0"/>
          <w:sz w:val="21"/>
          <w:szCs w:val="21"/>
          <w:lang w:val="fr-FR" w:eastAsia="fr-FR"/>
        </w:rPr>
        <w:t>Les services de soutien regroupent les fonctions écologiques fondamentales nécessaires au maintien des autres services écosystémiques. Ils comprennent notamment</w:t>
      </w:r>
      <w:r>
        <w:rPr>
          <w:rFonts w:ascii="Times New Roman" w:eastAsia="Times New Roman" w:hAnsi="Times New Roman"/>
          <w:kern w:val="0"/>
          <w:sz w:val="24"/>
          <w:szCs w:val="24"/>
          <w:lang w:val="fr-FR" w:eastAsia="fr-FR"/>
        </w:rPr>
        <w:t xml:space="preserve"> :</w:t>
      </w:r>
    </w:p>
    <w:p w14:paraId="1620216D" w14:textId="77777777" w:rsidR="006A74CD" w:rsidRDefault="006A74CD">
      <w:pPr>
        <w:spacing w:after="0" w:line="276" w:lineRule="auto"/>
        <w:jc w:val="both"/>
        <w:rPr>
          <w:rFonts w:ascii="Times New Roman" w:eastAsia="Times New Roman" w:hAnsi="Times New Roman"/>
          <w:kern w:val="0"/>
          <w:sz w:val="24"/>
          <w:szCs w:val="24"/>
          <w:lang w:val="fr-FR" w:eastAsia="fr-FR"/>
        </w:rPr>
      </w:pPr>
    </w:p>
    <w:p w14:paraId="69AF11AF" w14:textId="77777777" w:rsidR="006A74CD" w:rsidRDefault="007561DE">
      <w:pPr>
        <w:numPr>
          <w:ilvl w:val="0"/>
          <w:numId w:val="10"/>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lastRenderedPageBreak/>
        <w:t>la formation et la fertilité des sols ;</w:t>
      </w:r>
    </w:p>
    <w:p w14:paraId="7C466486" w14:textId="77777777" w:rsidR="006A74CD" w:rsidRDefault="007561DE">
      <w:pPr>
        <w:numPr>
          <w:ilvl w:val="0"/>
          <w:numId w:val="10"/>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cycles des nutriments ;</w:t>
      </w:r>
    </w:p>
    <w:p w14:paraId="338B75D8" w14:textId="77777777" w:rsidR="006A74CD" w:rsidRDefault="007561DE">
      <w:pPr>
        <w:numPr>
          <w:ilvl w:val="0"/>
          <w:numId w:val="10"/>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 maintien des habitats naturels ;</w:t>
      </w:r>
    </w:p>
    <w:p w14:paraId="0834C167" w14:textId="77777777" w:rsidR="006A74CD" w:rsidRDefault="007561DE">
      <w:pPr>
        <w:numPr>
          <w:ilvl w:val="0"/>
          <w:numId w:val="10"/>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la connectivité écologique, assurée en particulier par les forêts-galeries et les cours d’eau.</w:t>
      </w:r>
    </w:p>
    <w:p w14:paraId="6AEC4F67" w14:textId="77777777" w:rsidR="006A74CD" w:rsidRDefault="006A74CD">
      <w:pPr>
        <w:spacing w:after="0" w:line="276" w:lineRule="auto"/>
        <w:ind w:left="720"/>
        <w:jc w:val="both"/>
        <w:rPr>
          <w:rFonts w:ascii="Arial" w:hAnsi="Arial" w:cs="Arial"/>
          <w:kern w:val="0"/>
          <w:sz w:val="21"/>
          <w:szCs w:val="21"/>
          <w:lang w:val="fr-FR" w:eastAsia="fr-FR"/>
        </w:rPr>
      </w:pPr>
    </w:p>
    <w:p w14:paraId="06AF0B19" w14:textId="77777777" w:rsidR="006A74CD" w:rsidRDefault="007561DE">
      <w:pPr>
        <w:keepNext/>
        <w:keepLines/>
        <w:numPr>
          <w:ilvl w:val="2"/>
          <w:numId w:val="8"/>
        </w:numPr>
        <w:spacing w:after="0" w:line="276" w:lineRule="auto"/>
        <w:ind w:left="0" w:firstLine="0"/>
        <w:jc w:val="both"/>
      </w:pPr>
      <w:bookmarkStart w:id="131" w:name="_Toc194299106"/>
      <w:bookmarkStart w:id="132" w:name="_Toc210821896"/>
      <w:bookmarkStart w:id="133" w:name="_Toc210994985"/>
      <w:bookmarkStart w:id="134" w:name="_Toc191545609"/>
      <w:bookmarkStart w:id="135" w:name="_Toc222731517"/>
      <w:r>
        <w:rPr>
          <w:rFonts w:ascii="Arial" w:eastAsia="Times New Roman" w:hAnsi="Arial" w:cs="Arial"/>
          <w:b/>
          <w:bCs/>
          <w:sz w:val="21"/>
          <w:szCs w:val="21"/>
          <w:lang w:val="fr-FR"/>
        </w:rPr>
        <w:t xml:space="preserve">Acquisition permanente des terres d’habitation et agricoles </w:t>
      </w:r>
      <w:bookmarkEnd w:id="131"/>
      <w:bookmarkEnd w:id="132"/>
      <w:bookmarkEnd w:id="133"/>
      <w:bookmarkEnd w:id="134"/>
      <w:bookmarkEnd w:id="135"/>
    </w:p>
    <w:p w14:paraId="0449681F" w14:textId="77777777" w:rsidR="006A74CD" w:rsidRDefault="006A74CD">
      <w:pPr>
        <w:keepNext/>
        <w:keepLines/>
        <w:spacing w:after="0" w:line="276" w:lineRule="auto"/>
        <w:jc w:val="both"/>
        <w:outlineLvl w:val="2"/>
        <w:rPr>
          <w:kern w:val="0"/>
          <w:lang w:val="fr-FR" w:eastAsia="fr-FR"/>
        </w:rPr>
      </w:pPr>
    </w:p>
    <w:p w14:paraId="0F2C1CEB"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Description et évaluation des impacts</w:t>
      </w:r>
    </w:p>
    <w:p w14:paraId="2A5E2AEE" w14:textId="77777777" w:rsidR="006A74CD" w:rsidRDefault="006A74CD">
      <w:pPr>
        <w:spacing w:after="0" w:line="276" w:lineRule="auto"/>
        <w:jc w:val="both"/>
        <w:rPr>
          <w:rFonts w:ascii="Arial" w:hAnsi="Arial" w:cs="Arial"/>
          <w:kern w:val="0"/>
          <w:sz w:val="21"/>
          <w:szCs w:val="21"/>
          <w:lang w:val="fr-FR" w:eastAsia="fr-FR"/>
        </w:rPr>
      </w:pPr>
    </w:p>
    <w:p w14:paraId="79A1B1D7"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 projet implique le déplacement physique de certains villages ainsi que la réaffectation de leurs territoires. D’autres localités ne seront pas déplacées, mais perdront une partie de leurs terres agricoles. Pour les communautés concernées par une acquisition permanente des terres, ces changements entraîneront des transformations profondes de leurs conditions d’existence et de leurs repères socio-économiques.</w:t>
      </w:r>
    </w:p>
    <w:p w14:paraId="4B308CF3" w14:textId="77777777" w:rsidR="006A74CD" w:rsidRDefault="006A74CD">
      <w:pPr>
        <w:spacing w:after="0" w:line="276" w:lineRule="auto"/>
        <w:jc w:val="both"/>
        <w:rPr>
          <w:rFonts w:ascii="Arial" w:hAnsi="Arial" w:cs="Arial"/>
          <w:kern w:val="0"/>
          <w:sz w:val="21"/>
          <w:szCs w:val="21"/>
          <w:lang w:val="fr-FR" w:eastAsia="fr-FR"/>
        </w:rPr>
      </w:pPr>
    </w:p>
    <w:p w14:paraId="209C2C42"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enquêtes socio-économiques menées dans la zone d’étude montrent que l’agriculture constitue l’un des principaux moyens de subsistance des ménages. La production est majoritairement orientée vers l’autoconsommation, avec une faible insertion dans les circuits marchands. Cette situation traduit une économie locale peu diversifiée et relativement vulnérable, limitant la capacité des ménages à faire face aux chocs extérieurs.</w:t>
      </w:r>
    </w:p>
    <w:p w14:paraId="225A9B9F" w14:textId="77777777" w:rsidR="006A74CD" w:rsidRDefault="006A74CD">
      <w:pPr>
        <w:spacing w:after="0" w:line="276" w:lineRule="auto"/>
        <w:jc w:val="both"/>
        <w:rPr>
          <w:rFonts w:ascii="Arial" w:hAnsi="Arial" w:cs="Arial"/>
          <w:kern w:val="0"/>
          <w:sz w:val="21"/>
          <w:szCs w:val="21"/>
          <w:lang w:val="fr-FR" w:eastAsia="fr-FR"/>
        </w:rPr>
      </w:pPr>
    </w:p>
    <w:p w14:paraId="0910ECB8"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principales cultures pratiquées sont le riz, le maïs, l’arachide, le manioc et la noix de cajou. Les jardins de case, les bas-fonds et les essarts représentent les espaces les plus exploités. Toutefois, la faible utilisation d’intrants agricoles, l’absence de mécanisation et la prédominance de méthodes traditionnelles réduisent sensiblement les rendements et compromettent la durabilité des exploitations.</w:t>
      </w:r>
    </w:p>
    <w:p w14:paraId="69560D08" w14:textId="77777777" w:rsidR="006A74CD" w:rsidRDefault="006A74CD">
      <w:pPr>
        <w:spacing w:after="0" w:line="276" w:lineRule="auto"/>
        <w:jc w:val="both"/>
        <w:rPr>
          <w:rFonts w:ascii="Arial" w:hAnsi="Arial" w:cs="Arial"/>
          <w:kern w:val="0"/>
          <w:sz w:val="21"/>
          <w:szCs w:val="21"/>
          <w:lang w:val="fr-FR" w:eastAsia="fr-FR"/>
        </w:rPr>
      </w:pPr>
    </w:p>
    <w:p w14:paraId="253EE2F8" w14:textId="372C46C9"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Selon les ménages consultés, l’agriculture occupe une place centrale dans leur organisation économique : près de la moitié la considère comme essentielle et plus d’un tiers en dépend comme principale source de revenus. Cette forte dépendance accentue cependant les risques d’insécurité alimentaire, notamment pendant la période de soudure (août-septembre), durant laquelle de nombreux ménages recourent à des stratégies d’appoint telles que la cueillette, le petit commerce ou l’endettement (</w:t>
      </w:r>
      <w:r>
        <w:rPr>
          <w:rFonts w:ascii="Arial" w:hAnsi="Arial" w:cs="Arial"/>
          <w:i/>
          <w:iCs/>
          <w:kern w:val="0"/>
          <w:sz w:val="21"/>
          <w:szCs w:val="21"/>
          <w:lang w:val="fr-FR" w:eastAsia="fr-FR"/>
          <w:rPrChange w:id="139" w:author="Ismael SAMBY" w:date="2026-07-17T13:06:00Z">
            <w:rPr>
              <w:rFonts w:ascii="Arial" w:hAnsi="Arial" w:cs="Arial"/>
              <w:kern w:val="0"/>
              <w:sz w:val="21"/>
              <w:szCs w:val="21"/>
              <w:lang w:val="fr-FR" w:eastAsia="fr-FR"/>
            </w:rPr>
          </w:rPrChange>
        </w:rPr>
        <w:t>OKAPI, 2025</w:t>
      </w:r>
      <w:r>
        <w:rPr>
          <w:rFonts w:ascii="Arial" w:hAnsi="Arial" w:cs="Arial"/>
          <w:i/>
          <w:iCs/>
          <w:kern w:val="0"/>
          <w:sz w:val="21"/>
          <w:szCs w:val="21"/>
          <w:lang w:val="fr-FR" w:eastAsia="fr-FR"/>
          <w:rPrChange w:id="141" w:author="Ismael SAMBY" w:date="2026-07-17T13:06:00Z">
            <w:rPr>
              <w:rFonts w:ascii="Arial" w:hAnsi="Arial" w:cs="Arial"/>
              <w:kern w:val="0"/>
              <w:sz w:val="21"/>
              <w:szCs w:val="21"/>
              <w:lang w:val="fr-FR" w:eastAsia="fr-FR"/>
            </w:rPr>
          </w:rPrChange>
        </w:rPr>
        <w:t xml:space="preserve"> et 2026 : données </w:t>
      </w:r>
      <w:r>
        <w:rPr>
          <w:rFonts w:ascii="Arial" w:hAnsi="Arial" w:cs="Arial"/>
          <w:i/>
          <w:iCs/>
          <w:kern w:val="0"/>
          <w:sz w:val="21"/>
          <w:szCs w:val="21"/>
          <w:lang w:val="fr-FR" w:eastAsia="fr-FR"/>
        </w:rPr>
        <w:t>recueillies</w:t>
      </w:r>
      <w:r>
        <w:rPr>
          <w:rFonts w:ascii="Arial" w:hAnsi="Arial" w:cs="Arial"/>
          <w:i/>
          <w:iCs/>
          <w:kern w:val="0"/>
          <w:sz w:val="21"/>
          <w:szCs w:val="21"/>
          <w:lang w:val="fr-FR" w:eastAsia="fr-FR"/>
          <w:rPrChange w:id="144" w:author="Ismael SAMBY" w:date="2026-07-17T13:06:00Z">
            <w:rPr>
              <w:rFonts w:ascii="Arial" w:hAnsi="Arial" w:cs="Arial"/>
              <w:kern w:val="0"/>
              <w:sz w:val="21"/>
              <w:szCs w:val="21"/>
              <w:lang w:val="fr-FR" w:eastAsia="fr-FR"/>
            </w:rPr>
          </w:rPrChange>
        </w:rPr>
        <w:t xml:space="preserve"> pendant cette </w:t>
      </w:r>
      <w:r>
        <w:rPr>
          <w:rFonts w:ascii="Arial" w:hAnsi="Arial" w:cs="Arial"/>
          <w:i/>
          <w:iCs/>
          <w:kern w:val="0"/>
          <w:sz w:val="21"/>
          <w:szCs w:val="21"/>
          <w:lang w:val="fr-FR" w:eastAsia="fr-FR"/>
        </w:rPr>
        <w:t xml:space="preserve">étude WCAG</w:t>
      </w:r>
      <w:r>
        <w:rPr>
          <w:rFonts w:ascii="Arial" w:hAnsi="Arial" w:cs="Arial"/>
          <w:i/>
          <w:iCs/>
          <w:kern w:val="0"/>
          <w:sz w:val="21"/>
          <w:szCs w:val="21"/>
          <w:lang w:val="fr-FR" w:eastAsia="fr-FR"/>
          <w:rPrChange w:id="147" w:author="Ismael SAMBY" w:date="2026-07-17T13:06:00Z">
            <w:rPr>
              <w:rFonts w:ascii="Arial" w:hAnsi="Arial" w:cs="Arial"/>
              <w:kern w:val="0"/>
              <w:sz w:val="21"/>
              <w:szCs w:val="21"/>
              <w:lang w:val="fr-FR" w:eastAsia="fr-FR"/>
            </w:rPr>
          </w:rPrChange>
        </w:rPr>
        <w:t xml:space="preserve"> et complété </w:t>
      </w:r>
      <w:r>
        <w:rPr>
          <w:rFonts w:ascii="Arial" w:hAnsi="Arial" w:cs="Arial"/>
          <w:i/>
          <w:iCs/>
          <w:kern w:val="0"/>
          <w:sz w:val="21"/>
          <w:szCs w:val="21"/>
          <w:lang w:val="fr-FR" w:eastAsia="fr-FR"/>
          <w:rPrChange w:id="148" w:author="Ismael SAMBY" w:date="2026-07-17T13:06:00Z">
            <w:rPr>
              <w:rFonts w:ascii="Arial" w:hAnsi="Arial" w:cs="Arial"/>
              <w:kern w:val="0"/>
              <w:sz w:val="21"/>
              <w:szCs w:val="21"/>
              <w:lang w:val="fr-FR" w:eastAsia="fr-FR"/>
            </w:rPr>
          </w:rPrChange>
        </w:rPr>
        <w:t>ar</w:t>
      </w:r>
      <w:r>
        <w:rPr>
          <w:rFonts w:ascii="Arial" w:hAnsi="Arial" w:cs="Arial"/>
          <w:i/>
          <w:iCs/>
          <w:kern w:val="0"/>
          <w:sz w:val="21"/>
          <w:szCs w:val="21"/>
          <w:lang w:val="fr-FR" w:eastAsia="fr-FR"/>
          <w:rPrChange w:id="149" w:author="Ismael SAMBY" w:date="2026-07-17T13:06:00Z">
            <w:rPr>
              <w:rFonts w:ascii="Arial" w:hAnsi="Arial" w:cs="Arial"/>
              <w:kern w:val="0"/>
              <w:sz w:val="21"/>
              <w:szCs w:val="21"/>
              <w:lang w:val="fr-FR" w:eastAsia="fr-FR"/>
            </w:rPr>
          </w:rPrChange>
        </w:rPr>
        <w:t xml:space="preserve"> les données de l’EIES de AMC</w:t>
      </w:r>
      <w:r>
        <w:rPr>
          <w:rFonts w:ascii="Arial" w:hAnsi="Arial" w:cs="Arial"/>
          <w:i/>
          <w:iCs/>
          <w:kern w:val="0"/>
          <w:sz w:val="21"/>
          <w:szCs w:val="21"/>
          <w:lang w:val="fr-FR" w:eastAsia="fr-FR"/>
          <w:rPrChange w:id="151" w:author="Ismael SAMBY" w:date="2026-07-17T13:06:00Z">
            <w:rPr>
              <w:rFonts w:ascii="Arial" w:hAnsi="Arial" w:cs="Arial"/>
              <w:kern w:val="0"/>
              <w:sz w:val="21"/>
              <w:szCs w:val="21"/>
              <w:lang w:val="fr-FR" w:eastAsia="fr-FR"/>
            </w:rPr>
          </w:rPrChange>
        </w:rPr>
        <w:t xml:space="preserve"> CARGO PORT</w:t>
      </w:r>
      <w:r>
        <w:rPr>
          <w:rFonts w:ascii="Arial" w:hAnsi="Arial" w:cs="Arial"/>
          <w:i/>
          <w:iCs/>
          <w:kern w:val="0"/>
          <w:sz w:val="21"/>
          <w:szCs w:val="21"/>
          <w:lang w:val="fr-FR" w:eastAsia="fr-FR"/>
        </w:rPr>
        <w:t xml:space="preserve">, </w:t>
      </w:r>
      <w:r>
        <w:rPr>
          <w:rFonts w:ascii="Arial" w:hAnsi="Arial" w:cs="Arial"/>
          <w:i/>
          <w:iCs/>
          <w:kern w:val="0"/>
          <w:sz w:val="21"/>
          <w:szCs w:val="21"/>
          <w:lang w:val="fr-FR" w:eastAsia="fr-FR"/>
          <w:rPrChange w:id="154" w:author="Ismael SAMBY" w:date="2026-07-17T13:06:00Z">
            <w:rPr>
              <w:rFonts w:ascii="Arial" w:hAnsi="Arial" w:cs="Arial"/>
              <w:kern w:val="0"/>
              <w:sz w:val="21"/>
              <w:szCs w:val="21"/>
              <w:lang w:val="fr-FR" w:eastAsia="fr-FR"/>
            </w:rPr>
          </w:rPrChange>
        </w:rPr>
        <w:t>AMC BAUXITE PORT</w:t>
      </w:r>
      <w:r>
        <w:rPr>
          <w:rFonts w:ascii="Arial" w:hAnsi="Arial" w:cs="Arial"/>
          <w:i/>
          <w:iCs/>
          <w:kern w:val="0"/>
          <w:sz w:val="21"/>
          <w:szCs w:val="21"/>
          <w:lang w:val="fr-FR" w:eastAsia="fr-FR"/>
        </w:rPr>
        <w:t xml:space="preserve"> et AMC RAILWAY</w:t>
      </w:r>
      <w:r>
        <w:rPr>
          <w:rFonts w:ascii="Arial" w:hAnsi="Arial" w:cs="Arial"/>
          <w:i/>
          <w:iCs/>
          <w:kern w:val="0"/>
          <w:sz w:val="21"/>
          <w:szCs w:val="21"/>
          <w:lang w:val="fr-FR" w:eastAsia="fr-FR"/>
          <w:rPrChange w:id="156" w:author="Ismael SAMBY" w:date="2026-07-17T13:06:00Z">
            <w:rPr>
              <w:rFonts w:ascii="Arial" w:hAnsi="Arial" w:cs="Arial"/>
              <w:kern w:val="0"/>
              <w:sz w:val="21"/>
              <w:szCs w:val="21"/>
              <w:lang w:val="fr-FR" w:eastAsia="fr-FR"/>
            </w:rPr>
          </w:rPrChange>
        </w:rPr>
        <w:t>).</w:t>
      </w:r>
    </w:p>
    <w:p w14:paraId="78960F9E" w14:textId="77777777" w:rsidR="006A74CD" w:rsidRDefault="006A74CD">
      <w:pPr>
        <w:spacing w:after="0" w:line="276" w:lineRule="auto"/>
        <w:jc w:val="both"/>
        <w:rPr>
          <w:rFonts w:ascii="Arial" w:hAnsi="Arial" w:cs="Arial"/>
          <w:kern w:val="0"/>
          <w:sz w:val="21"/>
          <w:szCs w:val="21"/>
          <w:lang w:val="fr-FR" w:eastAsia="fr-FR"/>
        </w:rPr>
      </w:pPr>
    </w:p>
    <w:p w14:paraId="2FE22433"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Au-delà de l’alimentation, l’activité agricole permet également de couvrir diverses charges sociales, notamment les dépenses de santé, d’éducation et les obligations liées aux cérémonies communautaires.</w:t>
      </w:r>
    </w:p>
    <w:p w14:paraId="11937F7D" w14:textId="77777777" w:rsidR="006A74CD" w:rsidRDefault="007561DE">
      <w:pPr>
        <w:numPr>
          <w:ilvl w:val="0"/>
          <w:numId w:val="1"/>
        </w:numPr>
        <w:pBdr>
          <w:bottom w:val="single" w:sz="6" w:space="1" w:color="000000"/>
        </w:pBdr>
        <w:spacing w:after="0" w:line="240" w:lineRule="auto"/>
        <w:ind w:left="0" w:firstLine="0"/>
        <w:jc w:val="center"/>
        <w:rPr>
          <w:rFonts w:ascii="Arial" w:eastAsia="Times New Roman" w:hAnsi="Arial" w:cs="Arial"/>
          <w:vanish/>
          <w:kern w:val="0"/>
          <w:sz w:val="16"/>
          <w:szCs w:val="16"/>
          <w:lang w:val="fr-FR" w:eastAsia="fr-FR"/>
        </w:rPr>
      </w:pPr>
      <w:r>
        <w:rPr>
          <w:rFonts w:ascii="Arial" w:eastAsia="Times New Roman" w:hAnsi="Arial" w:cs="Arial"/>
          <w:vanish/>
          <w:kern w:val="0"/>
          <w:sz w:val="16"/>
          <w:szCs w:val="16"/>
          <w:lang w:val="fr-FR" w:eastAsia="fr-FR"/>
        </w:rPr>
        <w:t/>
      </w:r>
    </w:p>
    <w:p w14:paraId="628E9269" w14:textId="77777777" w:rsidR="006A74CD" w:rsidRDefault="007561DE">
      <w:pPr>
        <w:pBdr>
          <w:top w:val="single" w:sz="6" w:space="1" w:color="000000"/>
        </w:pBdr>
        <w:spacing w:after="0" w:line="240" w:lineRule="auto"/>
        <w:jc w:val="center"/>
        <w:rPr>
          <w:rFonts w:ascii="Arial" w:eastAsia="Times New Roman" w:hAnsi="Arial" w:cs="Arial"/>
          <w:vanish/>
          <w:kern w:val="0"/>
          <w:sz w:val="16"/>
          <w:szCs w:val="16"/>
          <w:lang w:val="fr-FR" w:eastAsia="fr-FR"/>
        </w:rPr>
      </w:pPr>
      <w:r>
        <w:rPr>
          <w:rFonts w:ascii="Arial" w:eastAsia="Times New Roman" w:hAnsi="Arial" w:cs="Arial"/>
          <w:vanish/>
          <w:kern w:val="0"/>
          <w:sz w:val="16"/>
          <w:szCs w:val="16"/>
          <w:lang w:val="fr-FR" w:eastAsia="fr-FR"/>
        </w:rPr>
        <w:t/>
      </w:r>
    </w:p>
    <w:p w14:paraId="1293A23C" w14:textId="77777777" w:rsidR="006A74CD" w:rsidRDefault="006A74CD">
      <w:pPr>
        <w:spacing w:after="0" w:line="276" w:lineRule="auto"/>
        <w:jc w:val="both"/>
        <w:rPr>
          <w:rFonts w:ascii="Arial" w:hAnsi="Arial" w:cs="Arial"/>
          <w:kern w:val="0"/>
          <w:sz w:val="21"/>
          <w:szCs w:val="21"/>
          <w:lang w:val="fr-FR" w:eastAsia="fr-FR"/>
        </w:rPr>
      </w:pPr>
    </w:p>
    <w:p w14:paraId="44C39457"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Évaluation d'impact</w:t>
      </w:r>
    </w:p>
    <w:p w14:paraId="1E1E9E75" w14:textId="77777777" w:rsidR="006A74CD" w:rsidRDefault="006A74CD">
      <w:pPr>
        <w:spacing w:after="0" w:line="276" w:lineRule="auto"/>
        <w:jc w:val="both"/>
        <w:rPr>
          <w:rFonts w:ascii="Arial" w:hAnsi="Arial" w:cs="Arial"/>
          <w:kern w:val="0"/>
          <w:sz w:val="21"/>
          <w:szCs w:val="21"/>
          <w:lang w:val="fr-FR" w:eastAsia="fr-FR"/>
        </w:rPr>
      </w:pPr>
    </w:p>
    <w:p w14:paraId="17B1A19C"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La construction de la raffinerie WCAG et de ses installations connexes (centrale électrique, stockage des résidus de boue rouge, station à gaz, installations hydrauliques, bases-vie, routes internes et pipelines) nécessitera l’acquisition de terres incluant certaines zones agricoles et des maisons d’habitation ainsi que les espaces utilisés par les communautés pour des activités de pêche ou de transformation des produits halieutiques.</w:t>
      </w:r>
    </w:p>
    <w:p w14:paraId="14918C81" w14:textId="77777777" w:rsidR="006A74CD" w:rsidRDefault="006A74CD">
      <w:pPr>
        <w:spacing w:after="0" w:line="276" w:lineRule="auto"/>
        <w:jc w:val="both"/>
        <w:rPr>
          <w:rFonts w:ascii="Arial" w:hAnsi="Arial" w:cs="Arial"/>
          <w:kern w:val="0"/>
          <w:sz w:val="21"/>
          <w:szCs w:val="21"/>
          <w:lang w:val="fr-FR" w:eastAsia="fr-FR"/>
        </w:rPr>
      </w:pPr>
    </w:p>
    <w:p w14:paraId="2EC7F87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impacts potentiels incluent :</w:t>
      </w:r>
    </w:p>
    <w:p w14:paraId="4894EC7D" w14:textId="77777777" w:rsidR="006A74CD" w:rsidRDefault="006A74CD">
      <w:pPr>
        <w:spacing w:after="0" w:line="276" w:lineRule="auto"/>
        <w:jc w:val="both"/>
        <w:rPr>
          <w:rFonts w:ascii="Arial" w:hAnsi="Arial" w:cs="Arial"/>
          <w:kern w:val="0"/>
          <w:sz w:val="21"/>
          <w:szCs w:val="21"/>
          <w:lang w:val="fr-FR" w:eastAsia="fr-FR"/>
        </w:rPr>
      </w:pPr>
    </w:p>
    <w:p w14:paraId="144154C6" w14:textId="77777777" w:rsidR="006A74CD" w:rsidRDefault="007561DE">
      <w:pPr>
        <w:numPr>
          <w:ilvl w:val="0"/>
          <w:numId w:val="11"/>
        </w:numPr>
        <w:spacing w:after="0" w:line="276" w:lineRule="auto"/>
        <w:ind w:left="714" w:hanging="357"/>
        <w:jc w:val="both"/>
        <w:rPr>
          <w:rFonts w:ascii="Arial" w:hAnsi="Arial" w:cs="Arial"/>
          <w:kern w:val="0"/>
          <w:sz w:val="21"/>
          <w:szCs w:val="21"/>
          <w:lang w:val="fr-FR" w:eastAsia="fr-FR"/>
        </w:rPr>
      </w:pPr>
      <w:r>
        <w:rPr>
          <w:rFonts w:ascii="Arial" w:hAnsi="Arial" w:cs="Arial"/>
          <w:kern w:val="0"/>
          <w:sz w:val="21"/>
          <w:szCs w:val="21"/>
          <w:lang w:val="fr-FR" w:eastAsia="fr-FR"/>
        </w:rPr>
        <w:lastRenderedPageBreak/>
        <w:t xml:space="preserve">Déplacement physique des communautés de Katchafn, Dossolon et un hameau dans le District de Taloukhouré ;</w:t>
      </w:r>
    </w:p>
    <w:p w14:paraId="295DEFD8" w14:textId="77777777" w:rsidR="006A74CD" w:rsidRDefault="007561DE">
      <w:pPr>
        <w:numPr>
          <w:ilvl w:val="0"/>
          <w:numId w:val="11"/>
        </w:numPr>
        <w:spacing w:after="0" w:line="276" w:lineRule="auto"/>
        <w:ind w:left="714" w:hanging="357"/>
        <w:jc w:val="both"/>
        <w:rPr>
          <w:rFonts w:ascii="Arial" w:hAnsi="Arial" w:cs="Arial"/>
          <w:kern w:val="0"/>
          <w:sz w:val="21"/>
          <w:szCs w:val="21"/>
          <w:lang w:val="fr-FR" w:eastAsia="fr-FR"/>
        </w:rPr>
      </w:pPr>
      <w:r>
        <w:rPr>
          <w:rFonts w:ascii="Arial" w:hAnsi="Arial" w:cs="Arial"/>
          <w:kern w:val="0"/>
          <w:sz w:val="21"/>
          <w:szCs w:val="21"/>
          <w:lang w:val="fr-FR" w:eastAsia="fr-FR"/>
        </w:rPr>
        <w:t>Pertes des terres agricoles ;</w:t>
      </w:r>
    </w:p>
    <w:p w14:paraId="13C708FD" w14:textId="77777777" w:rsidR="006A74CD" w:rsidRDefault="007561DE">
      <w:pPr>
        <w:numPr>
          <w:ilvl w:val="0"/>
          <w:numId w:val="11"/>
        </w:numPr>
        <w:spacing w:after="0" w:line="276" w:lineRule="auto"/>
        <w:ind w:left="714" w:hanging="357"/>
        <w:jc w:val="both"/>
        <w:rPr>
          <w:rFonts w:ascii="Arial" w:hAnsi="Arial" w:cs="Arial"/>
          <w:kern w:val="0"/>
          <w:sz w:val="21"/>
          <w:szCs w:val="21"/>
          <w:lang w:val="fr-FR" w:eastAsia="fr-FR"/>
        </w:rPr>
      </w:pPr>
      <w:r>
        <w:rPr>
          <w:rFonts w:ascii="Arial" w:hAnsi="Arial" w:cs="Arial"/>
          <w:kern w:val="0"/>
          <w:sz w:val="21"/>
          <w:szCs w:val="21"/>
          <w:lang w:val="fr-FR" w:eastAsia="fr-FR"/>
        </w:rPr>
        <w:t>Gestion de l’argent obtenu après les compensations des terres perdues ;</w:t>
      </w:r>
    </w:p>
    <w:p w14:paraId="55B08B61" w14:textId="77777777" w:rsidR="006A74CD" w:rsidRDefault="006A74CD">
      <w:pPr>
        <w:spacing w:after="0" w:line="276" w:lineRule="auto"/>
        <w:ind w:left="714"/>
        <w:jc w:val="both"/>
        <w:rPr>
          <w:rFonts w:ascii="Arial" w:hAnsi="Arial" w:cs="Arial"/>
          <w:kern w:val="0"/>
          <w:sz w:val="21"/>
          <w:szCs w:val="21"/>
          <w:lang w:val="fr-FR" w:eastAsia="fr-FR"/>
        </w:rPr>
      </w:pPr>
    </w:p>
    <w:p w14:paraId="70DFEE4A" w14:textId="77777777" w:rsidR="006A74CD" w:rsidRDefault="007561DE">
      <w:pPr>
        <w:spacing w:after="0" w:line="276" w:lineRule="auto"/>
        <w:jc w:val="both"/>
      </w:pPr>
      <w:r>
        <w:rPr>
          <w:rFonts w:ascii="Arial" w:hAnsi="Arial" w:cs="Arial"/>
          <w:kern w:val="0"/>
          <w:sz w:val="21"/>
          <w:szCs w:val="21"/>
        </w:rPr>
        <w:t xml:space="preserve">Compte tenu de la dépendance des communautés à l’agriculture, l’impact sur les pertes des terres est jugé </w:t>
      </w:r>
      <w:r>
        <w:rPr>
          <w:rFonts w:ascii="Arial" w:hAnsi="Arial" w:cs="Arial"/>
          <w:b/>
          <w:bCs/>
          <w:kern w:val="0"/>
          <w:sz w:val="21"/>
          <w:szCs w:val="21"/>
        </w:rPr>
        <w:t xml:space="preserve">majeure </w:t>
      </w:r>
      <w:r>
        <w:rPr>
          <w:rFonts w:ascii="Arial" w:hAnsi="Arial" w:cs="Arial"/>
          <w:kern w:val="0"/>
          <w:sz w:val="21"/>
          <w:szCs w:val="21"/>
        </w:rPr>
        <w:t xml:space="preserve">pendant la phase de construction et </w:t>
      </w:r>
      <w:r>
        <w:rPr>
          <w:rFonts w:ascii="Arial" w:hAnsi="Arial" w:cs="Arial"/>
          <w:b/>
          <w:bCs/>
          <w:kern w:val="0"/>
          <w:sz w:val="21"/>
          <w:szCs w:val="21"/>
        </w:rPr>
        <w:t>mineure</w:t>
      </w:r>
      <w:r>
        <w:rPr>
          <w:rFonts w:ascii="Arial" w:hAnsi="Arial" w:cs="Arial"/>
          <w:kern w:val="0"/>
          <w:sz w:val="21"/>
          <w:szCs w:val="21"/>
        </w:rPr>
        <w:t xml:space="preserve"> pendant la phase d’exploitation si les mesures proposées dans le PAR / PRMS sont rigoureusement appliquées.</w:t>
      </w:r>
    </w:p>
    <w:p w14:paraId="59C575DB" w14:textId="77777777" w:rsidR="006A74CD" w:rsidRDefault="006A74CD">
      <w:pPr>
        <w:spacing w:after="0" w:line="276" w:lineRule="auto"/>
        <w:jc w:val="both"/>
        <w:rPr>
          <w:rFonts w:ascii="Arial" w:hAnsi="Arial" w:cs="Arial"/>
          <w:kern w:val="0"/>
          <w:sz w:val="21"/>
          <w:szCs w:val="21"/>
          <w:lang w:val="fr-FR" w:eastAsia="fr-FR"/>
        </w:rPr>
      </w:pPr>
    </w:p>
    <w:p w14:paraId="07473ED5"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58" w:name="_Toc194299107"/>
      <w:bookmarkStart w:id="159" w:name="_Toc191545610"/>
      <w:bookmarkStart w:id="160" w:name="_Toc184282096"/>
      <w:bookmarkStart w:id="161" w:name="_Toc210821897"/>
      <w:bookmarkStart w:id="162" w:name="_Toc210994986"/>
      <w:bookmarkStart w:id="163" w:name="_Toc222731518"/>
      <w:r>
        <w:rPr>
          <w:rFonts w:ascii="Arial" w:eastAsia="Times New Roman" w:hAnsi="Arial" w:cs="Arial"/>
          <w:b/>
          <w:bCs/>
          <w:sz w:val="21"/>
          <w:szCs w:val="21"/>
          <w:lang w:val="fr-FR"/>
        </w:rPr>
        <w:t>Chasse pour la consommation personnelle</w:t>
      </w:r>
      <w:bookmarkEnd w:id="158"/>
      <w:bookmarkEnd w:id="159"/>
      <w:bookmarkEnd w:id="160"/>
      <w:bookmarkEnd w:id="161"/>
      <w:bookmarkEnd w:id="162"/>
      <w:bookmarkEnd w:id="163"/>
    </w:p>
    <w:p w14:paraId="534236E9" w14:textId="77777777" w:rsidR="006A74CD" w:rsidRDefault="006A74CD">
      <w:pPr>
        <w:spacing w:after="0" w:line="240" w:lineRule="auto"/>
        <w:rPr>
          <w:rFonts w:eastAsia="SimSun"/>
          <w:kern w:val="0"/>
          <w:lang w:val="fr-FR" w:eastAsia="fr-FR"/>
        </w:rPr>
      </w:pPr>
    </w:p>
    <w:p w14:paraId="2E417810"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Identification et description des impacts</w:t>
      </w:r>
    </w:p>
    <w:p w14:paraId="20A7DB7A" w14:textId="77777777" w:rsidR="006A74CD" w:rsidRDefault="006A74CD">
      <w:pPr>
        <w:spacing w:after="0" w:line="276" w:lineRule="auto"/>
        <w:jc w:val="both"/>
        <w:rPr>
          <w:rFonts w:ascii="Arial" w:hAnsi="Arial" w:cs="Arial"/>
          <w:kern w:val="0"/>
          <w:sz w:val="21"/>
          <w:szCs w:val="21"/>
          <w:u w:val="single"/>
          <w:lang w:val="fr-FR" w:eastAsia="fr-FR"/>
        </w:rPr>
      </w:pPr>
    </w:p>
    <w:p w14:paraId="629B8CBE"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La chasse constitue une activité culturelle et alimentaire majeure, principalement pratiquée par les hommes. Elle contribue à la transmission des traditions et représente une source additionnelle de protéines animales pour les foyers. La viande de gibier (francolins, rongeurs, antilopes de petite taille) est principalement destinée à l’autoconsommation, bien que certains produits soient occasionnellement commercialisés sur les marchés locaux, procurant ainsi des revenus modestes.</w:t>
      </w:r>
    </w:p>
    <w:p w14:paraId="0473426C" w14:textId="77777777" w:rsidR="006A74CD" w:rsidRDefault="006A74CD">
      <w:pPr>
        <w:spacing w:after="0" w:line="276" w:lineRule="auto"/>
        <w:jc w:val="both"/>
        <w:rPr>
          <w:rFonts w:ascii="Arial" w:hAnsi="Arial" w:cs="Arial"/>
          <w:kern w:val="0"/>
          <w:sz w:val="21"/>
          <w:szCs w:val="21"/>
          <w:lang w:val="fr-FR" w:eastAsia="fr-FR"/>
        </w:rPr>
      </w:pPr>
    </w:p>
    <w:p w14:paraId="54C7E434"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Il convient de considérer cette dimension sociale dans la gestion des impacts du projet, étant donné que la réorganisation des espaces de chasse pourrait influencer leur fonction ainsi que les pratiques communautaires.</w:t>
      </w:r>
    </w:p>
    <w:p w14:paraId="138A76DC" w14:textId="77777777" w:rsidR="006A74CD" w:rsidRDefault="006A74CD">
      <w:pPr>
        <w:spacing w:after="0" w:line="276" w:lineRule="auto"/>
        <w:jc w:val="both"/>
        <w:rPr>
          <w:rFonts w:ascii="Arial" w:hAnsi="Arial" w:cs="Arial"/>
          <w:kern w:val="0"/>
          <w:sz w:val="21"/>
          <w:szCs w:val="21"/>
          <w:lang w:val="fr-FR" w:eastAsia="fr-FR"/>
        </w:rPr>
      </w:pPr>
    </w:p>
    <w:p w14:paraId="41FE92D7"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Évaluation d'impact</w:t>
      </w:r>
    </w:p>
    <w:p w14:paraId="5E540F6E" w14:textId="77777777" w:rsidR="006A74CD" w:rsidRDefault="006A74CD">
      <w:pPr>
        <w:spacing w:after="0" w:line="276" w:lineRule="auto"/>
        <w:jc w:val="both"/>
        <w:rPr>
          <w:rFonts w:ascii="Arial" w:hAnsi="Arial" w:cs="Arial"/>
          <w:kern w:val="0"/>
          <w:sz w:val="21"/>
          <w:szCs w:val="21"/>
          <w:lang w:val="fr-FR" w:eastAsia="fr-FR"/>
        </w:rPr>
      </w:pPr>
    </w:p>
    <w:p w14:paraId="59E0DA2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La réalisation du projet entraînera une perte de végétation dans l’emprise du Projet et dans certaines zones temporaires de chantier, réduisant localement l’accès aux ressources forestières traditionnelles.</w:t>
      </w:r>
    </w:p>
    <w:p w14:paraId="221F1425" w14:textId="77777777" w:rsidR="006A74CD" w:rsidRDefault="006A74CD">
      <w:pPr>
        <w:spacing w:after="0" w:line="276" w:lineRule="auto"/>
        <w:jc w:val="both"/>
        <w:rPr>
          <w:rFonts w:ascii="Arial" w:hAnsi="Arial" w:cs="Arial"/>
          <w:kern w:val="0"/>
          <w:sz w:val="21"/>
          <w:szCs w:val="21"/>
          <w:lang w:val="fr-FR" w:eastAsia="fr-FR"/>
        </w:rPr>
      </w:pPr>
    </w:p>
    <w:p w14:paraId="1D548578" w14:textId="77777777" w:rsidR="006A74CD" w:rsidRDefault="007561DE">
      <w:pPr>
        <w:spacing w:after="0" w:line="276" w:lineRule="auto"/>
        <w:jc w:val="both"/>
      </w:pPr>
      <w:r>
        <w:rPr>
          <w:rFonts w:ascii="Arial" w:hAnsi="Arial" w:cs="Arial"/>
          <w:kern w:val="0"/>
          <w:sz w:val="21"/>
          <w:szCs w:val="21"/>
        </w:rPr>
        <w:t xml:space="preserve">Compte tenu de la forte dépendance des ménages au bois de chauffage et aux produits forestiers non ligneux, l’impact du projet sur ces ressources est considéré comme </w:t>
      </w:r>
      <w:r>
        <w:rPr>
          <w:rFonts w:ascii="Arial" w:hAnsi="Arial" w:cs="Arial"/>
          <w:b/>
          <w:bCs/>
          <w:kern w:val="0"/>
          <w:sz w:val="21"/>
          <w:szCs w:val="21"/>
        </w:rPr>
        <w:t>modéré</w:t>
      </w:r>
      <w:r>
        <w:rPr>
          <w:rFonts w:ascii="Arial" w:hAnsi="Arial" w:cs="Arial"/>
          <w:kern w:val="0"/>
          <w:sz w:val="21"/>
          <w:szCs w:val="21"/>
        </w:rPr>
        <w:t xml:space="preserve"> durant la phase de construction, notamment en raison de l’afflux important de chercheurs d’emploi dans la zone. En revanche, cet impact est considéré </w:t>
      </w:r>
      <w:r>
        <w:rPr>
          <w:rFonts w:ascii="Arial" w:hAnsi="Arial" w:cs="Arial"/>
          <w:b/>
          <w:bCs/>
          <w:kern w:val="0"/>
          <w:sz w:val="21"/>
          <w:szCs w:val="21"/>
        </w:rPr>
        <w:t>mineure</w:t>
      </w:r>
      <w:r>
        <w:rPr>
          <w:rFonts w:ascii="Arial" w:hAnsi="Arial" w:cs="Arial"/>
          <w:kern w:val="0"/>
          <w:sz w:val="21"/>
          <w:szCs w:val="21"/>
        </w:rPr>
        <w:t xml:space="preserve"> pendant la phase d’exploitation.</w:t>
      </w:r>
    </w:p>
    <w:p w14:paraId="4E90FEA5" w14:textId="77777777" w:rsidR="006A74CD" w:rsidRDefault="006A74CD">
      <w:pPr>
        <w:spacing w:after="0" w:line="276" w:lineRule="auto"/>
        <w:jc w:val="both"/>
        <w:rPr>
          <w:rFonts w:ascii="Arial" w:hAnsi="Arial" w:cs="Arial"/>
          <w:kern w:val="0"/>
          <w:sz w:val="21"/>
          <w:szCs w:val="21"/>
          <w:lang w:val="fr-FR" w:eastAsia="fr-FR"/>
        </w:rPr>
      </w:pPr>
    </w:p>
    <w:p w14:paraId="2B85E6AB" w14:textId="77777777" w:rsidR="006A74CD" w:rsidRDefault="006A74CD">
      <w:pPr>
        <w:spacing w:after="0" w:line="276" w:lineRule="auto"/>
        <w:jc w:val="both"/>
        <w:rPr>
          <w:rFonts w:ascii="Arial" w:eastAsia="Times New Roman" w:hAnsi="Arial" w:cs="Arial"/>
          <w:kern w:val="0"/>
          <w:sz w:val="21"/>
          <w:szCs w:val="21"/>
          <w:lang w:val="fr-FR" w:eastAsia="zh-CN"/>
        </w:rPr>
      </w:pPr>
    </w:p>
    <w:p w14:paraId="4AEF0915"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64" w:name="_Toc194299108"/>
      <w:bookmarkStart w:id="165" w:name="_Toc191545611"/>
      <w:bookmarkStart w:id="166" w:name="_Toc184282097"/>
      <w:bookmarkStart w:id="167" w:name="_Toc210821898"/>
      <w:bookmarkStart w:id="168" w:name="_Toc210994987"/>
      <w:bookmarkStart w:id="169" w:name="_Toc222731519"/>
      <w:bookmarkStart w:id="170" w:name="_Hlk180150366"/>
      <w:r>
        <w:rPr>
          <w:rFonts w:ascii="Arial" w:eastAsia="Times New Roman" w:hAnsi="Arial" w:cs="Arial"/>
          <w:b/>
          <w:bCs/>
          <w:sz w:val="21"/>
          <w:szCs w:val="21"/>
          <w:lang w:val="fr-FR"/>
        </w:rPr>
        <w:t>Produits de cueillette, plantes médicinales et exploitation du bois</w:t>
      </w:r>
      <w:bookmarkEnd w:id="164"/>
      <w:bookmarkEnd w:id="165"/>
      <w:bookmarkEnd w:id="166"/>
      <w:bookmarkEnd w:id="167"/>
      <w:bookmarkEnd w:id="168"/>
      <w:bookmarkEnd w:id="169"/>
      <w:r>
        <w:rPr>
          <w:rFonts w:ascii="Arial" w:eastAsia="Times New Roman" w:hAnsi="Arial" w:cs="Arial"/>
          <w:b/>
          <w:bCs/>
          <w:sz w:val="21"/>
          <w:szCs w:val="21"/>
          <w:lang w:val="fr-FR"/>
        </w:rPr>
        <w:t xml:space="preserve"> </w:t>
      </w:r>
      <w:bookmarkEnd w:id="170"/>
    </w:p>
    <w:p w14:paraId="4F3C5819" w14:textId="77777777" w:rsidR="006A74CD" w:rsidRDefault="006A74CD">
      <w:pPr>
        <w:rPr>
          <w:rFonts w:eastAsia="SimSun"/>
          <w:kern w:val="0"/>
          <w:lang w:val="fr-FR" w:eastAsia="fr-FR"/>
        </w:rPr>
      </w:pPr>
    </w:p>
    <w:p w14:paraId="590C9F62"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Description et évaluation des impacts</w:t>
      </w:r>
    </w:p>
    <w:p w14:paraId="544B4672" w14:textId="77777777" w:rsidR="006A74CD" w:rsidRDefault="006A74CD">
      <w:pPr>
        <w:spacing w:after="0" w:line="276" w:lineRule="auto"/>
        <w:jc w:val="both"/>
        <w:rPr>
          <w:rFonts w:ascii="Arial" w:hAnsi="Arial" w:cs="Arial"/>
          <w:kern w:val="0"/>
          <w:sz w:val="21"/>
          <w:szCs w:val="21"/>
          <w:lang w:val="fr-FR" w:eastAsia="fr-FR"/>
        </w:rPr>
      </w:pPr>
    </w:p>
    <w:p w14:paraId="66DA6711"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Dans la zone, les forêts-galeries, mangroves, savanes arbustives ainsi que les plaines offrent aux populations riveraines une diversité significative de produits ligneux et non ligneux. Ces ressources représentent un fondement essentiel pour la sécurité alimentaire, l’approvisionnement énergétique ainsi que la médecine traditionnelle.</w:t>
      </w:r>
    </w:p>
    <w:p w14:paraId="63B0E757" w14:textId="77777777" w:rsidR="006A74CD" w:rsidRDefault="006A74CD">
      <w:pPr>
        <w:spacing w:after="0" w:line="276" w:lineRule="auto"/>
        <w:jc w:val="both"/>
        <w:rPr>
          <w:rFonts w:ascii="Arial" w:hAnsi="Arial" w:cs="Arial"/>
          <w:kern w:val="0"/>
          <w:sz w:val="21"/>
          <w:szCs w:val="21"/>
          <w:lang w:val="fr-FR" w:eastAsia="fr-FR"/>
        </w:rPr>
      </w:pPr>
    </w:p>
    <w:p w14:paraId="14A7F197" w14:textId="569B8CB2" w:rsidR="006A74CD" w:rsidRDefault="007561DE">
      <w:pPr>
        <w:spacing w:after="0" w:line="276" w:lineRule="auto"/>
        <w:jc w:val="both"/>
      </w:pPr>
      <w:r>
        <w:rPr>
          <w:rFonts w:ascii="Arial" w:hAnsi="Arial" w:cs="Arial"/>
          <w:kern w:val="0"/>
          <w:sz w:val="21"/>
          <w:szCs w:val="21"/>
          <w:lang w:val="fr-FR" w:eastAsia="fr-FR"/>
        </w:rPr>
        <w:t xml:space="preserve">Le bois de chauffage constitue la source principale d’énergie au sein des foyers. D’après l’étude socio-économique, près de la majorité des ménages recourent au bois pour la cuisson, alors que l’utilisation du charbon de bois demeure marginale (moins d’un ménage sur cinq) (</w:t>
      </w:r>
      <w:r>
        <w:rPr>
          <w:rFonts w:ascii="Arial" w:hAnsi="Arial" w:cs="Arial"/>
          <w:i/>
          <w:iCs/>
          <w:kern w:val="0"/>
          <w:sz w:val="21"/>
          <w:szCs w:val="21"/>
          <w:lang w:val="fr-FR" w:eastAsia="fr-FR"/>
        </w:rPr>
        <w:t xml:space="preserve">OKAPI, 2025 et 2026 : données recueillies pendant cette étude WCAG et complété ar les données de l’EIES de AMC CARGO PORT, AMC BAUXITE PORT et AMC RAILWAY)</w:t>
      </w:r>
      <w:r>
        <w:rPr>
          <w:rFonts w:ascii="Arial" w:hAnsi="Arial" w:cs="Arial"/>
          <w:kern w:val="0"/>
          <w:sz w:val="21"/>
          <w:szCs w:val="21"/>
          <w:lang w:val="fr-FR" w:eastAsia="fr-FR"/>
        </w:rPr>
        <w:br/>
        <w:lastRenderedPageBreak/>
        <w:br/>
        <w:t>La cueillette est effectuée principalement par les femmes et les enfants, qui continuent d’employer le foyer traditionnel à trois pierres. Le bois fait également l’objet d’une commercialisation par de petits producteurs et revendeurs, sous forme de fagots le long des routes locales, ou bien débité en planches destinées à la construction et à l’ameublement.</w:t>
      </w:r>
    </w:p>
    <w:p w14:paraId="09EBE070" w14:textId="77777777" w:rsidR="006A74CD" w:rsidRDefault="006A74CD">
      <w:pPr>
        <w:spacing w:after="0" w:line="276" w:lineRule="auto"/>
        <w:jc w:val="both"/>
        <w:rPr>
          <w:rFonts w:ascii="Arial" w:hAnsi="Arial" w:cs="Arial"/>
          <w:kern w:val="0"/>
          <w:sz w:val="21"/>
          <w:szCs w:val="21"/>
          <w:lang w:val="fr-FR" w:eastAsia="fr-FR"/>
        </w:rPr>
      </w:pPr>
    </w:p>
    <w:p w14:paraId="390DCD1A"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Outre le bois destiné au chauffage, les communautés tirent parti de diverses ressources forestières secondaires :</w:t>
      </w:r>
    </w:p>
    <w:p w14:paraId="618242EC" w14:textId="77777777" w:rsidR="006A74CD" w:rsidRDefault="006A74CD">
      <w:pPr>
        <w:spacing w:after="0" w:line="276" w:lineRule="auto"/>
        <w:jc w:val="both"/>
        <w:rPr>
          <w:rFonts w:ascii="Arial" w:hAnsi="Arial" w:cs="Arial"/>
          <w:kern w:val="0"/>
          <w:sz w:val="21"/>
          <w:szCs w:val="21"/>
          <w:lang w:val="fr-FR" w:eastAsia="fr-FR"/>
        </w:rPr>
      </w:pPr>
    </w:p>
    <w:p w14:paraId="5D4E47D3" w14:textId="77777777" w:rsidR="006A74CD" w:rsidRDefault="007561DE">
      <w:pPr>
        <w:numPr>
          <w:ilvl w:val="0"/>
          <w:numId w:val="12"/>
        </w:numPr>
        <w:spacing w:after="0" w:line="276" w:lineRule="auto"/>
        <w:jc w:val="both"/>
      </w:pPr>
      <w:r>
        <w:rPr>
          <w:rFonts w:ascii="Arial" w:hAnsi="Arial" w:cs="Arial"/>
          <w:kern w:val="0"/>
          <w:sz w:val="21"/>
          <w:szCs w:val="21"/>
          <w:lang w:val="fr-FR" w:eastAsia="fr-FR"/>
        </w:rPr>
        <w:t xml:space="preserve">Produits alimentaires : fruits du néré, miel sauvage, noix de cajou, </w:t>
      </w:r>
      <w:r>
        <w:rPr>
          <w:rFonts w:ascii="Arial" w:hAnsi="Arial" w:cs="Arial"/>
          <w:i/>
          <w:iCs/>
          <w:kern w:val="0"/>
          <w:sz w:val="21"/>
          <w:szCs w:val="21"/>
          <w:lang w:eastAsia="fr-FR"/>
        </w:rPr>
        <w:t xml:space="preserve">Combretum micranthum (Kinkéliba)</w:t>
      </w:r>
      <w:r>
        <w:rPr>
          <w:rFonts w:ascii="Arial" w:hAnsi="Arial" w:cs="Arial"/>
          <w:kern w:val="0"/>
          <w:sz w:val="21"/>
          <w:szCs w:val="21"/>
          <w:lang w:val="fr-FR" w:eastAsia="fr-FR"/>
        </w:rPr>
        <w:t xml:space="preserve"> ;</w:t>
      </w:r>
    </w:p>
    <w:p w14:paraId="1F265FAB" w14:textId="77777777" w:rsidR="006A74CD" w:rsidRDefault="007561DE">
      <w:pPr>
        <w:numPr>
          <w:ilvl w:val="0"/>
          <w:numId w:val="12"/>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Produits médicinaux : écorces, feuilles et racines de certaines espèces employées dans les pratiques de soins traditionnels, en raison du manque des infrastructures sanitaires locales (le plus proche est Kanfarandé qui se trouve à plus de 40 km) ;</w:t>
      </w:r>
    </w:p>
    <w:p w14:paraId="1E30D9D2" w14:textId="77777777" w:rsidR="006A74CD" w:rsidRDefault="007561DE">
      <w:pPr>
        <w:numPr>
          <w:ilvl w:val="0"/>
          <w:numId w:val="12"/>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Bois de service : prélevé principalement en vue d'être utilisé dans le cadre des activités artisanales (construction, ouvrages de petite taille).</w:t>
      </w:r>
    </w:p>
    <w:p w14:paraId="532117B1" w14:textId="77777777" w:rsidR="006A74CD" w:rsidRDefault="006A74CD">
      <w:pPr>
        <w:spacing w:after="0" w:line="276" w:lineRule="auto"/>
        <w:jc w:val="both"/>
        <w:rPr>
          <w:rFonts w:ascii="Arial" w:hAnsi="Arial" w:cs="Arial"/>
          <w:kern w:val="0"/>
          <w:sz w:val="21"/>
          <w:szCs w:val="21"/>
          <w:lang w:val="fr-FR" w:eastAsia="fr-FR"/>
        </w:rPr>
      </w:pPr>
    </w:p>
    <w:p w14:paraId="3796C94D"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Parallèlement, la dépendance marquée aux plantes médicinales révèle une vulnérabilité sanitaire, il n’existe pas seul établissement de santé digne de nom, ce qui incite les ménages à privilégier le recours aux remèdes traditionnels. La diminution de ces ressources engendrées par le projet accentuerait cette dépendance et pourrait entraîner des répercussions défavorables sur la santé publique.</w:t>
      </w:r>
    </w:p>
    <w:p w14:paraId="2EB56D4F" w14:textId="77777777" w:rsidR="006A74CD" w:rsidRDefault="006A74CD">
      <w:pPr>
        <w:spacing w:after="0" w:line="276" w:lineRule="auto"/>
        <w:jc w:val="both"/>
        <w:rPr>
          <w:rFonts w:ascii="Arial" w:hAnsi="Arial" w:cs="Arial"/>
          <w:kern w:val="0"/>
          <w:sz w:val="21"/>
          <w:szCs w:val="21"/>
          <w:lang w:val="fr-FR" w:eastAsia="fr-FR"/>
        </w:rPr>
      </w:pPr>
    </w:p>
    <w:p w14:paraId="012F3D7B"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forêts et mangroves locales exercent une fonction socio-économique et écologique essentielle. La réalisation du projet nécessitera :</w:t>
      </w:r>
    </w:p>
    <w:p w14:paraId="0C5639A1" w14:textId="77777777" w:rsidR="006A74CD" w:rsidRDefault="006A74CD">
      <w:pPr>
        <w:spacing w:after="0" w:line="276" w:lineRule="auto"/>
        <w:jc w:val="both"/>
        <w:rPr>
          <w:rFonts w:ascii="Arial" w:hAnsi="Arial" w:cs="Arial"/>
          <w:kern w:val="0"/>
          <w:sz w:val="21"/>
          <w:szCs w:val="21"/>
          <w:lang w:val="fr-FR" w:eastAsia="fr-FR"/>
        </w:rPr>
      </w:pPr>
    </w:p>
    <w:p w14:paraId="62ED93D4" w14:textId="77777777" w:rsidR="006A74CD" w:rsidRDefault="007561DE">
      <w:pPr>
        <w:numPr>
          <w:ilvl w:val="0"/>
          <w:numId w:val="13"/>
        </w:numPr>
        <w:spacing w:after="0" w:line="276" w:lineRule="auto"/>
        <w:ind w:left="714" w:hanging="357"/>
        <w:jc w:val="both"/>
        <w:rPr>
          <w:rFonts w:ascii="Arial" w:eastAsia="Times New Roman" w:hAnsi="Arial" w:cs="Arial"/>
          <w:kern w:val="0"/>
          <w:sz w:val="21"/>
          <w:szCs w:val="21"/>
          <w:lang w:val="fr-FR" w:eastAsia="zh-CN"/>
        </w:rPr>
      </w:pPr>
      <w:r>
        <w:rPr>
          <w:rFonts w:ascii="Arial" w:eastAsia="Times New Roman" w:hAnsi="Arial" w:cs="Arial"/>
          <w:kern w:val="0"/>
          <w:sz w:val="21"/>
          <w:szCs w:val="21"/>
          <w:lang w:val="fr-FR" w:eastAsia="zh-CN"/>
        </w:rPr>
        <w:t>une restriction partielle de l’accès aux ressources forestières traditionnelles (bois, plantes médicinales, denrées alimentaires),</w:t>
      </w:r>
    </w:p>
    <w:p w14:paraId="4F4D1627" w14:textId="77777777" w:rsidR="006A74CD" w:rsidRDefault="007561DE">
      <w:pPr>
        <w:numPr>
          <w:ilvl w:val="0"/>
          <w:numId w:val="13"/>
        </w:numPr>
        <w:spacing w:after="0" w:line="276" w:lineRule="auto"/>
        <w:ind w:left="714" w:hanging="357"/>
        <w:jc w:val="both"/>
        <w:rPr>
          <w:rFonts w:ascii="Arial" w:eastAsia="Times New Roman" w:hAnsi="Arial" w:cs="Arial"/>
          <w:kern w:val="0"/>
          <w:sz w:val="21"/>
          <w:szCs w:val="21"/>
          <w:lang w:val="fr-FR" w:eastAsia="zh-CN"/>
        </w:rPr>
      </w:pPr>
      <w:r>
        <w:rPr>
          <w:rFonts w:ascii="Arial" w:eastAsia="Times New Roman" w:hAnsi="Arial" w:cs="Arial"/>
          <w:kern w:val="0"/>
          <w:sz w:val="21"/>
          <w:szCs w:val="21"/>
          <w:lang w:val="fr-FR" w:eastAsia="zh-CN"/>
        </w:rPr>
        <w:t>une augmentation de la pression résultant de l’afflux de nouveaux résidents,</w:t>
      </w:r>
    </w:p>
    <w:p w14:paraId="5B57A823" w14:textId="77777777" w:rsidR="006A74CD" w:rsidRDefault="007561DE">
      <w:pPr>
        <w:numPr>
          <w:ilvl w:val="0"/>
          <w:numId w:val="13"/>
        </w:numPr>
        <w:spacing w:after="0" w:line="276" w:lineRule="auto"/>
        <w:ind w:left="714" w:hanging="357"/>
        <w:jc w:val="both"/>
        <w:rPr>
          <w:rFonts w:ascii="Arial" w:eastAsia="Times New Roman" w:hAnsi="Arial" w:cs="Arial"/>
          <w:kern w:val="0"/>
          <w:sz w:val="21"/>
          <w:szCs w:val="21"/>
          <w:lang w:val="fr-FR" w:eastAsia="zh-CN"/>
        </w:rPr>
      </w:pPr>
      <w:r>
        <w:rPr>
          <w:rFonts w:ascii="Arial" w:eastAsia="Times New Roman" w:hAnsi="Arial" w:cs="Arial"/>
          <w:kern w:val="0"/>
          <w:sz w:val="21"/>
          <w:szCs w:val="21"/>
          <w:lang w:val="fr-FR" w:eastAsia="zh-CN"/>
        </w:rPr>
        <w:t xml:space="preserve">Une vulnérabilisation des pratiques de médecine traditionnelle imputable à la diminution progressive des espèces végétales employées dans les traitements.</w:t>
      </w:r>
    </w:p>
    <w:p w14:paraId="4CDA3BFA" w14:textId="77777777" w:rsidR="006A74CD" w:rsidRDefault="006A74CD">
      <w:pPr>
        <w:spacing w:after="0" w:line="276" w:lineRule="auto"/>
        <w:ind w:left="714"/>
        <w:jc w:val="both"/>
        <w:rPr>
          <w:rFonts w:ascii="Arial" w:eastAsia="Times New Roman" w:hAnsi="Arial" w:cs="Arial"/>
          <w:kern w:val="0"/>
          <w:sz w:val="21"/>
          <w:szCs w:val="21"/>
          <w:lang w:val="fr-FR" w:eastAsia="zh-CN"/>
        </w:rPr>
      </w:pPr>
    </w:p>
    <w:p w14:paraId="6B3BC9EC" w14:textId="77777777" w:rsidR="006A74CD" w:rsidRDefault="007561DE">
      <w:pPr>
        <w:spacing w:after="0" w:line="276" w:lineRule="auto"/>
        <w:jc w:val="both"/>
      </w:pPr>
      <w:r>
        <w:rPr>
          <w:rFonts w:ascii="Arial" w:hAnsi="Arial" w:cs="Arial"/>
          <w:kern w:val="0"/>
          <w:sz w:val="21"/>
          <w:szCs w:val="21"/>
          <w:lang w:val="fr-FR" w:eastAsia="fr-FR"/>
        </w:rPr>
        <w:t xml:space="preserve">Ainsi, en raison de la forte dépendance des communautés locales au bois de chauffage, aux plantes médicinales et aux produits forestiers non ligneux, et du déplacement physique de certaines communautés, l’impact du projet sur ces ressources est estimé comme </w:t>
      </w:r>
      <w:r>
        <w:rPr>
          <w:rFonts w:ascii="Arial" w:hAnsi="Arial" w:cs="Arial"/>
          <w:b/>
          <w:bCs/>
          <w:kern w:val="0"/>
          <w:sz w:val="21"/>
          <w:szCs w:val="21"/>
          <w:lang w:val="fr-FR" w:eastAsia="fr-FR"/>
        </w:rPr>
        <w:t xml:space="preserve">étant moyen </w:t>
      </w:r>
      <w:r>
        <w:rPr>
          <w:rFonts w:ascii="Arial" w:hAnsi="Arial" w:cs="Arial"/>
          <w:kern w:val="0"/>
          <w:sz w:val="21"/>
          <w:szCs w:val="21"/>
          <w:lang w:val="fr-FR" w:eastAsia="fr-FR"/>
        </w:rPr>
        <w:t>pendant la phase de construction</w:t>
      </w:r>
      <w:r>
        <w:rPr>
          <w:rFonts w:ascii="Arial" w:hAnsi="Arial" w:cs="Arial"/>
          <w:b/>
          <w:bCs/>
          <w:kern w:val="0"/>
          <w:sz w:val="21"/>
          <w:szCs w:val="21"/>
          <w:lang w:val="fr-FR" w:eastAsia="fr-FR"/>
        </w:rPr>
        <w:t xml:space="preserve"> et mineure </w:t>
      </w:r>
      <w:r>
        <w:rPr>
          <w:rFonts w:ascii="Arial" w:hAnsi="Arial" w:cs="Arial"/>
          <w:kern w:val="0"/>
          <w:sz w:val="21"/>
          <w:szCs w:val="21"/>
          <w:lang w:val="fr-FR" w:eastAsia="fr-FR"/>
        </w:rPr>
        <w:t>pendant la phase</w:t>
      </w:r>
      <w:r>
        <w:rPr>
          <w:rFonts w:ascii="Arial" w:hAnsi="Arial" w:cs="Arial"/>
          <w:b/>
          <w:bCs/>
          <w:kern w:val="0"/>
          <w:sz w:val="21"/>
          <w:szCs w:val="21"/>
          <w:lang w:val="fr-FR" w:eastAsia="fr-FR"/>
        </w:rPr>
        <w:t xml:space="preserve"> </w:t>
      </w:r>
      <w:r>
        <w:rPr>
          <w:rFonts w:ascii="Arial" w:hAnsi="Arial" w:cs="Arial"/>
          <w:kern w:val="0"/>
          <w:sz w:val="21"/>
          <w:szCs w:val="21"/>
          <w:lang w:val="fr-FR" w:eastAsia="fr-FR"/>
        </w:rPr>
        <w:t xml:space="preserve">d’exploitation. </w:t>
      </w:r>
    </w:p>
    <w:p w14:paraId="6FBE5659" w14:textId="77777777" w:rsidR="006A74CD" w:rsidRDefault="006A74CD">
      <w:pPr>
        <w:spacing w:after="0" w:line="276" w:lineRule="auto"/>
        <w:jc w:val="both"/>
        <w:rPr>
          <w:rFonts w:ascii="Arial" w:eastAsia="Times New Roman" w:hAnsi="Arial" w:cs="Arial"/>
          <w:kern w:val="0"/>
          <w:lang w:val="fr-FR" w:eastAsia="zh-CN"/>
        </w:rPr>
      </w:pPr>
    </w:p>
    <w:p w14:paraId="740378A8"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74" w:name="_Toc194299109"/>
      <w:bookmarkStart w:id="175" w:name="_Toc191545612"/>
      <w:bookmarkStart w:id="176" w:name="_Toc184282098"/>
      <w:bookmarkStart w:id="177" w:name="_Toc210821899"/>
      <w:bookmarkStart w:id="178" w:name="_Toc210994988"/>
      <w:bookmarkStart w:id="179" w:name="_Toc222731520"/>
      <w:r>
        <w:rPr>
          <w:rFonts w:ascii="Arial" w:eastAsia="Times New Roman" w:hAnsi="Arial" w:cs="Arial"/>
          <w:b/>
          <w:bCs/>
          <w:sz w:val="21"/>
          <w:szCs w:val="21"/>
          <w:lang w:val="fr-FR"/>
        </w:rPr>
        <w:t>Eau</w:t>
      </w:r>
      <w:bookmarkEnd w:id="174"/>
      <w:bookmarkEnd w:id="175"/>
      <w:bookmarkEnd w:id="176"/>
      <w:bookmarkEnd w:id="177"/>
      <w:bookmarkEnd w:id="178"/>
      <w:bookmarkEnd w:id="179"/>
      <w:r>
        <w:rPr>
          <w:rFonts w:ascii="Arial" w:eastAsia="Times New Roman" w:hAnsi="Arial" w:cs="Arial"/>
          <w:b/>
          <w:bCs/>
          <w:sz w:val="21"/>
          <w:szCs w:val="21"/>
          <w:lang w:val="fr-FR"/>
        </w:rPr>
        <w:t xml:space="preserve"> de consommation</w:t>
      </w:r>
    </w:p>
    <w:p w14:paraId="4438CDA0" w14:textId="77777777" w:rsidR="006A74CD" w:rsidRDefault="006A74CD">
      <w:pPr>
        <w:rPr>
          <w:rFonts w:eastAsia="SimSun"/>
          <w:kern w:val="0"/>
        </w:rPr>
      </w:pPr>
    </w:p>
    <w:p w14:paraId="5235520F" w14:textId="77777777" w:rsidR="006A74CD" w:rsidRDefault="007561DE">
      <w:pPr>
        <w:spacing w:after="0" w:line="276" w:lineRule="auto"/>
        <w:jc w:val="both"/>
        <w:rPr>
          <w:rFonts w:ascii="Arial" w:eastAsia="SimSun" w:hAnsi="Arial" w:cs="Arial"/>
          <w:kern w:val="0"/>
          <w:sz w:val="21"/>
          <w:szCs w:val="21"/>
          <w:u w:val="single"/>
          <w:lang w:val="fr-FR" w:eastAsia="fr-FR"/>
        </w:rPr>
      </w:pPr>
      <w:r>
        <w:rPr>
          <w:rFonts w:ascii="Arial" w:eastAsia="SimSun" w:hAnsi="Arial" w:cs="Arial"/>
          <w:kern w:val="0"/>
          <w:sz w:val="21"/>
          <w:szCs w:val="21"/>
          <w:u w:val="single"/>
          <w:lang w:val="fr-FR" w:eastAsia="fr-FR"/>
        </w:rPr>
        <w:t>Description et évaluation des impacts</w:t>
      </w:r>
    </w:p>
    <w:p w14:paraId="6299E89B" w14:textId="77777777" w:rsidR="006A74CD" w:rsidRDefault="006A74CD">
      <w:pPr>
        <w:spacing w:after="0" w:line="276" w:lineRule="auto"/>
        <w:jc w:val="both"/>
        <w:rPr>
          <w:rFonts w:ascii="Arial" w:eastAsia="SimSun" w:hAnsi="Arial" w:cs="Arial"/>
          <w:kern w:val="0"/>
          <w:sz w:val="21"/>
          <w:szCs w:val="21"/>
          <w:u w:val="single"/>
          <w:lang w:val="fr-FR" w:eastAsia="fr-FR"/>
        </w:rPr>
      </w:pPr>
    </w:p>
    <w:p w14:paraId="457D765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ressources en eau constituent un service écosystémique essentiel pour les communautés locales, notamment pour la consommation domestique, l’agriculture et l’élevage. Les populations dépendent principalement des bras de mer, des estuaires, marigots et sources situés à proximité des villages.</w:t>
      </w:r>
    </w:p>
    <w:p w14:paraId="79330236" w14:textId="77777777" w:rsidR="006A74CD" w:rsidRDefault="006A74CD">
      <w:pPr>
        <w:spacing w:after="0" w:line="276" w:lineRule="auto"/>
        <w:jc w:val="both"/>
        <w:rPr>
          <w:rFonts w:ascii="Arial" w:hAnsi="Arial" w:cs="Arial"/>
          <w:kern w:val="0"/>
          <w:sz w:val="21"/>
          <w:szCs w:val="21"/>
          <w:lang w:val="fr-FR" w:eastAsia="fr-FR"/>
        </w:rPr>
      </w:pPr>
    </w:p>
    <w:p w14:paraId="34E8BA71"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La zone du Projet n’abritant pas un seul forage ni de puits améliorés, les communautés se reposent largement sur des puits creusés par eux même à travers des moyens rudimentaires, qui, le plus </w:t>
        <w:lastRenderedPageBreak/>
        <w:t xml:space="preserve">souvent ne sont pas bien couverts, pour satisfaire leurs besoins quotidiens, notamment en matière de consommation, de préparation des aliments, d’hygiène. </w:t>
      </w:r>
    </w:p>
    <w:p w14:paraId="5F455F62" w14:textId="77777777" w:rsidR="006A74CD" w:rsidRDefault="006A74CD">
      <w:pPr>
        <w:spacing w:after="0" w:line="276" w:lineRule="auto"/>
        <w:jc w:val="both"/>
        <w:rPr>
          <w:rFonts w:ascii="Arial" w:hAnsi="Arial" w:cs="Arial"/>
          <w:color w:val="EE0000"/>
          <w:kern w:val="0"/>
          <w:sz w:val="21"/>
          <w:szCs w:val="21"/>
          <w:lang w:val="fr-FR" w:eastAsia="fr-FR"/>
        </w:rPr>
      </w:pPr>
    </w:p>
    <w:p w14:paraId="036926B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Dans la zone du projet, l’absence de forages et de puits améliorés oblige les communautés à s’approvisionner en eau à partir de puits artisanaux creusés avec des moyens rudimentaires. Ces ouvrages, souvent mal protégés ou non couverts, exposent l’eau à des risques élevés de contamination et servent pourtant aux usages essentiels du quotidien : boisson, préparation des aliments et hygiène. La pratique de la défécation à l’air libre, encore répandue, accentue ces risques sanitaires.</w:t>
      </w:r>
    </w:p>
    <w:p w14:paraId="74000F54" w14:textId="77777777" w:rsidR="006A74CD" w:rsidRDefault="006A74CD">
      <w:pPr>
        <w:spacing w:after="0" w:line="276" w:lineRule="auto"/>
        <w:jc w:val="both"/>
        <w:rPr>
          <w:rFonts w:ascii="Arial" w:hAnsi="Arial" w:cs="Arial"/>
          <w:kern w:val="0"/>
          <w:sz w:val="21"/>
          <w:szCs w:val="21"/>
          <w:lang w:val="fr-FR" w:eastAsia="fr-FR"/>
        </w:rPr>
      </w:pPr>
    </w:p>
    <w:p w14:paraId="136FB394" w14:textId="77777777" w:rsidR="004429A7" w:rsidRPr="004429A7" w:rsidRDefault="004429A7" w:rsidP="004429A7">
      <w:pPr>
        <w:suppressAutoHyphens w:val="0"/>
        <w:autoSpaceDN/>
        <w:spacing w:before="100" w:beforeAutospacing="1" w:after="100" w:afterAutospacing="1" w:line="276" w:lineRule="auto"/>
        <w:jc w:val="both"/>
        <w:textAlignment w:val="auto"/>
        <w:rPr>
          <w:rFonts w:ascii="Arial" w:hAnsi="Arial" w:cs="Arial"/>
          <w:kern w:val="0"/>
          <w:sz w:val="21"/>
          <w:szCs w:val="21"/>
          <w:lang w:val="fr-FR" w:eastAsia="fr-FR"/>
          <w:rPrChange w:id="181" w:author="Ismael SAMBY" w:date="2026-07-17T13:23:00Z">
            <w:rPr>
              <w:rFonts w:ascii="Times New Roman" w:eastAsia="Times New Roman" w:hAnsi="Times New Roman"/>
              <w:kern w:val="0"/>
              <w:sz w:val="24"/>
              <w:szCs w:val="24"/>
              <w:lang w:val="fr-FR" w:eastAsia="fr-FR"/>
            </w:rPr>
          </w:rPrChange>
        </w:rPr>
        <w:pPrChange w:id="183" w:author="Ismael SAMBY" w:date="2026-07-17T13:23:00Z">
          <w:pPr>
            <w:suppressAutoHyphens w:val="0"/>
            <w:autoSpaceDN/>
            <w:spacing w:before="100" w:beforeAutospacing="1" w:after="100" w:afterAutospacing="1" w:line="240" w:lineRule="auto"/>
            <w:textAlignment w:val="auto"/>
          </w:pPr>
        </w:pPrChange>
      </w:pPr>
      <w:r>
        <w:rPr>
          <w:rFonts w:ascii="Arial" w:hAnsi="Arial" w:cs="Arial"/>
          <w:kern w:val="0"/>
          <w:sz w:val="21"/>
          <w:szCs w:val="21"/>
          <w:lang w:val="fr-FR" w:eastAsia="fr-FR"/>
          <w:rPrChange w:id="185" w:author="Ismael SAMBY" w:date="2026-07-17T13:23:00Z">
            <w:rPr>
              <w:rFonts w:ascii="Times New Roman" w:eastAsia="Times New Roman" w:hAnsi="Times New Roman"/>
              <w:kern w:val="0"/>
              <w:sz w:val="24"/>
              <w:szCs w:val="24"/>
              <w:lang w:val="fr-FR" w:eastAsia="fr-FR"/>
            </w:rPr>
          </w:rPrChange>
        </w:rPr>
        <w:t>Par ailleurs, en l'absence de mesures de gestion appropriées, l'installation de stockage des résidus de boues rouges et la raffinerie pourraient constituer une source potentielle de contamination des ressources en eau (à maîtriser par une étanchéité conforme à la GB 18599-2020, une surveillance des eaux souterraines selon la GB/T 14848-2017 et une eau de consommation conforme à la GB 5749) utilisées par les populations, par le biais de voies de transfert telles que l'infiltration ou le ruissellement de résidus et d'effluents industriels. Ce risque potentiel souligne la nécessité de mesures de conception et de gestion rigoureuses, détaillées dans le Plan de Gestion Environnementale et Sociale (PGES) et le Chapitre 22 (Plan de Gestion des Risques Environnementaux et des Situations d'Urgence), notamment en matière de confinement, de protection des ressources en eau et de gestion des déchets.</w:t>
      </w:r>
    </w:p>
    <w:p w14:paraId="3F48E159" w14:textId="700FF49E" w:rsidR="004429A7" w:rsidRPr="001F5CCE" w:rsidRDefault="004429A7" w:rsidP="001F5CCE">
      <w:pPr>
        <w:pStyle w:val="font-claude-response-body"/>
        <w:jc w:val="both"/>
        <w:rPr>
          <w:rFonts w:ascii="Arial" w:hAnsi="Arial" w:cs="Arial"/>
          <w:sz w:val="21"/>
          <w:szCs w:val="21"/>
          <w:rPrChange w:id="187" w:author="Ismael SAMBY" w:date="2026-07-17T14:43:00Z">
            <w:rPr>
              <w:rFonts w:ascii="Times New Roman" w:eastAsia="Times New Roman" w:hAnsi="Times New Roman"/>
              <w:kern w:val="0"/>
              <w:sz w:val="24"/>
              <w:szCs w:val="24"/>
              <w:lang w:val="fr-FR" w:eastAsia="fr-FR"/>
            </w:rPr>
          </w:rPrChange>
        </w:rPr>
        <w:pPrChange w:id="189" w:author="Ismael SAMBY" w:date="2026-07-17T14:43:00Z">
          <w:pPr>
            <w:suppressAutoHyphens w:val="0"/>
            <w:autoSpaceDN/>
            <w:spacing w:before="100" w:beforeAutospacing="1" w:after="100" w:afterAutospacing="1" w:line="240" w:lineRule="auto"/>
            <w:textAlignment w:val="auto"/>
          </w:pPr>
        </w:pPrChange>
      </w:pPr>
      <w:r>
        <w:rPr>
          <w:rFonts w:ascii="Arial" w:eastAsiaTheme="minorEastAsia" w:hAnsi="Arial" w:cs="Arial"/>
          <w:sz w:val="21"/>
          <w:szCs w:val="21"/>
          <w:rPrChange w:id="191" w:author="Ismael SAMBY" w:date="2026-07-17T13:23:00Z">
            <w:rPr>
              <w:rFonts w:ascii="Times New Roman" w:eastAsia="Times New Roman" w:hAnsi="Times New Roman"/>
              <w:kern w:val="0"/>
              <w:sz w:val="24"/>
              <w:szCs w:val="24"/>
              <w:lang w:val="fr-FR" w:eastAsia="fr-FR"/>
            </w:rPr>
          </w:rPrChange>
        </w:rPr>
        <w:t xml:space="preserve">Néanmoins, la qualité ainsi que la disponibilité de l'eau représentent d'ores et déjà une problématique majeure, indépendamment du Projet. </w:t>
      </w:r>
      <w:r>
        <w:rPr>
          <w:rFonts w:ascii="Arial" w:hAnsi="Arial" w:cs="Arial"/>
          <w:sz w:val="21"/>
          <w:szCs w:val="21"/>
          <w:rPrChange w:id="193" w:author="Ismael SAMBY" w:date="2026-07-17T14:40:00Z">
            <w:rPr/>
          </w:rPrChange>
        </w:rPr>
        <w:t xml:space="preserve">Malgré de nombreuses interventions, la situation en matière d’assainissement et d’hygiène en Guinée reste préoccupante : plus de 78% de la population n’a pas accès à l’assainissement de base et environ 15% de la population continue à déféquer à </w:t>
      </w:r>
      <w:r>
        <w:rPr>
          <w:rFonts w:ascii="Arial" w:hAnsi="Arial" w:cs="Arial"/>
          <w:sz w:val="21"/>
          <w:szCs w:val="21"/>
          <w:rPrChange w:id="194" w:author="Ismael SAMBY" w:date="2026-07-17T14:41:00Z">
            <w:rPr/>
          </w:rPrChange>
        </w:rPr>
        <w:t>l’air libre</w:t>
      </w:r>
      <w:r>
        <w:rPr>
          <w:rFonts w:ascii="Arial" w:hAnsi="Arial" w:cs="Arial"/>
          <w:sz w:val="21"/>
          <w:szCs w:val="21"/>
        </w:rPr>
        <w:t xml:space="preserve"> (</w:t>
      </w:r>
      <w:r>
        <w:rPr>
          <w:rFonts w:ascii="Arial" w:hAnsi="Arial" w:cs="Arial"/>
          <w:i/>
          <w:iCs/>
          <w:sz w:val="21"/>
          <w:szCs w:val="21"/>
          <w:rPrChange w:id="196" w:author="Ismael SAMBY" w:date="2026-07-17T14:42:00Z">
            <w:rPr>
              <w:rStyle w:val="lev"/>
            </w:rPr>
          </w:rPrChange>
        </w:rPr>
        <w:t xml:space="preserve">Fiche « </w:t>
      </w:r>
      <w:r>
        <w:rPr>
          <w:rFonts w:ascii="Arial" w:hAnsi="Arial" w:cs="Arial"/>
          <w:i/>
          <w:iCs/>
          <w:sz w:val="21"/>
          <w:szCs w:val="21"/>
          <w:rPrChange w:id="197" w:author="Ismael SAMBY" w:date="2026-07-17T14:42:00Z">
            <w:rPr>
              <w:rStyle w:val="lev"/>
            </w:rPr>
          </w:rPrChange>
        </w:rPr>
        <w:t>Success</w:t>
      </w:r>
      <w:r>
        <w:rPr>
          <w:rFonts w:ascii="Arial" w:hAnsi="Arial" w:cs="Arial"/>
          <w:i/>
          <w:iCs/>
          <w:sz w:val="21"/>
          <w:szCs w:val="21"/>
          <w:rPrChange w:id="198" w:author="Ismael SAMBY" w:date="2026-07-17T14:42:00Z">
            <w:rPr>
              <w:rStyle w:val="lev"/>
            </w:rPr>
          </w:rPrChange>
        </w:rPr>
        <w:t xml:space="preserve"> story » ASPE-</w:t>
      </w:r>
      <w:r>
        <w:rPr>
          <w:rFonts w:ascii="Arial" w:hAnsi="Arial" w:cs="Arial"/>
          <w:i/>
          <w:iCs/>
          <w:sz w:val="21"/>
          <w:szCs w:val="21"/>
          <w:rPrChange w:id="199" w:author="Ismael SAMBY" w:date="2026-07-17T14:42:00Z">
            <w:rPr>
              <w:rStyle w:val="lev"/>
            </w:rPr>
          </w:rPrChange>
        </w:rPr>
        <w:t>iOMD</w:t>
      </w:r>
      <w:r>
        <w:rPr>
          <w:rFonts w:ascii="Arial" w:hAnsi="Arial" w:cs="Arial"/>
          <w:i/>
          <w:iCs/>
          <w:sz w:val="21"/>
          <w:szCs w:val="21"/>
          <w:rPrChange w:id="200" w:author="Ismael SAMBY" w:date="2026-07-17T14:42:00Z">
            <w:rPr>
              <w:rStyle w:val="lev"/>
            </w:rPr>
          </w:rPrChange>
        </w:rPr>
        <w:t xml:space="preserve"> (EEAS)</w:t>
      </w:r>
      <w:r>
        <w:rPr>
          <w:rFonts w:ascii="Arial" w:hAnsi="Arial" w:cs="Arial"/>
          <w:i/>
          <w:iCs/>
          <w:sz w:val="21"/>
          <w:szCs w:val="21"/>
          <w:rPrChange w:id="202" w:author="Ismael SAMBY" w:date="2026-07-17T14:42:00Z">
            <w:rPr>
              <w:rFonts w:ascii="Arial" w:hAnsi="Arial" w:cs="Arial"/>
              <w:sz w:val="21"/>
              <w:szCs w:val="21"/>
            </w:rPr>
          </w:rPrChange>
        </w:rPr>
        <w:t xml:space="preserve"> </w:t>
      </w:r>
      <w:r>
        <w:rPr>
          <w:rFonts w:ascii="Arial" w:hAnsi="Arial" w:cs="Arial"/>
          <w:i/>
          <w:iCs/>
          <w:sz w:val="21"/>
          <w:szCs w:val="21"/>
          <w:rPrChange w:id="204" w:author="Ismael SAMBY" w:date="2026-07-17T14:42:00Z">
            <w:rPr/>
          </w:rPrChange>
        </w:rPr>
        <w:t xml:space="preserve">Titre : </w:t>
      </w:r>
      <w:r>
        <w:rPr>
          <w:rFonts w:ascii="Arial" w:hAnsi="Arial" w:cs="Arial"/>
          <w:i/>
          <w:iCs/>
          <w:sz w:val="21"/>
          <w:szCs w:val="21"/>
          <w:rPrChange w:id="205" w:author="Ismael SAMBY" w:date="2026-07-17T14:42:00Z">
            <w:rPr>
              <w:rStyle w:val="Accentuation"/>
            </w:rPr>
          </w:rPrChange>
        </w:rPr>
        <w:t>« Le projet ASPE-</w:t>
      </w:r>
      <w:r>
        <w:rPr>
          <w:rFonts w:ascii="Arial" w:hAnsi="Arial" w:cs="Arial"/>
          <w:i/>
          <w:iCs/>
          <w:sz w:val="21"/>
          <w:szCs w:val="21"/>
          <w:rPrChange w:id="206" w:author="Ismael SAMBY" w:date="2026-07-17T14:42:00Z">
            <w:rPr>
              <w:rStyle w:val="Accentuation"/>
            </w:rPr>
          </w:rPrChange>
        </w:rPr>
        <w:t>iOMD</w:t>
      </w:r>
      <w:r>
        <w:rPr>
          <w:rFonts w:ascii="Arial" w:hAnsi="Arial" w:cs="Arial"/>
          <w:i/>
          <w:iCs/>
          <w:sz w:val="21"/>
          <w:szCs w:val="21"/>
          <w:rPrChange w:id="207" w:author="Ismael SAMBY" w:date="2026-07-17T14:42:00Z">
            <w:rPr>
              <w:rStyle w:val="Accentuation"/>
            </w:rPr>
          </w:rPrChange>
        </w:rPr>
        <w:t xml:space="preserve"> et son contexte »</w:t>
      </w:r>
      <w:r>
        <w:rPr>
          <w:rFonts w:ascii="Arial" w:hAnsi="Arial" w:cs="Arial"/>
          <w:i/>
          <w:iCs/>
          <w:sz w:val="21"/>
          <w:szCs w:val="21"/>
          <w:rPrChange w:id="209" w:author="Ismael SAMBY" w:date="2026-07-17T14:42:00Z">
            <w:rPr>
              <w:rFonts w:ascii="Arial" w:hAnsi="Arial" w:cs="Arial"/>
              <w:sz w:val="21"/>
              <w:szCs w:val="21"/>
            </w:rPr>
          </w:rPrChange>
        </w:rPr>
        <w:t xml:space="preserve"> </w:t>
      </w:r>
      <w:r>
        <w:rPr>
          <w:rFonts w:ascii="Arial" w:hAnsi="Arial" w:cs="Arial"/>
          <w:i/>
          <w:iCs/>
          <w:sz w:val="21"/>
          <w:szCs w:val="21"/>
          <w:rPrChange w:id="211" w:author="Ismael SAMBY" w:date="2026-07-17T14:42:00Z">
            <w:rPr/>
          </w:rPrChange>
        </w:rPr>
        <w:t xml:space="preserve">URL : </w:t>
      </w:r>
      <w:r>
        <w:rPr>
          <w:rFonts w:ascii="Arial" w:hAnsi="Arial" w:cs="Arial"/>
          <w:i/>
          <w:iCs/>
          <w:sz w:val="21"/>
          <w:szCs w:val="21"/>
        </w:rPr>
        <w:fldChar w:fldCharType="begin"/>
        <w:instrText xml:space="preserve"> HYPERLINK "</w:instrText>
      </w:r>
      <w:r>
        <w:rPr>
          <w:rFonts w:ascii="Arial" w:hAnsi="Arial" w:cs="Arial"/>
          <w:i/>
          <w:iCs/>
          <w:sz w:val="21"/>
          <w:szCs w:val="21"/>
          <w:rPrChange w:id="214" w:author="Ismael SAMBY" w:date="2026-07-17T14:42:00Z">
            <w:rPr>
              <w:rStyle w:val="Lienhypertexte"/>
            </w:rPr>
          </w:rPrChange>
        </w:rPr>
        <w:instrText>https://www.eeas.europa.eu/sites/default/files/documents/Succces%20stories_ASPE-iOMD.pdf</w:instrText>
      </w:r>
      <w:r>
        <w:rPr>
          <w:rFonts w:ascii="Arial" w:hAnsi="Arial" w:cs="Arial"/>
          <w:i/>
          <w:iCs/>
          <w:sz w:val="21"/>
          <w:szCs w:val="21"/>
        </w:rPr>
        <w:instrText xml:space="preserve">" </w:instrText>
        <w:fldChar w:fldCharType="separate"/>
      </w:r>
      <w:r>
        <w:rPr>
          <w:rStyle w:val="Lienhypertexte"/>
          <w:rFonts w:ascii="Arial" w:hAnsi="Arial" w:cs="Arial"/>
          <w:i/>
          <w:iCs/>
          <w:sz w:val="21"/>
          <w:szCs w:val="21"/>
          <w:rPrChange w:id="217" w:author="Ismael SAMBY" w:date="2026-07-17T14:42:00Z">
            <w:rPr>
              <w:rStyle w:val="Lienhypertexte"/>
            </w:rPr>
          </w:rPrChange>
        </w:rPr>
        <w:t>https://www.eeas.europa.eu/sites/default/files/documents/Succces%20stories_ASPE-iOMD.pdf</w:t>
      </w:r>
      <w:r>
        <w:rPr>
          <w:rFonts w:ascii="Arial" w:hAnsi="Arial" w:cs="Arial"/>
          <w:i/>
          <w:iCs/>
          <w:sz w:val="21"/>
          <w:szCs w:val="21"/>
        </w:rPr>
        <w:fldChar w:fldCharType="end"/>
      </w:r>
      <w:r>
        <w:rPr>
          <w:rFonts w:ascii="Arial" w:hAnsi="Arial" w:cs="Arial"/>
          <w:i/>
          <w:iCs/>
          <w:sz w:val="21"/>
          <w:szCs w:val="21"/>
          <w:rPrChange w:id="219" w:author="Ismael SAMBY" w:date="2026-07-17T14:42:00Z">
            <w:rPr>
              <w:rFonts w:ascii="Arial" w:hAnsi="Arial" w:cs="Arial"/>
              <w:sz w:val="21"/>
              <w:szCs w:val="21"/>
            </w:rPr>
          </w:rPrChange>
        </w:rPr>
        <w:t>)</w:t>
      </w:r>
      <w:r>
        <w:rPr>
          <w:rFonts w:ascii="Arial" w:eastAsiaTheme="minorEastAsia" w:hAnsi="Arial" w:cs="Arial"/>
          <w:sz w:val="21"/>
          <w:szCs w:val="21"/>
          <w:rPrChange w:id="221" w:author="Ismael SAMBY" w:date="2026-07-17T13:23:00Z">
            <w:rPr>
              <w:rFonts w:ascii="Times New Roman" w:eastAsia="Times New Roman" w:hAnsi="Times New Roman"/>
              <w:kern w:val="0"/>
              <w:sz w:val="24"/>
              <w:szCs w:val="24"/>
              <w:lang w:val="fr-FR" w:eastAsia="fr-FR"/>
            </w:rPr>
          </w:rPrChange>
        </w:rPr>
        <w:t>, ce qui augmente le risque de maladies d'origine hydrique (diarrhées, typhoïde). Le déficit d'infrastructures sanitaires contribue à la propagation des maladies vectorielles telles que le paludisme.</w:t>
      </w:r>
    </w:p>
    <w:p w14:paraId="14C331C8" w14:textId="77777777" w:rsidR="006A74CD" w:rsidRDefault="006A74CD">
      <w:pPr>
        <w:spacing w:after="0" w:line="276" w:lineRule="auto"/>
        <w:jc w:val="both"/>
        <w:rPr>
          <w:rFonts w:ascii="Arial" w:hAnsi="Arial" w:cs="Arial"/>
          <w:kern w:val="0"/>
          <w:sz w:val="21"/>
          <w:szCs w:val="21"/>
          <w:lang w:val="fr-FR" w:eastAsia="fr-FR"/>
        </w:rPr>
      </w:pPr>
    </w:p>
    <w:p w14:paraId="1F59857F"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Évaluation d'impact</w:t>
      </w:r>
    </w:p>
    <w:p w14:paraId="486329AF" w14:textId="77777777" w:rsidR="006A74CD" w:rsidRDefault="006A74CD">
      <w:pPr>
        <w:spacing w:after="0" w:line="276" w:lineRule="auto"/>
        <w:jc w:val="both"/>
        <w:rPr>
          <w:rFonts w:ascii="Arial" w:hAnsi="Arial" w:cs="Arial"/>
          <w:kern w:val="0"/>
          <w:sz w:val="21"/>
          <w:szCs w:val="21"/>
          <w:shd w:val="clear" w:color="auto" w:fill="FFFF00"/>
          <w:lang w:val="fr-FR" w:eastAsia="fr-FR"/>
        </w:rPr>
      </w:pPr>
    </w:p>
    <w:p w14:paraId="1F430288" w14:textId="77777777" w:rsidR="006A74CD" w:rsidRDefault="007561DE">
      <w:pPr>
        <w:spacing w:after="0" w:line="276" w:lineRule="auto"/>
        <w:jc w:val="both"/>
      </w:pPr>
      <w:r>
        <w:rPr>
          <w:rFonts w:ascii="Arial" w:hAnsi="Arial" w:cs="Arial"/>
          <w:kern w:val="0"/>
          <w:sz w:val="21"/>
          <w:szCs w:val="21"/>
          <w:lang w:val="fr-FR" w:eastAsia="fr-FR"/>
        </w:rPr>
        <w:t xml:space="preserve">En raison du déplacement physique de certaines communautés se trouvant dans la zone du Projet et de l’incertitude de la disponibilité en eau de consommation dans le territoire d’accueil de ces communautés, l’impact sur ce service est jugé comme </w:t>
      </w:r>
      <w:r>
        <w:rPr>
          <w:rFonts w:ascii="Arial" w:hAnsi="Arial" w:cs="Arial"/>
          <w:b/>
          <w:bCs/>
          <w:kern w:val="0"/>
          <w:sz w:val="21"/>
          <w:szCs w:val="21"/>
          <w:lang w:val="fr-FR" w:eastAsia="fr-FR"/>
        </w:rPr>
        <w:t xml:space="preserve">mineure </w:t>
      </w:r>
      <w:r>
        <w:rPr>
          <w:rFonts w:ascii="Arial" w:hAnsi="Arial" w:cs="Arial"/>
          <w:kern w:val="0"/>
          <w:sz w:val="21"/>
          <w:szCs w:val="21"/>
          <w:lang w:val="fr-FR" w:eastAsia="fr-FR"/>
        </w:rPr>
        <w:t>pendant la phase de construction</w:t>
      </w:r>
      <w:r>
        <w:rPr>
          <w:rFonts w:ascii="Arial" w:hAnsi="Arial" w:cs="Arial"/>
          <w:b/>
          <w:bCs/>
          <w:kern w:val="0"/>
          <w:sz w:val="21"/>
          <w:szCs w:val="21"/>
          <w:lang w:val="fr-FR" w:eastAsia="fr-FR"/>
        </w:rPr>
        <w:t xml:space="preserve"> </w:t>
      </w:r>
      <w:r>
        <w:rPr>
          <w:rFonts w:ascii="Arial" w:hAnsi="Arial" w:cs="Arial"/>
          <w:kern w:val="0"/>
          <w:sz w:val="21"/>
          <w:szCs w:val="21"/>
          <w:lang w:val="fr-FR" w:eastAsia="fr-FR"/>
        </w:rPr>
        <w:t>et</w:t>
      </w:r>
      <w:r>
        <w:rPr>
          <w:rFonts w:ascii="Arial" w:hAnsi="Arial" w:cs="Arial"/>
          <w:b/>
          <w:bCs/>
          <w:kern w:val="0"/>
          <w:sz w:val="21"/>
          <w:szCs w:val="21"/>
          <w:lang w:val="fr-FR" w:eastAsia="fr-FR"/>
        </w:rPr>
        <w:t xml:space="preserve"> majeure </w:t>
      </w:r>
      <w:r>
        <w:rPr>
          <w:rFonts w:ascii="Arial" w:hAnsi="Arial" w:cs="Arial"/>
          <w:kern w:val="0"/>
          <w:sz w:val="21"/>
          <w:szCs w:val="21"/>
          <w:lang w:val="fr-FR" w:eastAsia="fr-FR"/>
        </w:rPr>
        <w:t>pendant la phase de construction si les mesures proposées par le PGES</w:t>
      </w:r>
      <w:r>
        <w:rPr>
          <w:rFonts w:ascii="Arial" w:hAnsi="Arial" w:cs="Arial"/>
          <w:b/>
          <w:bCs/>
          <w:kern w:val="0"/>
          <w:sz w:val="21"/>
          <w:szCs w:val="21"/>
          <w:lang w:val="fr-FR" w:eastAsia="fr-FR"/>
        </w:rPr>
        <w:t xml:space="preserve"> </w:t>
      </w:r>
      <w:r>
        <w:rPr>
          <w:rFonts w:ascii="Arial" w:hAnsi="Arial" w:cs="Arial"/>
          <w:kern w:val="0"/>
          <w:sz w:val="21"/>
          <w:szCs w:val="21"/>
        </w:rPr>
        <w:t>ne sont pas rigoureusement mises en œuvre, notamment celles relatives à l’approvisionnement en eau potable, à la protection des ressources hydriques et à l’aménagement des sites de réinstallation</w:t>
      </w:r>
      <w:r>
        <w:rPr>
          <w:rFonts w:ascii="Arial" w:hAnsi="Arial" w:cs="Arial"/>
          <w:kern w:val="0"/>
          <w:sz w:val="21"/>
          <w:szCs w:val="21"/>
          <w:lang w:val="fr-FR" w:eastAsia="fr-FR"/>
        </w:rPr>
        <w:t>.</w:t>
      </w:r>
    </w:p>
    <w:p w14:paraId="68C4DAB8" w14:textId="77777777" w:rsidR="006A74CD" w:rsidRDefault="006A74CD">
      <w:pPr>
        <w:spacing w:after="0" w:line="276" w:lineRule="auto"/>
        <w:jc w:val="both"/>
        <w:rPr>
          <w:rFonts w:ascii="Arial" w:hAnsi="Arial" w:cs="Arial"/>
          <w:kern w:val="0"/>
          <w:sz w:val="21"/>
          <w:szCs w:val="21"/>
          <w:lang w:val="fr-FR" w:eastAsia="fr-FR"/>
        </w:rPr>
      </w:pPr>
    </w:p>
    <w:p w14:paraId="6307B157" w14:textId="77777777" w:rsidR="006A74CD" w:rsidRDefault="006A74CD">
      <w:pPr>
        <w:spacing w:after="0" w:line="276" w:lineRule="auto"/>
        <w:jc w:val="both"/>
        <w:rPr>
          <w:rFonts w:ascii="Arial" w:hAnsi="Arial" w:cs="Arial"/>
          <w:kern w:val="0"/>
          <w:sz w:val="21"/>
          <w:szCs w:val="21"/>
          <w:lang w:val="fr-FR" w:eastAsia="fr-FR"/>
        </w:rPr>
      </w:pPr>
    </w:p>
    <w:p w14:paraId="392B310B" w14:textId="77777777" w:rsidR="006A74CD" w:rsidRDefault="006A74CD">
      <w:pPr>
        <w:spacing w:after="0" w:line="276" w:lineRule="auto"/>
        <w:jc w:val="both"/>
        <w:rPr>
          <w:rFonts w:ascii="Arial" w:hAnsi="Arial" w:cs="Arial"/>
          <w:kern w:val="0"/>
          <w:sz w:val="21"/>
          <w:szCs w:val="21"/>
          <w:lang w:val="fr-FR" w:eastAsia="fr-FR"/>
        </w:rPr>
      </w:pPr>
    </w:p>
    <w:p w14:paraId="4905560D" w14:textId="77777777" w:rsidR="006A74CD" w:rsidRDefault="006A74CD">
      <w:pPr>
        <w:spacing w:after="0" w:line="276" w:lineRule="auto"/>
        <w:jc w:val="both"/>
        <w:rPr>
          <w:rFonts w:ascii="Arial" w:eastAsia="SimSun" w:hAnsi="Arial" w:cs="Arial"/>
          <w:iCs/>
          <w:kern w:val="0"/>
          <w:sz w:val="21"/>
          <w:szCs w:val="21"/>
          <w:lang w:val="fr-FR" w:eastAsia="zh-CN"/>
        </w:rPr>
      </w:pPr>
    </w:p>
    <w:p w14:paraId="6CC30F81"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229" w:name="_Toc194299110"/>
      <w:bookmarkStart w:id="230" w:name="_Toc191545613"/>
      <w:bookmarkStart w:id="231" w:name="_Toc184282099"/>
      <w:bookmarkStart w:id="232" w:name="_Toc210821900"/>
      <w:bookmarkStart w:id="233" w:name="_Toc210994989"/>
      <w:bookmarkStart w:id="234" w:name="_Toc222731521"/>
      <w:r>
        <w:rPr>
          <w:rFonts w:ascii="Arial" w:eastAsia="Times New Roman" w:hAnsi="Arial" w:cs="Arial"/>
          <w:b/>
          <w:bCs/>
          <w:sz w:val="21"/>
          <w:szCs w:val="21"/>
          <w:lang w:val="fr-FR"/>
        </w:rPr>
        <w:t>Sites du patrimoine culturel</w:t>
      </w:r>
      <w:bookmarkEnd w:id="229"/>
      <w:bookmarkEnd w:id="230"/>
      <w:bookmarkEnd w:id="231"/>
      <w:bookmarkEnd w:id="232"/>
      <w:bookmarkEnd w:id="233"/>
      <w:bookmarkEnd w:id="234"/>
    </w:p>
    <w:p w14:paraId="1236BF74" w14:textId="77777777" w:rsidR="006A74CD" w:rsidRDefault="006A74CD">
      <w:pPr>
        <w:rPr>
          <w:rFonts w:eastAsia="SimSun"/>
          <w:kern w:val="0"/>
          <w:lang w:val="fr-FR" w:eastAsia="fr-FR"/>
        </w:rPr>
      </w:pPr>
    </w:p>
    <w:p w14:paraId="595B74B8" w14:textId="77777777" w:rsidR="006A74CD" w:rsidRDefault="007561DE">
      <w:pPr>
        <w:spacing w:line="276" w:lineRule="auto"/>
        <w:jc w:val="both"/>
        <w:rPr>
          <w:rFonts w:ascii="Arial" w:eastAsia="SimSun" w:hAnsi="Arial" w:cs="Arial"/>
          <w:i/>
          <w:kern w:val="0"/>
          <w:lang w:val="fr-FR" w:eastAsia="zh-CN"/>
        </w:rPr>
      </w:pPr>
      <w:r>
        <w:rPr>
          <w:rFonts w:ascii="Arial" w:eastAsia="SimSun" w:hAnsi="Arial" w:cs="Arial"/>
          <w:i/>
          <w:kern w:val="0"/>
          <w:lang w:val="fr-FR" w:eastAsia="zh-CN"/>
        </w:rPr>
        <w:t>Identification et description des impacts</w:t>
      </w:r>
    </w:p>
    <w:p w14:paraId="24999DCC"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Certains éléments du patrimoine culturel immatériel sont associés aux écosystèmes naturels traversés par le projet, notamment des cours d’eau, des paysages et des espaces naturels à valeur symbolique. Ces services culturels contribuent à l’identité locale et à la transmission des savoirs traditionnels.</w:t>
      </w:r>
    </w:p>
    <w:p w14:paraId="3447649D" w14:textId="77777777" w:rsidR="006A74CD" w:rsidRDefault="006A74CD">
      <w:pPr>
        <w:spacing w:after="0" w:line="276" w:lineRule="auto"/>
        <w:jc w:val="both"/>
        <w:rPr>
          <w:rFonts w:ascii="Arial" w:hAnsi="Arial" w:cs="Arial"/>
          <w:kern w:val="0"/>
          <w:sz w:val="21"/>
          <w:szCs w:val="21"/>
          <w:lang w:val="fr-FR" w:eastAsia="fr-FR"/>
        </w:rPr>
      </w:pPr>
    </w:p>
    <w:p w14:paraId="31EBBC25"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Ces lieux représentent des repères identitaires et culturels majeurs pour certaines communautés, bien que leur fréquentation tende à décliner au profit de pratiques religieuses islamiques.</w:t>
        <w:br/>
        <w:br/>
        <w:t>Comparativement à d’autres régions de Guinée, le nombre de sites sacrés recensés dans la zone d’influence du projet demeure relativement petit. Cette situation pourrait s’expliquer par une certaine réserve des populations à communiquer des informations considérées comme sensibles, ou par un déclin graduel de ces pratiques (Dans de nombreux villages, les fétiches, amulettes et grigris sont dorénavant honorés au sein des concessions familiales plutôt que dans des lieux collectifs.</w:t>
      </w:r>
    </w:p>
    <w:p w14:paraId="3B9D9A81" w14:textId="77777777" w:rsidR="006A74CD" w:rsidRDefault="006A74CD">
      <w:pPr>
        <w:spacing w:after="0" w:line="276" w:lineRule="auto"/>
        <w:jc w:val="both"/>
        <w:rPr>
          <w:rFonts w:ascii="Arial" w:hAnsi="Arial" w:cs="Arial"/>
          <w:kern w:val="0"/>
          <w:sz w:val="21"/>
          <w:szCs w:val="21"/>
          <w:lang w:val="fr-FR" w:eastAsia="fr-FR"/>
        </w:rPr>
      </w:pPr>
    </w:p>
    <w:p w14:paraId="283D1025" w14:textId="77777777" w:rsidR="006A74CD" w:rsidRDefault="007561DE">
      <w:pPr>
        <w:spacing w:after="0" w:line="276" w:lineRule="auto"/>
        <w:jc w:val="both"/>
        <w:rPr>
          <w:rFonts w:ascii="Arial" w:eastAsia="SimSun" w:hAnsi="Arial" w:cs="Arial"/>
          <w:kern w:val="0"/>
          <w:sz w:val="21"/>
          <w:szCs w:val="21"/>
          <w:u w:val="single"/>
          <w:lang w:val="fr-FR" w:eastAsia="fr-FR"/>
        </w:rPr>
      </w:pPr>
      <w:r>
        <w:rPr>
          <w:rFonts w:ascii="Arial" w:eastAsia="SimSun" w:hAnsi="Arial" w:cs="Arial"/>
          <w:kern w:val="0"/>
          <w:sz w:val="21"/>
          <w:szCs w:val="21"/>
          <w:u w:val="single"/>
          <w:lang w:val="fr-FR" w:eastAsia="fr-FR"/>
        </w:rPr>
        <w:t>Évaluation d'impact</w:t>
      </w:r>
    </w:p>
    <w:p w14:paraId="49A127A5" w14:textId="77777777" w:rsidR="006A74CD" w:rsidRDefault="006A74CD">
      <w:pPr>
        <w:spacing w:after="0" w:line="276" w:lineRule="auto"/>
        <w:jc w:val="both"/>
        <w:rPr>
          <w:rFonts w:ascii="Arial" w:hAnsi="Arial" w:cs="Arial"/>
          <w:kern w:val="0"/>
          <w:sz w:val="21"/>
          <w:szCs w:val="21"/>
          <w:lang w:val="fr-FR" w:eastAsia="fr-FR"/>
        </w:rPr>
      </w:pPr>
    </w:p>
    <w:p w14:paraId="467AB45E"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travaux de construction affecteront directement certains espaces à valeur culturelle non formalisée, notamment par la modification du paysage. Des communautés perdront leurs souvenirs et ne pourront pas renouer avec les esprits invisibles qui protègent leurs villages depuis l’époque de leur ancêtre. </w:t>
      </w:r>
    </w:p>
    <w:p w14:paraId="6C66424D" w14:textId="77777777" w:rsidR="006A74CD" w:rsidRDefault="006A74CD">
      <w:pPr>
        <w:spacing w:after="0" w:line="276" w:lineRule="auto"/>
        <w:jc w:val="both"/>
        <w:rPr>
          <w:rFonts w:ascii="Arial" w:hAnsi="Arial" w:cs="Arial"/>
          <w:kern w:val="0"/>
          <w:sz w:val="21"/>
          <w:szCs w:val="21"/>
          <w:lang w:val="fr-FR" w:eastAsia="fr-FR"/>
        </w:rPr>
      </w:pPr>
    </w:p>
    <w:p w14:paraId="2A0A811B" w14:textId="77777777" w:rsidR="006A74CD" w:rsidRDefault="007561DE">
      <w:pPr>
        <w:spacing w:after="0" w:line="276" w:lineRule="auto"/>
        <w:jc w:val="both"/>
      </w:pPr>
      <w:r>
        <w:rPr>
          <w:rFonts w:ascii="Arial" w:hAnsi="Arial" w:cs="Arial"/>
          <w:kern w:val="0"/>
          <w:sz w:val="21"/>
          <w:szCs w:val="21"/>
        </w:rPr>
        <w:t>Étant donné l’importance des services culturels pour ces communautés, l’impact du projet est estimé comme</w:t>
      </w:r>
      <w:r>
        <w:rPr>
          <w:rFonts w:ascii="Arial" w:hAnsi="Arial" w:cs="Arial"/>
          <w:b/>
          <w:bCs/>
          <w:kern w:val="0"/>
          <w:sz w:val="21"/>
          <w:szCs w:val="21"/>
        </w:rPr>
        <w:t xml:space="preserve"> moyen</w:t>
      </w:r>
      <w:r>
        <w:rPr>
          <w:rFonts w:ascii="Arial" w:hAnsi="Arial" w:cs="Arial"/>
          <w:kern w:val="0"/>
          <w:sz w:val="21"/>
          <w:szCs w:val="21"/>
        </w:rPr>
        <w:t xml:space="preserve"> pour les communautés déplacées et leurs territoires pendant l’ensemble de la durée du projet. Pour les autres villages, qui ne seront pas déplacés mais subiront une perte de terres, l’impact direct est considéré comme</w:t>
      </w:r>
      <w:r>
        <w:rPr>
          <w:rFonts w:ascii="Arial" w:hAnsi="Arial" w:cs="Arial"/>
          <w:b/>
          <w:bCs/>
          <w:kern w:val="0"/>
          <w:sz w:val="21"/>
          <w:szCs w:val="21"/>
        </w:rPr>
        <w:t xml:space="preserve"> mineure </w:t>
      </w:r>
      <w:r>
        <w:rPr>
          <w:rFonts w:ascii="Arial" w:hAnsi="Arial" w:cs="Arial"/>
          <w:kern w:val="0"/>
          <w:sz w:val="21"/>
          <w:szCs w:val="21"/>
        </w:rPr>
        <w:t>en phase d’exploitation. Toutefois, dans ces villages, le flux migratoire lié au projet pourrait introduire des influences externes susceptibles de modifier certaines pratiques et coutumes locales.</w:t>
      </w:r>
    </w:p>
    <w:p w14:paraId="7007A978" w14:textId="77777777" w:rsidR="006A74CD" w:rsidRDefault="006A74CD">
      <w:pPr>
        <w:spacing w:after="0" w:line="276" w:lineRule="auto"/>
        <w:jc w:val="both"/>
        <w:rPr>
          <w:rFonts w:ascii="Arial" w:hAnsi="Arial" w:cs="Arial"/>
          <w:b/>
          <w:bCs/>
          <w:kern w:val="0"/>
          <w:sz w:val="21"/>
          <w:szCs w:val="21"/>
          <w:lang w:val="fr-FR" w:eastAsia="fr-FR"/>
        </w:rPr>
      </w:pPr>
    </w:p>
    <w:p w14:paraId="70FD576D"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r>
        <w:rPr>
          <w:rFonts w:ascii="Arial" w:eastAsia="Times New Roman" w:hAnsi="Arial" w:cs="Arial"/>
          <w:b/>
          <w:bCs/>
          <w:sz w:val="21"/>
          <w:szCs w:val="21"/>
          <w:lang w:val="fr-FR"/>
        </w:rPr>
        <w:t>Pêche </w:t>
      </w:r>
    </w:p>
    <w:p w14:paraId="420FF419" w14:textId="77777777" w:rsidR="006A74CD" w:rsidRDefault="006A74CD">
      <w:pPr>
        <w:spacing w:after="0" w:line="240" w:lineRule="auto"/>
        <w:jc w:val="both"/>
        <w:rPr>
          <w:rFonts w:ascii="Arial" w:eastAsia="SimSun" w:hAnsi="Arial" w:cs="Arial"/>
          <w:i/>
          <w:kern w:val="0"/>
          <w:lang w:val="fr-FR" w:eastAsia="zh-CN"/>
        </w:rPr>
      </w:pPr>
    </w:p>
    <w:p w14:paraId="79143487" w14:textId="77777777" w:rsidR="006A74CD" w:rsidRDefault="007561DE">
      <w:pPr>
        <w:spacing w:line="276" w:lineRule="auto"/>
        <w:jc w:val="both"/>
        <w:rPr>
          <w:rFonts w:ascii="Arial" w:eastAsia="SimSun" w:hAnsi="Arial" w:cs="Arial"/>
          <w:i/>
          <w:kern w:val="0"/>
          <w:lang w:val="fr-FR" w:eastAsia="zh-CN"/>
        </w:rPr>
      </w:pPr>
      <w:r>
        <w:rPr>
          <w:rFonts w:ascii="Arial" w:eastAsia="SimSun" w:hAnsi="Arial" w:cs="Arial"/>
          <w:i/>
          <w:kern w:val="0"/>
          <w:lang w:val="fr-FR" w:eastAsia="zh-CN"/>
        </w:rPr>
        <w:t>Identification et description des impacts</w:t>
      </w:r>
    </w:p>
    <w:p w14:paraId="173009E5" w14:textId="77777777" w:rsidR="006A74CD" w:rsidRDefault="007561DE">
      <w:pPr>
        <w:spacing w:after="0" w:line="276" w:lineRule="auto"/>
        <w:jc w:val="both"/>
      </w:pPr>
      <w:r>
        <w:rPr>
          <w:rFonts w:ascii="Arial" w:hAnsi="Arial" w:cs="Arial"/>
          <w:kern w:val="0"/>
          <w:sz w:val="21"/>
          <w:szCs w:val="21"/>
        </w:rPr>
        <w:t xml:space="preserve">La pêche représente un service écosystémique pour les communautés côtières de la zone d’étude telles que Kaweswes, Karouty et Diffiyarè, qu’il s’agisse d’un moyen de subsistance, d’une source alimentaire ou d’une activité génératrice de revenus</w:t>
      </w:r>
      <w:r>
        <w:rPr>
          <w:rFonts w:ascii="Arial" w:hAnsi="Arial" w:cs="Arial"/>
          <w:b/>
          <w:bCs/>
          <w:kern w:val="0"/>
          <w:sz w:val="21"/>
          <w:szCs w:val="21"/>
        </w:rPr>
        <w:t>,</w:t>
      </w:r>
      <w:r>
        <w:rPr>
          <w:rFonts w:ascii="Arial" w:hAnsi="Arial" w:cs="Arial"/>
          <w:kern w:val="0"/>
          <w:sz w:val="21"/>
          <w:szCs w:val="21"/>
        </w:rPr>
        <w:t xml:space="preserve"> même si l’intensité de la pêche est particulièrement marquée autour du port de pêche de Karabgo se trouvant dans le District de Dobali auquel ces villages rélèvent. Pour les communautés directement impactées par le projet, les perturbations des milieux aquatiques, l’augmentation de la pollution pourraient réduire la productivité des pêcheries artisanales. </w:t>
      </w:r>
    </w:p>
    <w:p w14:paraId="28F84A91" w14:textId="77777777" w:rsidR="006A74CD" w:rsidRDefault="006A74CD">
      <w:pPr>
        <w:spacing w:after="0" w:line="276" w:lineRule="auto"/>
        <w:jc w:val="both"/>
        <w:rPr>
          <w:rFonts w:ascii="Arial" w:hAnsi="Arial" w:cs="Arial"/>
          <w:kern w:val="0"/>
          <w:sz w:val="21"/>
          <w:szCs w:val="21"/>
        </w:rPr>
      </w:pPr>
    </w:p>
    <w:p w14:paraId="5851753D" w14:textId="77777777" w:rsidR="006A74CD" w:rsidRDefault="007561DE">
      <w:pPr>
        <w:spacing w:after="0" w:line="276" w:lineRule="auto"/>
        <w:jc w:val="both"/>
      </w:pPr>
      <w:r>
        <w:rPr>
          <w:rFonts w:ascii="Arial" w:hAnsi="Arial" w:cs="Arial"/>
          <w:kern w:val="0"/>
          <w:sz w:val="21"/>
          <w:szCs w:val="21"/>
        </w:rPr>
        <w:t>Le</w:t>
      </w:r>
      <w:r>
        <w:rPr>
          <w:rFonts w:ascii="Arial" w:hAnsi="Arial" w:cs="Arial"/>
          <w:b/>
          <w:bCs/>
          <w:kern w:val="0"/>
          <w:sz w:val="21"/>
          <w:szCs w:val="21"/>
        </w:rPr>
        <w:t xml:space="preserve"> </w:t>
      </w:r>
      <w:r>
        <w:rPr>
          <w:rFonts w:ascii="Arial" w:hAnsi="Arial" w:cs="Arial"/>
          <w:kern w:val="0"/>
          <w:sz w:val="21"/>
          <w:szCs w:val="21"/>
        </w:rPr>
        <w:t>port de pêche de Dobali</w:t>
      </w:r>
      <w:r>
        <w:rPr>
          <w:rFonts w:ascii="Arial" w:hAnsi="Arial" w:cs="Arial"/>
          <w:b/>
          <w:bCs/>
          <w:kern w:val="0"/>
          <w:sz w:val="21"/>
          <w:szCs w:val="21"/>
        </w:rPr>
        <w:t xml:space="preserve"> </w:t>
      </w:r>
      <w:r>
        <w:rPr>
          <w:rFonts w:ascii="Arial" w:hAnsi="Arial" w:cs="Arial"/>
          <w:kern w:val="0"/>
          <w:sz w:val="21"/>
          <w:szCs w:val="21"/>
        </w:rPr>
        <w:t xml:space="preserve">ne faisant pas partie de la zone d’étude du Projet joue un rôle central dans l’économie halieutique des villages de la zone d’étude. C’est l’un des principaux lieux où les captures sont rassemblées, commercialisées et transformées, ce qui en fait un pôle dynamique de </w:t>
        <w:lastRenderedPageBreak/>
        <w:t>l’activité halieutique</w:t>
      </w:r>
      <w:r>
        <w:rPr>
          <w:rFonts w:ascii="Arial" w:hAnsi="Arial" w:cs="Arial"/>
          <w:b/>
          <w:bCs/>
          <w:kern w:val="0"/>
          <w:sz w:val="21"/>
          <w:szCs w:val="21"/>
        </w:rPr>
        <w:t xml:space="preserve"> </w:t>
      </w:r>
      <w:r>
        <w:rPr>
          <w:rFonts w:ascii="Arial" w:hAnsi="Arial" w:cs="Arial"/>
          <w:kern w:val="0"/>
          <w:sz w:val="21"/>
          <w:szCs w:val="21"/>
        </w:rPr>
        <w:t xml:space="preserve">dans la zone. Selon les données de l’enquête socio économiqe relatives</w:t>
      </w:r>
      <w:r>
        <w:rPr>
          <w:rFonts w:ascii="Arial" w:hAnsi="Arial" w:cs="Arial"/>
          <w:b/>
          <w:bCs/>
          <w:kern w:val="0"/>
          <w:sz w:val="21"/>
          <w:szCs w:val="21"/>
        </w:rPr>
        <w:t xml:space="preserve"> </w:t>
      </w:r>
      <w:r>
        <w:rPr>
          <w:rFonts w:ascii="Arial" w:hAnsi="Arial" w:cs="Arial"/>
          <w:kern w:val="0"/>
          <w:sz w:val="21"/>
          <w:szCs w:val="21"/>
        </w:rPr>
        <w:t xml:space="preserve">à la pêche réalisée par OKAPI dans les ports et campement de pêche du District de Dobali, de Kaweswes en 2025, </w:t>
      </w:r>
      <w:r>
        <w:rPr>
          <w:rFonts w:ascii="Arial" w:hAnsi="Arial" w:cs="Arial"/>
          <w:sz w:val="21"/>
          <w:szCs w:val="21"/>
          <w:lang w:val="fr-FR"/>
        </w:rPr>
        <w:t>le recensement a dénombré 11 débarcadères, dont 5 situés dans la zone d’intervention directe des deux projets portuaires de l’entité d’AMCP (minier et polyvalent) et 6 autres localisés en dehors de ces emprises.</w:t>
      </w:r>
    </w:p>
    <w:p w14:paraId="480B99D3" w14:textId="77777777" w:rsidR="006A74CD" w:rsidRDefault="006A74CD">
      <w:pPr>
        <w:spacing w:after="0" w:line="276" w:lineRule="auto"/>
        <w:jc w:val="both"/>
        <w:rPr>
          <w:rFonts w:ascii="Arial" w:hAnsi="Arial" w:cs="Arial"/>
          <w:sz w:val="21"/>
          <w:szCs w:val="21"/>
          <w:lang w:val="fr-FR"/>
        </w:rPr>
      </w:pPr>
    </w:p>
    <w:p w14:paraId="00190661" w14:textId="77777777" w:rsidR="006A74CD" w:rsidRDefault="007561DE">
      <w:pPr>
        <w:spacing w:after="0" w:line="276" w:lineRule="auto"/>
        <w:jc w:val="both"/>
        <w:rPr>
          <w:rFonts w:ascii="Arial" w:hAnsi="Arial" w:cs="Arial"/>
          <w:sz w:val="21"/>
          <w:szCs w:val="21"/>
          <w:lang w:val="fr-FR"/>
        </w:rPr>
      </w:pPr>
      <w:r>
        <w:rPr>
          <w:rFonts w:ascii="Arial" w:hAnsi="Arial" w:cs="Arial"/>
          <w:sz w:val="21"/>
          <w:szCs w:val="21"/>
          <w:lang w:val="fr-FR"/>
        </w:rPr>
        <w:t xml:space="preserve">Les zones concernées par la présente étude présentent encore un état de conservation globalement satisfaisant, mais restent fortement menacées par l’expansion des activités minières et portuaires : turbidité des eaux de surface, destruction de la mangrove, pollution des zones de nurserie, perte d’engins de pêche et déplacement des espèces halieutiques. </w:t>
      </w:r>
    </w:p>
    <w:p w14:paraId="5B1658BB" w14:textId="77777777" w:rsidR="006A74CD" w:rsidRDefault="006A74CD">
      <w:pPr>
        <w:spacing w:after="0" w:line="276" w:lineRule="auto"/>
        <w:jc w:val="both"/>
        <w:rPr>
          <w:rFonts w:ascii="Arial" w:hAnsi="Arial" w:cs="Arial"/>
          <w:sz w:val="21"/>
          <w:szCs w:val="21"/>
          <w:lang w:val="fr-FR"/>
        </w:rPr>
      </w:pPr>
    </w:p>
    <w:p w14:paraId="0356DF32" w14:textId="6122F6A4" w:rsidR="006A74CD" w:rsidRDefault="007561DE">
      <w:pPr>
        <w:spacing w:after="0" w:line="276" w:lineRule="auto"/>
        <w:jc w:val="both"/>
        <w:rPr>
          <w:rFonts w:ascii="Arial" w:hAnsi="Arial" w:cs="Arial"/>
          <w:sz w:val="21"/>
          <w:szCs w:val="21"/>
          <w:lang w:val="fr-FR"/>
        </w:rPr>
      </w:pPr>
      <w:r>
        <w:rPr>
          <w:rFonts w:ascii="Arial" w:hAnsi="Arial" w:cs="Arial"/>
          <w:sz w:val="21"/>
          <w:szCs w:val="21"/>
          <w:lang w:val="fr-FR"/>
        </w:rPr>
        <w:t xml:space="preserve">Quant au site de débarquement, la même étude montre que Kawesswes est exclusivement composé de pirogues de type Gbankenyi (100 %). Viennent ensuite les sites de Facineya, Difiare, Fori Souri et Kampoundouk, où les pirogues monoxyles représentent chacun plus de 70 % des embarcations. Le type de pirogue Salan est présent dans presque tous les sites, à l’exception de Kawesswes. La plus forte concentration de pirogues Salan est observée à Karagbo, avec près de 90 %, suivie de Sotiret et de Mamoudouya, où elles dépassent chacune 70 %.</w:t>
      </w:r>
    </w:p>
    <w:p w14:paraId="155CD6BC" w14:textId="25A6A604" w:rsidR="00391385" w:rsidRDefault="00391385">
      <w:pPr>
        <w:spacing w:after="0" w:line="276" w:lineRule="auto"/>
        <w:jc w:val="both"/>
        <w:rPr>
          <w:rFonts w:ascii="Arial" w:hAnsi="Arial" w:cs="Arial"/>
          <w:sz w:val="21"/>
          <w:szCs w:val="21"/>
          <w:lang w:val="fr-FR"/>
        </w:rPr>
      </w:pPr>
    </w:p>
    <w:p w14:paraId="2287F239" w14:textId="77777777" w:rsidR="00391385" w:rsidRPr="00391385" w:rsidRDefault="00391385" w:rsidP="00391385">
      <w:pPr>
        <w:spacing w:after="0" w:line="276" w:lineRule="auto"/>
        <w:jc w:val="both"/>
        <w:rPr>
          <w:rFonts w:ascii="Arial" w:eastAsia="SimSun" w:hAnsi="Arial" w:cs="Arial"/>
          <w:kern w:val="0"/>
          <w:sz w:val="21"/>
          <w:szCs w:val="21"/>
          <w:u w:val="single"/>
          <w:lang w:val="fr-FR" w:eastAsia="fr-FR"/>
          <w:rPrChange w:id="239" w:author="Ismael SAMBY" w:date="2026-07-17T14:49:00Z">
            <w:rPr>
              <w:rFonts w:ascii="Times New Roman" w:eastAsia="Times New Roman" w:hAnsi="Times New Roman"/>
              <w:kern w:val="0"/>
              <w:sz w:val="24"/>
              <w:szCs w:val="24"/>
              <w:lang w:val="fr-FR" w:eastAsia="fr-FR"/>
            </w:rPr>
          </w:rPrChange>
        </w:rPr>
        <w:pPrChange w:id="241" w:author="Ismael SAMBY" w:date="2026-07-17T14:49:00Z">
          <w:pPr>
            <w:suppressAutoHyphens w:val="0"/>
            <w:autoSpaceDN/>
            <w:spacing w:before="100" w:beforeAutospacing="1" w:after="100" w:afterAutospacing="1" w:line="240" w:lineRule="auto"/>
            <w:textAlignment w:val="auto"/>
          </w:pPr>
        </w:pPrChange>
      </w:pPr>
      <w:r>
        <w:rPr>
          <w:rFonts w:ascii="Arial" w:eastAsia="SimSun" w:hAnsi="Arial" w:cs="Arial"/>
          <w:kern w:val="0"/>
          <w:sz w:val="21"/>
          <w:szCs w:val="21"/>
          <w:u w:val="single"/>
          <w:lang w:val="fr-FR" w:eastAsia="fr-FR"/>
          <w:rPrChange w:id="243" w:author="Ismael SAMBY" w:date="2026-07-17T14:49:00Z">
            <w:rPr>
              <w:rFonts w:ascii="Times New Roman" w:eastAsia="Times New Roman" w:hAnsi="Times New Roman"/>
              <w:i/>
              <w:iCs/>
              <w:kern w:val="0"/>
              <w:sz w:val="24"/>
              <w:szCs w:val="24"/>
              <w:lang w:val="fr-FR" w:eastAsia="fr-FR"/>
            </w:rPr>
          </w:rPrChange>
        </w:rPr>
        <w:t>Évaluation d'impact</w:t>
      </w:r>
    </w:p>
    <w:p w14:paraId="54644C26" w14:textId="77777777" w:rsidR="00391385" w:rsidRPr="00391385" w:rsidRDefault="00391385" w:rsidP="00391385">
      <w:pPr>
        <w:suppressAutoHyphens w:val="0"/>
        <w:autoSpaceDN/>
        <w:spacing w:before="100" w:beforeAutospacing="1" w:after="100" w:afterAutospacing="1" w:line="276" w:lineRule="auto"/>
        <w:jc w:val="both"/>
        <w:textAlignment w:val="auto"/>
        <w:rPr>
          <w:rFonts w:ascii="Arial" w:hAnsi="Arial" w:cs="Arial"/>
          <w:sz w:val="21"/>
          <w:szCs w:val="21"/>
          <w:lang w:val="fr-FR"/>
          <w:rPrChange w:id="245" w:author="Ismael SAMBY" w:date="2026-07-17T14:49:00Z">
            <w:rPr>
              <w:rFonts w:ascii="Times New Roman" w:eastAsia="Times New Roman" w:hAnsi="Times New Roman"/>
              <w:kern w:val="0"/>
              <w:sz w:val="24"/>
              <w:szCs w:val="24"/>
              <w:lang w:val="fr-FR" w:eastAsia="fr-FR"/>
            </w:rPr>
          </w:rPrChange>
        </w:rPr>
        <w:pPrChange w:id="247" w:author="Ismael SAMBY" w:date="2026-07-17T14:49:00Z">
          <w:pPr>
            <w:suppressAutoHyphens w:val="0"/>
            <w:autoSpaceDN/>
            <w:spacing w:before="100" w:beforeAutospacing="1" w:after="100" w:afterAutospacing="1" w:line="240" w:lineRule="auto"/>
            <w:textAlignment w:val="auto"/>
          </w:pPr>
        </w:pPrChange>
      </w:pPr>
      <w:r>
        <w:rPr>
          <w:rFonts w:ascii="Arial" w:hAnsi="Arial" w:cs="Arial"/>
          <w:sz w:val="21"/>
          <w:szCs w:val="21"/>
          <w:lang w:val="fr-FR"/>
          <w:rPrChange w:id="249" w:author="Ismael SAMBY" w:date="2026-07-17T14:49:00Z">
            <w:rPr>
              <w:rFonts w:ascii="Times New Roman" w:eastAsia="Times New Roman" w:hAnsi="Times New Roman"/>
              <w:kern w:val="0"/>
              <w:sz w:val="24"/>
              <w:szCs w:val="24"/>
              <w:lang w:val="fr-FR" w:eastAsia="fr-FR"/>
            </w:rPr>
          </w:rPrChange>
        </w:rPr>
        <w:t>Les travaux de construction du Projet, notamment ceux associés aux infrastructures portuaires et maritimes, sont susceptibles d'accroître localement la turbidité des eaux et de perturber temporairement certaines zones de pêche situées à proximité immédiate de l'emprise du Projet. En phase d'exploitation, le trafic maritime et les rejets associés au fonctionnement du port pourraient contribuer, de manière cumulative avec les activités minières et portuaires déjà présentes dans la zone (notamment celles d'AMCP), à une dégradation progressive des habitats aquatiques (mangroves, zones de nurserie) et à une réduction de la productivité des pêcheries artisanales.</w:t>
      </w:r>
    </w:p>
    <w:p w14:paraId="36BD3970" w14:textId="77777777" w:rsidR="006A74CD" w:rsidRDefault="006A74CD">
      <w:pPr>
        <w:spacing w:after="0" w:line="276" w:lineRule="auto"/>
        <w:jc w:val="both"/>
        <w:rPr>
          <w:rFonts w:ascii="Arial" w:hAnsi="Arial" w:cs="Arial"/>
          <w:sz w:val="21"/>
          <w:szCs w:val="21"/>
          <w:lang w:val="fr-FR"/>
        </w:rPr>
      </w:pPr>
      <w:r>
        <w:rPr>
          <w:rFonts w:ascii="Arial" w:hAnsi="Arial" w:cs="Arial"/>
          <w:sz w:val="21"/>
          <w:szCs w:val="21"/>
          <w:lang w:val="fr-FR"/>
          <w:rPrChange w:id="253" w:author="Ismael SAMBY" w:date="2026-07-17T14:49:00Z">
            <w:rPr>
              <w:rFonts w:ascii="Times New Roman" w:eastAsia="Times New Roman" w:hAnsi="Times New Roman"/>
              <w:kern w:val="0"/>
              <w:sz w:val="24"/>
              <w:szCs w:val="24"/>
              <w:lang w:val="fr-FR" w:eastAsia="fr-FR"/>
            </w:rPr>
          </w:rPrChange>
        </w:rPr>
        <w:t xml:space="preserve">Compte tenu de la dépendance des communautés côtières de </w:t>
      </w:r>
      <w:r>
        <w:rPr>
          <w:rFonts w:ascii="Arial" w:hAnsi="Arial" w:cs="Arial"/>
          <w:sz w:val="21"/>
          <w:szCs w:val="21"/>
          <w:lang w:val="fr-FR"/>
          <w:rPrChange w:id="254" w:author="Ismael SAMBY" w:date="2026-07-17T14:49:00Z">
            <w:rPr>
              <w:rFonts w:ascii="Times New Roman" w:eastAsia="Times New Roman" w:hAnsi="Times New Roman"/>
              <w:kern w:val="0"/>
              <w:sz w:val="24"/>
              <w:szCs w:val="24"/>
              <w:lang w:val="fr-FR" w:eastAsia="fr-FR"/>
            </w:rPr>
          </w:rPrChange>
        </w:rPr>
        <w:t>Kaweswes</w:t>
      </w:r>
      <w:r>
        <w:rPr>
          <w:rFonts w:ascii="Arial" w:hAnsi="Arial" w:cs="Arial"/>
          <w:sz w:val="21"/>
          <w:szCs w:val="21"/>
          <w:lang w:val="fr-FR"/>
          <w:rPrChange w:id="255" w:author="Ismael SAMBY" w:date="2026-07-17T14:49:00Z">
            <w:rPr>
              <w:rFonts w:ascii="Times New Roman" w:eastAsia="Times New Roman" w:hAnsi="Times New Roman"/>
              <w:kern w:val="0"/>
              <w:sz w:val="24"/>
              <w:szCs w:val="24"/>
              <w:lang w:val="fr-FR" w:eastAsia="fr-FR"/>
            </w:rPr>
          </w:rPrChange>
        </w:rPr>
        <w:t xml:space="preserve">, </w:t>
      </w:r>
      <w:r>
        <w:rPr>
          <w:rFonts w:ascii="Arial" w:hAnsi="Arial" w:cs="Arial"/>
          <w:sz w:val="21"/>
          <w:szCs w:val="21"/>
          <w:lang w:val="fr-FR"/>
          <w:rPrChange w:id="256" w:author="Ismael SAMBY" w:date="2026-07-17T14:49:00Z">
            <w:rPr>
              <w:rFonts w:ascii="Times New Roman" w:eastAsia="Times New Roman" w:hAnsi="Times New Roman"/>
              <w:kern w:val="0"/>
              <w:sz w:val="24"/>
              <w:szCs w:val="24"/>
              <w:lang w:val="fr-FR" w:eastAsia="fr-FR"/>
            </w:rPr>
          </w:rPrChange>
        </w:rPr>
        <w:t>Karouty</w:t>
      </w:r>
      <w:r>
        <w:rPr>
          <w:rFonts w:ascii="Arial" w:hAnsi="Arial" w:cs="Arial"/>
          <w:sz w:val="21"/>
          <w:szCs w:val="21"/>
          <w:lang w:val="fr-FR"/>
          <w:rPrChange w:id="257" w:author="Ismael SAMBY" w:date="2026-07-17T14:49:00Z">
            <w:rPr>
              <w:rFonts w:ascii="Times New Roman" w:eastAsia="Times New Roman" w:hAnsi="Times New Roman"/>
              <w:kern w:val="0"/>
              <w:sz w:val="24"/>
              <w:szCs w:val="24"/>
              <w:lang w:val="fr-FR" w:eastAsia="fr-FR"/>
            </w:rPr>
          </w:rPrChange>
        </w:rPr>
        <w:t xml:space="preserve"> et </w:t>
      </w:r>
      <w:r>
        <w:rPr>
          <w:rFonts w:ascii="Arial" w:hAnsi="Arial" w:cs="Arial"/>
          <w:sz w:val="21"/>
          <w:szCs w:val="21"/>
          <w:lang w:val="fr-FR"/>
          <w:rPrChange w:id="258" w:author="Ismael SAMBY" w:date="2026-07-17T14:49:00Z">
            <w:rPr>
              <w:rFonts w:ascii="Times New Roman" w:eastAsia="Times New Roman" w:hAnsi="Times New Roman"/>
              <w:kern w:val="0"/>
              <w:sz w:val="24"/>
              <w:szCs w:val="24"/>
              <w:lang w:val="fr-FR" w:eastAsia="fr-FR"/>
            </w:rPr>
          </w:rPrChange>
        </w:rPr>
        <w:t>Diffiyarè</w:t>
      </w:r>
      <w:r>
        <w:rPr>
          <w:rFonts w:ascii="Arial" w:hAnsi="Arial" w:cs="Arial"/>
          <w:sz w:val="21"/>
          <w:szCs w:val="21"/>
          <w:lang w:val="fr-FR"/>
          <w:rPrChange w:id="259" w:author="Ismael SAMBY" w:date="2026-07-17T14:49:00Z">
            <w:rPr>
              <w:rFonts w:ascii="Times New Roman" w:eastAsia="Times New Roman" w:hAnsi="Times New Roman"/>
              <w:kern w:val="0"/>
              <w:sz w:val="24"/>
              <w:szCs w:val="24"/>
              <w:lang w:val="fr-FR" w:eastAsia="fr-FR"/>
            </w:rPr>
          </w:rPrChange>
        </w:rPr>
        <w:t xml:space="preserve"> à la pêche comme moyen de subsistance et source de revenus, et du caractère cumulatif des pressions exercées par l'ensemble des projets miniers et portuaires de la zone, l'impact du Projet sur ce service est jugé </w:t>
      </w:r>
      <w:r>
        <w:rPr>
          <w:rFonts w:ascii="Arial" w:hAnsi="Arial" w:cs="Arial"/>
          <w:b/>
          <w:bCs/>
          <w:sz w:val="21"/>
          <w:szCs w:val="21"/>
          <w:lang w:val="fr-FR"/>
          <w:rPrChange w:id="260" w:author="Ismael SAMBY" w:date="2026-07-17T15:12:00Z">
            <w:rPr>
              <w:rFonts w:ascii="Times New Roman" w:eastAsia="Times New Roman" w:hAnsi="Times New Roman"/>
              <w:kern w:val="0"/>
              <w:sz w:val="24"/>
              <w:szCs w:val="24"/>
              <w:lang w:val="fr-FR" w:eastAsia="fr-FR"/>
            </w:rPr>
          </w:rPrChange>
        </w:rPr>
        <w:t>mineur</w:t>
      </w:r>
      <w:r>
        <w:rPr>
          <w:rFonts w:ascii="Arial" w:hAnsi="Arial" w:cs="Arial"/>
          <w:sz w:val="21"/>
          <w:szCs w:val="21"/>
          <w:lang w:val="fr-FR"/>
          <w:rPrChange w:id="261" w:author="Ismael SAMBY" w:date="2026-07-17T14:49:00Z">
            <w:rPr>
              <w:rFonts w:ascii="Times New Roman" w:eastAsia="Times New Roman" w:hAnsi="Times New Roman"/>
              <w:kern w:val="0"/>
              <w:sz w:val="24"/>
              <w:szCs w:val="24"/>
              <w:lang w:val="fr-FR" w:eastAsia="fr-FR"/>
            </w:rPr>
          </w:rPrChange>
        </w:rPr>
        <w:t xml:space="preserve"> à moyen en phase de construction, et </w:t>
      </w:r>
      <w:r>
        <w:rPr>
          <w:rFonts w:ascii="Arial" w:hAnsi="Arial" w:cs="Arial"/>
          <w:b/>
          <w:bCs/>
          <w:sz w:val="21"/>
          <w:szCs w:val="21"/>
          <w:lang w:val="fr-FR"/>
          <w:rPrChange w:id="262" w:author="Ismael SAMBY" w:date="2026-07-17T15:12:00Z">
            <w:rPr>
              <w:rFonts w:ascii="Times New Roman" w:eastAsia="Times New Roman" w:hAnsi="Times New Roman"/>
              <w:kern w:val="0"/>
              <w:sz w:val="24"/>
              <w:szCs w:val="24"/>
              <w:lang w:val="fr-FR" w:eastAsia="fr-FR"/>
            </w:rPr>
          </w:rPrChange>
        </w:rPr>
        <w:t>moyen</w:t>
      </w:r>
      <w:r>
        <w:rPr>
          <w:rFonts w:ascii="Arial" w:hAnsi="Arial" w:cs="Arial"/>
          <w:sz w:val="21"/>
          <w:szCs w:val="21"/>
          <w:lang w:val="fr-FR"/>
          <w:rPrChange w:id="263" w:author="Ismael SAMBY" w:date="2026-07-17T14:49:00Z">
            <w:rPr>
              <w:rFonts w:ascii="Times New Roman" w:eastAsia="Times New Roman" w:hAnsi="Times New Roman"/>
              <w:kern w:val="0"/>
              <w:sz w:val="24"/>
              <w:szCs w:val="24"/>
              <w:lang w:val="fr-FR" w:eastAsia="fr-FR"/>
            </w:rPr>
          </w:rPrChange>
        </w:rPr>
        <w:t xml:space="preserve"> en phase d'exploitation compte tenu des effets cumulatifs avec les autres activités de la zone.</w:t>
      </w:r>
    </w:p>
    <w:p w14:paraId="145140FA" w14:textId="77777777" w:rsidR="006A74CD" w:rsidRDefault="006A74CD">
      <w:pPr>
        <w:spacing w:after="0" w:line="276" w:lineRule="auto"/>
        <w:jc w:val="both"/>
        <w:rPr>
          <w:rFonts w:ascii="Arial" w:eastAsia="SimSun" w:hAnsi="Arial" w:cs="Arial"/>
          <w:kern w:val="0"/>
          <w:sz w:val="21"/>
          <w:szCs w:val="21"/>
          <w:lang w:val="fr-FR" w:eastAsia="zh-CN"/>
        </w:rPr>
      </w:pPr>
    </w:p>
    <w:p w14:paraId="0C366EA5"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264" w:name="_Toc194299112"/>
      <w:bookmarkStart w:id="265" w:name="_Toc191545615"/>
      <w:bookmarkStart w:id="266" w:name="_Toc184282101"/>
      <w:bookmarkStart w:id="267" w:name="_Toc210821901"/>
      <w:bookmarkStart w:id="268" w:name="_Toc210994990"/>
      <w:bookmarkStart w:id="269" w:name="_Toc222731522"/>
      <w:r>
        <w:rPr>
          <w:rFonts w:ascii="Arial" w:eastAsia="Times New Roman" w:hAnsi="Arial" w:cs="Arial"/>
          <w:b/>
          <w:bCs/>
          <w:sz w:val="21"/>
          <w:szCs w:val="21"/>
          <w:lang w:val="fr-FR"/>
        </w:rPr>
        <w:t>Mesures d'atténuation</w:t>
      </w:r>
      <w:bookmarkEnd w:id="264"/>
      <w:bookmarkEnd w:id="265"/>
      <w:bookmarkEnd w:id="266"/>
      <w:bookmarkEnd w:id="267"/>
      <w:bookmarkEnd w:id="268"/>
      <w:bookmarkEnd w:id="269"/>
    </w:p>
    <w:p w14:paraId="1F3F6FC8" w14:textId="77777777" w:rsidR="006A74CD" w:rsidRDefault="006A74CD">
      <w:pPr>
        <w:spacing w:after="0" w:line="276" w:lineRule="auto"/>
        <w:jc w:val="both"/>
        <w:rPr>
          <w:rFonts w:ascii="Arial" w:eastAsia="SimSun" w:hAnsi="Arial" w:cs="Arial"/>
          <w:kern w:val="0"/>
          <w:sz w:val="21"/>
          <w:szCs w:val="21"/>
          <w:lang w:val="fr-FR" w:eastAsia="zh-CN"/>
        </w:rPr>
      </w:pPr>
    </w:p>
    <w:p w14:paraId="5FB01C34"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mesures d’atténuation relatives aux services écosystémiques seront intégrées au Plan de Gestion Environnementale et Sociale (PGES) et au chapitre 11 qui traite de l’évaluation des risques sur le milieu biophysique et humain. </w:t>
      </w:r>
    </w:p>
    <w:p w14:paraId="0236DAD9" w14:textId="77777777" w:rsidR="006A74CD" w:rsidRDefault="006A74CD">
      <w:pPr>
        <w:spacing w:after="0" w:line="276" w:lineRule="auto"/>
        <w:jc w:val="both"/>
        <w:rPr>
          <w:rFonts w:ascii="Arial" w:hAnsi="Arial" w:cs="Arial"/>
          <w:color w:val="EE0000"/>
          <w:kern w:val="0"/>
          <w:sz w:val="21"/>
          <w:szCs w:val="21"/>
          <w:lang w:val="fr-FR" w:eastAsia="fr-FR"/>
        </w:rPr>
      </w:pPr>
    </w:p>
    <w:p w14:paraId="0D767626" w14:textId="03914BC4" w:rsidR="00250988"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Ces mesures visent à réduire les impacts du projet sur les services écosystémiques et à préserver les moyens de subsistance des populations riveraines.</w:t>
      </w:r>
    </w:p>
    <w:p w14:paraId="7814435D" w14:textId="77777777" w:rsidR="00250988" w:rsidRDefault="00250988">
      <w:pPr>
        <w:suppressAutoHyphens w:val="0"/>
        <w:rPr>
          <w:rFonts w:ascii="Arial" w:hAnsi="Arial" w:cs="Arial"/>
          <w:kern w:val="0"/>
          <w:sz w:val="21"/>
          <w:szCs w:val="21"/>
          <w:lang w:val="fr-FR" w:eastAsia="fr-FR"/>
        </w:rPr>
      </w:pPr>
      <w:r>
        <w:rPr>
          <w:rFonts w:ascii="Arial" w:hAnsi="Arial" w:cs="Arial"/>
          <w:kern w:val="0"/>
          <w:sz w:val="21"/>
          <w:szCs w:val="21"/>
          <w:lang w:val="fr-FR" w:eastAsia="fr-FR"/>
        </w:rPr>
        <w:br w:type="page"/>
      </w:r>
    </w:p>
    <w:p w14:paraId="287F1D9F" w14:textId="77777777" w:rsidR="00250988" w:rsidRPr="00250988" w:rsidRDefault="00250988" w:rsidP="00250988">
      <w:pPr>
        <w:keepNext/>
        <w:keepLines/>
        <w:numPr>
          <w:ilvl w:val="0"/>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70" w:name="_Ref191376244"/>
      <w:bookmarkStart w:id="271" w:name="_Ref191376354"/>
      <w:bookmarkStart w:id="272" w:name="_Ref191382279"/>
      <w:bookmarkStart w:id="273" w:name="_Toc191545658"/>
      <w:bookmarkStart w:id="274" w:name="_Toc210724158"/>
      <w:bookmarkStart w:id="275" w:name="_Toc210995028"/>
      <w:bookmarkStart w:id="276" w:name="_Toc222731557"/>
      <w:r>
        <w:rPr>
          <w:rFonts w:ascii="Arial" w:eastAsia="SimSun" w:hAnsi="Arial" w:cs="Arial"/>
          <w:b/>
          <w:kern w:val="0"/>
          <w:sz w:val="21"/>
          <w:szCs w:val="21"/>
        </w:rPr>
        <w:lastRenderedPageBreak/>
        <w:t>MÉCANISME DE GESTION DES PLAINTES</w:t>
      </w:r>
      <w:bookmarkEnd w:id="270"/>
      <w:bookmarkEnd w:id="271"/>
      <w:bookmarkEnd w:id="272"/>
      <w:bookmarkEnd w:id="273"/>
      <w:bookmarkEnd w:id="274"/>
      <w:bookmarkEnd w:id="275"/>
      <w:bookmarkEnd w:id="276"/>
      <w:r>
        <w:rPr>
          <w:rFonts w:ascii="Arial" w:eastAsia="SimSun" w:hAnsi="Arial" w:cs="Arial"/>
          <w:b/>
          <w:kern w:val="0"/>
          <w:sz w:val="21"/>
          <w:szCs w:val="21"/>
        </w:rPr>
        <w:t xml:space="preserve"> </w:t>
      </w:r>
    </w:p>
    <w:p w14:paraId="2FA02B10" w14:textId="77777777" w:rsidR="00250988" w:rsidRPr="00250988" w:rsidRDefault="00250988" w:rsidP="00250988">
      <w:pPr>
        <w:suppressAutoHyphens w:val="0"/>
        <w:autoSpaceDN/>
        <w:spacing w:after="0" w:line="276" w:lineRule="auto"/>
        <w:jc w:val="both"/>
        <w:textAlignment w:val="auto"/>
        <w:rPr>
          <w:rFonts w:eastAsia="SimSun"/>
          <w:kern w:val="0"/>
        </w:rPr>
      </w:pPr>
    </w:p>
    <w:p w14:paraId="2EA0D789" w14:textId="77777777" w:rsidR="00250988" w:rsidRPr="00250988" w:rsidRDefault="00250988" w:rsidP="00250988">
      <w:pPr>
        <w:keepNext/>
        <w:keepLines/>
        <w:numPr>
          <w:ilvl w:val="1"/>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77" w:name="_Toc200184228"/>
      <w:bookmarkStart w:id="278" w:name="_Toc200268438"/>
      <w:bookmarkStart w:id="279" w:name="_Toc210995029"/>
      <w:bookmarkStart w:id="280" w:name="_Toc222731558"/>
      <w:r>
        <w:rPr>
          <w:rFonts w:ascii="Arial" w:eastAsia="SimSun" w:hAnsi="Arial" w:cs="Arial"/>
          <w:b/>
          <w:kern w:val="0"/>
          <w:sz w:val="21"/>
          <w:szCs w:val="21"/>
        </w:rPr>
        <w:t>Approche et champ d’application</w:t>
      </w:r>
      <w:bookmarkEnd w:id="277"/>
      <w:bookmarkEnd w:id="278"/>
      <w:bookmarkEnd w:id="279"/>
      <w:bookmarkEnd w:id="280"/>
    </w:p>
    <w:p w14:paraId="6B796AA0" w14:textId="77777777" w:rsidR="00250988" w:rsidRPr="00250988" w:rsidRDefault="00250988" w:rsidP="00250988">
      <w:pPr>
        <w:widowControl w:val="0"/>
        <w:suppressAutoHyphens w:val="0"/>
        <w:autoSpaceDE w:val="0"/>
        <w:spacing w:before="35" w:after="0" w:line="240" w:lineRule="auto"/>
        <w:textAlignment w:val="auto"/>
        <w:rPr>
          <w:rFonts w:ascii="Arial" w:eastAsia="Arial MT" w:hAnsi="Arial MT" w:cs="Arial MT"/>
          <w:b/>
          <w:kern w:val="0"/>
          <w:sz w:val="21"/>
          <w:szCs w:val="21"/>
          <w:lang w:val="fr-FR"/>
        </w:rPr>
      </w:pPr>
    </w:p>
    <w:p w14:paraId="2BFC5D62"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WCAG s’est engagé à développer un mécanisme de réclamation (GM) pour les communautés affectées, en accord avec la règlementation guinéenne sur la durabilité environnementale et sociale et avec les exigences du bailleur (China Exim Bank 2007 ; MOFCOM/MEE 2022) et les référentiels internationaux (NP 1 de la SFI ; ESS10 de la Banque mondiale).</w:t>
      </w:r>
    </w:p>
    <w:p w14:paraId="0B9749C1"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4"/>
          <w:lang w:val="fr-FR"/>
        </w:rPr>
      </w:pPr>
    </w:p>
    <w:p w14:paraId="45F519B9"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En résumé, WCAG s’est engagé à adopter une approche de la GM conforme aux meilleures pratiques, comprenant les éléments suivants :</w:t>
      </w:r>
    </w:p>
    <w:p w14:paraId="66E8B947"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0918C84A"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 xml:space="preserve">Une procédure de MGP utilisant le processus à </w:t>
      </w:r>
      <w:r>
        <w:rPr>
          <w:rFonts w:ascii="Arial" w:eastAsia="Times New Roman" w:hAnsi="Arial" w:cs="Arial" w:hint="eastAsia"/>
          <w:kern w:val="0"/>
          <w:sz w:val="21"/>
          <w:szCs w:val="21"/>
          <w:lang w:eastAsia="zh-CN"/>
        </w:rPr>
        <w:t>2</w:t>
      </w:r>
      <w:r>
        <w:rPr>
          <w:rFonts w:ascii="Arial" w:eastAsia="Arial MT" w:hAnsi="Arial" w:cs="Arial"/>
          <w:kern w:val="0"/>
          <w:sz w:val="21"/>
          <w:szCs w:val="21"/>
        </w:rPr>
        <w:t xml:space="preserve"> niveaux pour répondre aux engagements de bonnes pratiques de WCAG et à la règlementation guinéenne;</w:t>
      </w:r>
    </w:p>
    <w:p w14:paraId="16C87D27"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WCAG a établi des boîtes de réclamation au bureau principal de WCAG à et s’est engagé à répondre à toutes les réclamations dans les trente (30) jours suivant leur réception ;</w:t>
      </w:r>
    </w:p>
    <w:p w14:paraId="2475F279"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Inclure le MGP dans le SEP et divulguer largement l’existence du SEP/GM ;</w:t>
      </w:r>
    </w:p>
    <w:p w14:paraId="5BE3D35D"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Examiner si le GM doit permettre la facilitation par une tierce partie et le recours à un avocat (par le biais du système judiciaire guinéen), si les plaignants ne sont pas satisfaits de la résolution par le biais du GM interne de WCAG (1stet 2 niveaux) ; et</w:t>
      </w:r>
    </w:p>
    <w:p w14:paraId="4E30749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Établir un comité local de concertation chargé de gérer, entre autres, le mécanisme de règlement des griefs et qui se réunit en fonction des besoins. Toutes les résolutions de griefs sont signées par les responsables autorisés de WCAG et, pour les plus importantes, par le PDG de WCAG.</w:t>
      </w:r>
    </w:p>
    <w:p w14:paraId="33F5D4F2" w14:textId="77777777" w:rsidR="00250988" w:rsidRPr="00250988" w:rsidRDefault="00250988" w:rsidP="00250988">
      <w:pPr>
        <w:widowControl w:val="0"/>
        <w:suppressAutoHyphens w:val="0"/>
        <w:autoSpaceDE w:val="0"/>
        <w:spacing w:after="0" w:line="276" w:lineRule="auto"/>
        <w:ind w:left="714"/>
        <w:contextualSpacing/>
        <w:jc w:val="both"/>
        <w:textAlignment w:val="auto"/>
        <w:rPr>
          <w:rFonts w:ascii="Arial" w:eastAsia="Arial MT" w:hAnsi="Arial" w:cs="Arial"/>
          <w:kern w:val="0"/>
          <w:sz w:val="21"/>
          <w:szCs w:val="21"/>
        </w:rPr>
      </w:pPr>
    </w:p>
    <w:p w14:paraId="78F706B3"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Un agent de liaison et de sensibilisation de la communauté sera désigné comme « point de contact clé » pour la procédure de règlement des griefs. Les détails concernant la procédure de règlement des griefs seront affichés en anglais, en français et dans les langues locales (Baga, Nalou, Soussou), avec des modalités accessibles aux personnes non alphabétisées (et dans d’autres langues locales si nécessaire) sur le site Web de WCAG et seront disponibles sous forme de document pour toute partie intéressée.</w:t>
      </w:r>
    </w:p>
    <w:p w14:paraId="37C90979"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4"/>
          <w:lang w:val="fr-FR"/>
        </w:rPr>
      </w:pPr>
    </w:p>
    <w:p w14:paraId="367D37F5" w14:textId="77777777" w:rsidR="00250988" w:rsidRPr="00250988" w:rsidRDefault="00250988" w:rsidP="00250988">
      <w:pPr>
        <w:keepNext/>
        <w:keepLines/>
        <w:numPr>
          <w:ilvl w:val="1"/>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81" w:name="_Toc212546177"/>
      <w:bookmarkStart w:id="282" w:name="_Toc216122010"/>
      <w:bookmarkStart w:id="283" w:name="_Toc216701279"/>
      <w:bookmarkStart w:id="284" w:name="_Toc217390189"/>
      <w:bookmarkStart w:id="285" w:name="_Toc222731559"/>
      <w:r>
        <w:rPr>
          <w:rFonts w:ascii="Arial" w:eastAsia="SimSun" w:hAnsi="Arial" w:cs="Arial"/>
          <w:b/>
          <w:kern w:val="0"/>
          <w:sz w:val="21"/>
          <w:szCs w:val="21"/>
        </w:rPr>
        <w:t>Approche et champ d’application</w:t>
      </w:r>
      <w:bookmarkEnd w:id="281"/>
      <w:bookmarkEnd w:id="282"/>
      <w:bookmarkEnd w:id="283"/>
      <w:bookmarkEnd w:id="284"/>
      <w:bookmarkEnd w:id="285"/>
    </w:p>
    <w:p w14:paraId="7CD8730A"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4"/>
          <w:lang w:val="fr-FR"/>
        </w:rPr>
      </w:pPr>
    </w:p>
    <w:p w14:paraId="16C239F3"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 mécanisme de réclamation est une procédure formelle par laquelle les communautés et les individus affectés par les activités de WCAG peuvent communiquer officiellement leurs préoccupations et leurs griefs spécifiques à l’entreprise et faciliter des résolutions mutuellement acceptables par les parties et dans un délai raisonnable.</w:t>
      </w:r>
    </w:p>
    <w:p w14:paraId="3435E7BC"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1307E394"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 système de gestion des griefs est guidé par les principes suivants :</w:t>
      </w:r>
    </w:p>
    <w:p w14:paraId="30B254CC"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4"/>
          <w:lang w:val="fr-FR"/>
        </w:rPr>
      </w:pPr>
    </w:p>
    <w:p w14:paraId="446BDA25"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Accessible et facile à utiliser ;</w:t>
      </w:r>
    </w:p>
    <w:p w14:paraId="789C9494"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Transparent et responsable ;</w:t>
      </w:r>
    </w:p>
    <w:p w14:paraId="29FCFB7C"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Être utilisé par n’importe qui sans aucune inquiétude ou crainte de représailles ; et</w:t>
      </w:r>
    </w:p>
    <w:p w14:paraId="6948987D"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Garantir une protection appropriée aux plaignants en s’engageant à préserver la confidentialité des griefs, y compris un canal anonyme et un dispositif spécifique, confidentiel et centré sur les victimes pour les violences basées sur le genre et l’exploitation, les abus et le harcèlement sexuels (VBG/EAS-HS).</w:t>
      </w:r>
    </w:p>
    <w:p w14:paraId="210EE873" w14:textId="77777777" w:rsidR="00250988" w:rsidRPr="00250988" w:rsidRDefault="00250988" w:rsidP="00250988">
      <w:pPr>
        <w:widowControl w:val="0"/>
        <w:suppressAutoHyphens w:val="0"/>
        <w:autoSpaceDE w:val="0"/>
        <w:spacing w:after="0" w:line="276" w:lineRule="auto"/>
        <w:contextualSpacing/>
        <w:jc w:val="both"/>
        <w:textAlignment w:val="auto"/>
        <w:rPr>
          <w:rFonts w:ascii="Arial" w:eastAsia="Arial MT" w:hAnsi="Arial" w:cs="Arial"/>
          <w:kern w:val="0"/>
          <w:sz w:val="21"/>
          <w:szCs w:val="21"/>
        </w:rPr>
      </w:pPr>
    </w:p>
    <w:p w14:paraId="53F852FA"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L’approche de WCAG pour la mise en œuvre d’un mécanisme de gestion des plaintes repose sur un processus gradué et proportionné au projet:</w:t>
      </w:r>
    </w:p>
    <w:p w14:paraId="78941A6E"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64C6F774"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Niveau 1 – le grief est résolu par WCAG en interne ;</w:t>
      </w:r>
    </w:p>
    <w:p w14:paraId="401002F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lastRenderedPageBreak/>
        <w:t>Niveau 2 – le grief est résolu soit entièrement en externe, soit au minimum avec la participation de parties externes,</w:t>
      </w:r>
    </w:p>
    <w:p w14:paraId="414EB82A"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03FBF575"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 xml:space="preserve">WCAG appliquera les principes suivants en matière de gestion et de réparation des griefs dans le cadre du présent projet </w:t>
      </w:r>
    </w:p>
    <w:p w14:paraId="740446F1"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632289A7"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Tout grief sera enregistré, fera l’objet d’un accusé de réception dans les 7 jours civils suivant sa réception, d’une réponse dans les 30 jours civils suivant sa réception et d’un suivi jusqu’à sa Transition post-projet ;</w:t>
      </w:r>
    </w:p>
    <w:p w14:paraId="3F07C07B"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Le dispositif de gestion des griefs comprendra deux niveaux d’examen et de règlement extrajudiciaires, à l’amiable, le premier étant interne à WCAG, le second étant soit entièrement externe, soit au minimum avec la participation de parties externes (par le biais du comité de concertation local, le mécanisme de règlement des griefs étant inclus dans la partie de ce comité consacrée à l’engagement des parties prenantes) ;</w:t>
      </w:r>
    </w:p>
    <w:p w14:paraId="27700F5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L’objectif global est d’éviter le recours à la justice pour le plus grand nombre de griefs possible.</w:t>
      </w:r>
    </w:p>
    <w:p w14:paraId="11096296"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3017D023" w14:textId="77777777" w:rsidR="00250988" w:rsidRPr="00250988" w:rsidRDefault="00250988" w:rsidP="00250988">
      <w:pPr>
        <w:keepNext/>
        <w:keepLines/>
        <w:numPr>
          <w:ilvl w:val="1"/>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86" w:name="_Toc216701280"/>
      <w:bookmarkStart w:id="287" w:name="_Toc217390190"/>
      <w:bookmarkStart w:id="288" w:name="_Toc222731560"/>
      <w:r>
        <w:rPr>
          <w:rFonts w:ascii="Arial" w:eastAsia="SimSun" w:hAnsi="Arial" w:cs="Arial"/>
          <w:b/>
          <w:kern w:val="0"/>
          <w:sz w:val="21"/>
          <w:szCs w:val="21"/>
        </w:rPr>
        <w:t>Premier niveau (interne) de gestion des griefs</w:t>
      </w:r>
      <w:bookmarkEnd w:id="286"/>
      <w:bookmarkEnd w:id="287"/>
      <w:bookmarkEnd w:id="288"/>
    </w:p>
    <w:p w14:paraId="1C9898AC"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2525BCAD"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WCAG établira un registre des doléances, qui sera disponible pour les parties affectées par le projet (PAPs, également appelées communautés affectées par le Projet) aux endroits suivants :</w:t>
      </w:r>
    </w:p>
    <w:p w14:paraId="33C4098C"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02AF0B64"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 xml:space="preserve">Les bureaux principaux de WCAG sont situés au centre-ville </w:t>
      </w:r>
    </w:p>
    <w:p w14:paraId="1054B267"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1C4CE04E"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Les parties prenantes situées en dehors de la zone d’influence du projet peuvent obtenir des informations sur le MGM et y accéder à partir du site web de WCAG y (texte, email ou téléphone), ainsi que demander des informations au personnel de WCAG.</w:t>
      </w:r>
    </w:p>
    <w:p w14:paraId="4C45D45F"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2DF117A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La réception des griefs enregistrés dans ces bureaux ou envoyés à la société sous forme écrite fera l’objet d’un accusé de réception dans les 7 jours et une réponse sera fournie à la partie lésée dans un délai maximum de 30 jours.</w:t>
      </w:r>
    </w:p>
    <w:p w14:paraId="15254507"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51D5CB79"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Pour chaque grief, un dossier électronique de grief sera ouvert, comprenant les éléments suivants :</w:t>
      </w:r>
    </w:p>
    <w:p w14:paraId="11EBC810"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Fiche de doléance initiale (comprenant la description de la doléance), avec un accusé de réception remis au plaignant ou à son représentant lors de l’enregistrement de la plainte ;</w:t>
      </w:r>
    </w:p>
    <w:p w14:paraId="1D66BEE5"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Fiche de suivi des griefs, mentionnant les actions entreprises (enquête, mesures correctives) ;</w:t>
      </w:r>
    </w:p>
    <w:p w14:paraId="09B609B2"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Une feuille de clôture, dont une copie sera remise au plaignant après qu’il ait accepté la résolution et signé.</w:t>
      </w:r>
    </w:p>
    <w:p w14:paraId="279EB57A"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0EA4CB8F" w14:textId="77777777" w:rsidR="00250988" w:rsidRPr="00250988" w:rsidRDefault="00250988" w:rsidP="00250988">
      <w:pPr>
        <w:shd w:val="clear" w:color="auto" w:fill="FFFFFF"/>
        <w:suppressAutoHyphens w:val="0"/>
        <w:autoSpaceDN/>
        <w:spacing w:after="0" w:line="240"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L’examen des griefs comprend généralement les étapes suivantes :</w:t>
      </w:r>
    </w:p>
    <w:p w14:paraId="6321F64D" w14:textId="77777777" w:rsidR="00250988" w:rsidRPr="00250988" w:rsidRDefault="00250988" w:rsidP="00250988">
      <w:pPr>
        <w:shd w:val="clear" w:color="auto" w:fill="FFFFFF"/>
        <w:suppressAutoHyphens w:val="0"/>
        <w:autoSpaceDN/>
        <w:spacing w:after="0" w:line="240" w:lineRule="auto"/>
        <w:jc w:val="both"/>
        <w:textAlignment w:val="auto"/>
        <w:rPr>
          <w:rFonts w:ascii="Arial" w:eastAsia="Arial MT" w:hAnsi="Arial" w:cs="Arial"/>
          <w:kern w:val="0"/>
          <w:sz w:val="21"/>
          <w:szCs w:val="21"/>
          <w:lang w:val="fr-FR"/>
        </w:rPr>
      </w:pPr>
    </w:p>
    <w:p w14:paraId="28F2E182"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Attribution du grief à un responsable désigné de WCAG (à nommer) pour examen et proposition de résolution ;</w:t>
      </w:r>
    </w:p>
    <w:p w14:paraId="08C2038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Examen des dossiers d’identification ;</w:t>
      </w:r>
    </w:p>
    <w:p w14:paraId="160E40F1"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 xml:space="preserve">L’examen des sujets comprend les perturbations du terrain, les propriétés contestées, les limites contestées ou les caractéristiques des propriétés sur le terrain, ou les questions écologiques et environnementales telles que les ressources en eau, la poussière, les déchets, le bruit, la faune, etc., selon le cas, et l’audition des parties intéressées (le plaignant </w:t>
        <w:lastRenderedPageBreak/>
        <w:t>et les tiers le cas échéant) ;</w:t>
      </w:r>
    </w:p>
    <w:p w14:paraId="3BDE0A6F"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Examen avec des parties externes telles que des ONG locales, des associations, des comités ou des municipalités si nécessaire, ou le bureau du cadastre/des terres, ou des experts environnementaux si nécessaire pour les questions environnementales ;</w:t>
      </w:r>
    </w:p>
    <w:p w14:paraId="5043169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Réunion avec le personnel impliqué dans la résolution du grief (y compris ceux qui participent à la plainte si nécessaire), et décision sur la résolution proposée ;</w:t>
      </w:r>
    </w:p>
    <w:p w14:paraId="38C6AFFE"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Approbation de la décision proposée par la direction de WCAG ; et</w:t>
      </w:r>
    </w:p>
    <w:p w14:paraId="395A76E5"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Rédaction d’une lettre de réponse au plaignant.</w:t>
      </w:r>
    </w:p>
    <w:p w14:paraId="5E8FFDF1" w14:textId="77777777" w:rsidR="00250988" w:rsidRPr="00250988" w:rsidRDefault="00250988" w:rsidP="00250988">
      <w:pPr>
        <w:widowControl w:val="0"/>
        <w:suppressAutoHyphens w:val="0"/>
        <w:autoSpaceDE w:val="0"/>
        <w:spacing w:after="0" w:line="276" w:lineRule="auto"/>
        <w:ind w:left="714"/>
        <w:contextualSpacing/>
        <w:jc w:val="both"/>
        <w:textAlignment w:val="auto"/>
        <w:rPr>
          <w:rFonts w:ascii="Arial" w:eastAsia="Arial MT" w:hAnsi="Arial" w:cs="Arial"/>
          <w:kern w:val="0"/>
          <w:sz w:val="21"/>
          <w:szCs w:val="21"/>
        </w:rPr>
      </w:pPr>
    </w:p>
    <w:p w14:paraId="550DDCB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La « clôture » d’un grief au niveau du premier niveau sera attestée par un document, dans lequel le plaignant accuse réception de la lettre incluant la résolution proposée, mentionne s’il est satisfait ou non, et/ou demande le passage au deuxième niveau de gestion des griefs.</w:t>
      </w:r>
    </w:p>
    <w:p w14:paraId="0FD95457" w14:textId="77777777" w:rsidR="00250988" w:rsidRPr="00250988" w:rsidRDefault="00250988" w:rsidP="00250988">
      <w:pPr>
        <w:shd w:val="clear" w:color="auto" w:fill="FFFFFF"/>
        <w:suppressAutoHyphens w:val="0"/>
        <w:autoSpaceDN/>
        <w:spacing w:after="0" w:line="276" w:lineRule="auto"/>
        <w:jc w:val="center"/>
        <w:textAlignment w:val="auto"/>
        <w:rPr>
          <w:rFonts w:ascii="Arial" w:eastAsia="Arial MT" w:hAnsi="Arial" w:cs="Arial"/>
          <w:kern w:val="0"/>
          <w:sz w:val="21"/>
          <w:szCs w:val="21"/>
          <w:lang w:val="fr-FR"/>
        </w:rPr>
      </w:pPr>
    </w:p>
    <w:tbl>
      <w:tblPr>
        <w:tblStyle w:val="M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50988" w:rsidRPr="00250988" w14:paraId="5791639E" w14:textId="77777777" w:rsidTr="00E471EC">
        <w:tc>
          <w:tcPr>
            <w:tcW w:w="9060" w:type="dxa"/>
          </w:tcPr>
          <w:p w14:paraId="1F854AC0" w14:textId="77777777" w:rsidR="00250988" w:rsidRPr="00250988" w:rsidRDefault="00250988" w:rsidP="00250988">
            <w:pPr>
              <w:suppressAutoHyphens w:val="0"/>
              <w:spacing w:line="276" w:lineRule="auto"/>
              <w:jc w:val="both"/>
              <w:rPr>
                <w:rFonts w:ascii="Arial" w:hAnsi="Arial" w:cs="Arial"/>
                <w:sz w:val="21"/>
                <w:szCs w:val="21"/>
                <w:lang w:val="fr-FR"/>
              </w:rPr>
            </w:pPr>
            <w:r>
              <w:rPr>
                <w:rFonts w:ascii="Arial" w:hAnsi="Arial" w:cs="Arial"/>
                <w:noProof/>
                <w:sz w:val="21"/>
                <w:szCs w:val="21"/>
                <w:lang w:val="fr-FR"/>
              </w:rPr>
              <w:drawing>
                <wp:inline distT="0" distB="0" distL="0" distR="0" wp14:anchorId="2C9FF562" wp14:editId="0F95758A">
                  <wp:extent cx="5759450" cy="4076700"/>
                  <wp:effectExtent l="0" t="0" r="0" b="0"/>
                  <wp:docPr id="18446205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20556" name="Picture 1844620556"/>
                          <pic:cNvPicPr/>
                        </pic:nvPicPr>
                        <pic:blipFill>
                          <a:blip r:embed="rId11">
                            <a:extLst>
                              <a:ext uri="{28A0092B-C50C-407E-A947-70E740481C1C}">
                                <a14:useLocalDpi xmlns:a14="http://schemas.microsoft.com/office/drawing/2010/main" val="0"/>
                              </a:ext>
                            </a:extLst>
                          </a:blip>
                          <a:stretch>
                            <a:fillRect/>
                          </a:stretch>
                        </pic:blipFill>
                        <pic:spPr>
                          <a:xfrm>
                            <a:off x="0" y="0"/>
                            <a:ext cx="5759450" cy="4076700"/>
                          </a:xfrm>
                          <a:prstGeom prst="rect">
                            <a:avLst/>
                          </a:prstGeom>
                        </pic:spPr>
                      </pic:pic>
                    </a:graphicData>
                  </a:graphic>
                </wp:inline>
              </w:drawing>
            </w:r>
          </w:p>
        </w:tc>
      </w:tr>
    </w:tbl>
    <w:p w14:paraId="7FA78341"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5863532A" w14:textId="4952ABC1" w:rsidR="00250988" w:rsidRPr="00250988" w:rsidRDefault="00250988" w:rsidP="00250988">
      <w:pPr>
        <w:suppressAutoHyphens w:val="0"/>
        <w:autoSpaceDN/>
        <w:spacing w:after="0" w:line="240" w:lineRule="auto"/>
        <w:jc w:val="center"/>
        <w:textAlignment w:val="auto"/>
        <w:rPr>
          <w:rFonts w:ascii="Arial" w:eastAsia="Arial MT" w:hAnsi="Arial" w:cs="Arial"/>
          <w:kern w:val="0"/>
          <w:sz w:val="20"/>
          <w:szCs w:val="20"/>
          <w:lang w:val="fr-FR"/>
        </w:rPr>
      </w:pPr>
      <w:bookmarkStart w:id="289" w:name="_Toc216699561"/>
      <w:bookmarkStart w:id="290" w:name="_Toc217397555"/>
      <w:bookmarkStart w:id="291" w:name="_Toc220060529"/>
      <w:r>
        <w:rPr>
          <w:rFonts w:ascii="Arial" w:eastAsia="Arial MT" w:hAnsi="Arial" w:cs="Arial"/>
          <w:kern w:val="0"/>
          <w:sz w:val="20"/>
          <w:szCs w:val="20"/>
          <w:lang w:val="fr-FR"/>
        </w:rPr>
        <w:t xml:space="preserve">Figure xx : Niveau 1 de la GM – Développement d’options de résolution, préparation d’une réponse et clôture.</w:t>
      </w:r>
      <w:bookmarkEnd w:id="289"/>
      <w:bookmarkEnd w:id="290"/>
      <w:bookmarkEnd w:id="291"/>
    </w:p>
    <w:p w14:paraId="757A6A84" w14:textId="77777777" w:rsidR="00250988" w:rsidRPr="00250988" w:rsidRDefault="00250988" w:rsidP="00250988">
      <w:pPr>
        <w:suppressAutoHyphens w:val="0"/>
        <w:autoSpaceDN/>
        <w:spacing w:after="0" w:line="240" w:lineRule="auto"/>
        <w:jc w:val="center"/>
        <w:textAlignment w:val="auto"/>
        <w:rPr>
          <w:rFonts w:ascii="Arial" w:eastAsia="Arial MT" w:hAnsi="Arial" w:cs="Arial"/>
          <w:kern w:val="0"/>
          <w:sz w:val="20"/>
          <w:szCs w:val="20"/>
          <w:lang w:val="fr-FR"/>
        </w:rPr>
      </w:pPr>
    </w:p>
    <w:p w14:paraId="7455383F" w14:textId="77777777" w:rsidR="00250988" w:rsidRPr="00250988" w:rsidRDefault="00250988" w:rsidP="00250988">
      <w:pPr>
        <w:suppressAutoHyphens w:val="0"/>
        <w:autoSpaceDN/>
        <w:spacing w:after="0" w:line="240" w:lineRule="auto"/>
        <w:jc w:val="center"/>
        <w:textAlignment w:val="auto"/>
        <w:rPr>
          <w:rFonts w:ascii="Arial" w:eastAsia="Arial MT" w:hAnsi="Arial" w:cs="Arial"/>
          <w:kern w:val="0"/>
          <w:sz w:val="20"/>
          <w:szCs w:val="20"/>
          <w:lang w:val="fr-FR"/>
        </w:rPr>
      </w:pPr>
    </w:p>
    <w:p w14:paraId="045BB11E" w14:textId="77777777" w:rsidR="00250988" w:rsidRPr="00250988" w:rsidRDefault="00250988" w:rsidP="00250988">
      <w:pPr>
        <w:suppressAutoHyphens w:val="0"/>
        <w:autoSpaceDN/>
        <w:spacing w:after="0" w:line="240" w:lineRule="auto"/>
        <w:textAlignment w:val="auto"/>
        <w:rPr>
          <w:rFonts w:ascii="Arial" w:eastAsia="Arial MT" w:hAnsi="Arial" w:cs="Arial"/>
          <w:i/>
          <w:iCs/>
          <w:kern w:val="0"/>
          <w:sz w:val="20"/>
          <w:szCs w:val="20"/>
          <w:lang w:val="fr-FR"/>
        </w:rPr>
      </w:pPr>
    </w:p>
    <w:p w14:paraId="4CA6727C" w14:textId="77777777" w:rsidR="00250988" w:rsidRPr="00250988" w:rsidRDefault="00250988" w:rsidP="00250988">
      <w:pPr>
        <w:keepNext/>
        <w:keepLines/>
        <w:numPr>
          <w:ilvl w:val="1"/>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92" w:name="_Toc216701281"/>
      <w:bookmarkStart w:id="293" w:name="_Toc217390191"/>
      <w:bookmarkStart w:id="294" w:name="_Toc222731561"/>
      <w:r>
        <w:rPr>
          <w:rFonts w:ascii="Arial" w:eastAsia="SimSun" w:hAnsi="Arial" w:cs="Arial"/>
          <w:b/>
          <w:kern w:val="0"/>
          <w:sz w:val="21"/>
          <w:szCs w:val="21"/>
        </w:rPr>
        <w:t>Deuxième niveau (indépendant) de gestion des griefs</w:t>
      </w:r>
      <w:bookmarkEnd w:id="292"/>
      <w:bookmarkEnd w:id="293"/>
      <w:bookmarkEnd w:id="294"/>
    </w:p>
    <w:p w14:paraId="2882EDCB"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41E94A0E"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 deuxième niveau vise à traiter les griefs que le premier niveau n’a pas pu résoudre, et à identifier des solutions qui, si elles sont acceptées, seront contraignantes pour l’entité WCAG et le(s) plaignant(s). L’objectif est d’éviter le recours à la justice et d’essayer de parvenir à des règlements à l’amiable dans la mesure du possible. Aucun grief ne sera examiné par le deuxième niveau s’il n’a pas déjà été examiné par le premier niveau.</w:t>
      </w:r>
    </w:p>
    <w:p w14:paraId="2DCAD59A"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5971389B"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lastRenderedPageBreak/>
        <w:t>Le deuxième niveau de gestion des griefs sera traité par une entité externe telle que le Comité Local de Concertation, qui pourrait inclure des ONG guinéennes (le « Comité Externe des Griefs ») ou des experts environnementaux externes qui seront sélectionnés sur la base des critères suivants :</w:t>
      </w:r>
    </w:p>
    <w:p w14:paraId="67956CF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6A825E0D"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Extérieur à WCAG ;</w:t>
      </w:r>
    </w:p>
    <w:p w14:paraId="265F1182"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Expertise sur les sujets liés aux griefs ;</w:t>
      </w:r>
    </w:p>
    <w:p w14:paraId="282F7A93"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Expérience de la médiation et du travail dans les zones rurales et urbaines, sur l’engagement des parties prenantes et les questions foncières ; et</w:t>
      </w:r>
    </w:p>
    <w:p w14:paraId="407E24C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4255DC2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L’ONG chargée des griefs examinera le grief avec toutes les parties intéressées.  Les procès-verbaux des réunions, y compris les modalités de résolution proposées, les comptes rendus de décisions, les accords conclus, seront préparés.</w:t>
      </w:r>
    </w:p>
    <w:p w14:paraId="72EBB9A7"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583E34AD" w14:textId="77777777" w:rsidR="00250988" w:rsidRPr="00250988" w:rsidRDefault="00250988" w:rsidP="00250988">
      <w:pPr>
        <w:suppressAutoHyphens w:val="0"/>
        <w:autoSpaceDN/>
        <w:spacing w:line="259" w:lineRule="auto"/>
        <w:textAlignment w:val="auto"/>
        <w:rPr>
          <w:rFonts w:ascii="Arial" w:eastAsia="Arial MT" w:hAnsi="Arial" w:cs="Arial"/>
          <w:kern w:val="0"/>
          <w:sz w:val="21"/>
          <w:szCs w:val="21"/>
          <w:lang w:val="fr-FR"/>
        </w:rPr>
      </w:pPr>
      <w:r>
        <w:rPr>
          <w:rFonts w:eastAsia="Arial MT"/>
          <w:noProof/>
          <w:kern w:val="0"/>
          <w:lang w:val="fr-FR" w:eastAsia="zh-CN"/>
        </w:rPr>
        <w:drawing>
          <wp:inline distT="0" distB="0" distL="0" distR="0" wp14:anchorId="73CAE6CD" wp14:editId="4A05451A">
            <wp:extent cx="5759450" cy="2089100"/>
            <wp:effectExtent l="0" t="0" r="0" b="6985"/>
            <wp:docPr id="10685559" name="Picture 1068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2">
                      <a:extLst>
                        <a:ext uri="{28A0092B-C50C-407E-A947-70E740481C1C}">
                          <a14:useLocalDpi xmlns:a14="http://schemas.microsoft.com/office/drawing/2010/main" val="0"/>
                        </a:ext>
                      </a:extLst>
                    </a:blip>
                    <a:stretch>
                      <a:fillRect/>
                    </a:stretch>
                  </pic:blipFill>
                  <pic:spPr>
                    <a:xfrm>
                      <a:off x="0" y="0"/>
                      <a:ext cx="5759450" cy="2089100"/>
                    </a:xfrm>
                    <a:prstGeom prst="rect">
                      <a:avLst/>
                    </a:prstGeom>
                  </pic:spPr>
                </pic:pic>
              </a:graphicData>
            </a:graphic>
          </wp:inline>
        </w:drawing>
      </w:r>
    </w:p>
    <w:p w14:paraId="6577B82C" w14:textId="2CC35F40" w:rsidR="00250988" w:rsidRPr="00250988" w:rsidRDefault="00250988" w:rsidP="00250988">
      <w:pPr>
        <w:suppressAutoHyphens w:val="0"/>
        <w:autoSpaceDN/>
        <w:spacing w:line="259" w:lineRule="auto"/>
        <w:jc w:val="center"/>
        <w:textAlignment w:val="auto"/>
        <w:rPr>
          <w:rFonts w:eastAsia="SimSun"/>
          <w:kern w:val="0"/>
          <w:lang w:val="fr-FR"/>
        </w:rPr>
      </w:pPr>
      <w:bookmarkStart w:id="295" w:name="_Toc217397556"/>
      <w:bookmarkStart w:id="296" w:name="_Toc220060530"/>
      <w:r>
        <w:rPr>
          <w:rFonts w:ascii="Arial" w:eastAsia="Arial MT" w:hAnsi="Arial" w:cs="Arial"/>
          <w:kern w:val="0"/>
          <w:sz w:val="20"/>
          <w:szCs w:val="20"/>
          <w:lang w:val="fr-FR" w:eastAsia="fr-FR"/>
        </w:rPr>
        <w:t xml:space="preserve">Figure </w:t>
      </w:r>
      <w:r>
        <w:rPr>
          <w:rFonts w:ascii="Arial" w:eastAsia="Arial MT" w:hAnsi="Arial" w:cs="Arial"/>
          <w:i/>
          <w:iCs/>
          <w:kern w:val="0"/>
          <w:sz w:val="20"/>
          <w:szCs w:val="20"/>
          <w:lang w:val="fr-FR" w:eastAsia="fr-FR"/>
        </w:rPr>
        <w:t xml:space="preserve">xx : </w:t>
      </w:r>
      <w:r>
        <w:rPr>
          <w:rFonts w:ascii="Arial" w:eastAsia="Arial MT" w:hAnsi="Arial" w:cs="Arial"/>
          <w:kern w:val="0"/>
          <w:sz w:val="20"/>
          <w:szCs w:val="20"/>
          <w:lang w:val="fr-FR" w:eastAsia="fr-FR"/>
        </w:rPr>
        <w:t xml:space="preserve"> Évaluation du grief en fonction de son niveau de risque et de la probabilité de sa répétition</w:t>
      </w:r>
      <w:bookmarkEnd w:id="295"/>
      <w:r>
        <w:rPr>
          <w:rFonts w:ascii="Arial" w:eastAsia="Arial MT" w:hAnsi="Arial" w:cs="Arial"/>
          <w:kern w:val="0"/>
          <w:sz w:val="20"/>
          <w:szCs w:val="20"/>
          <w:lang w:val="fr-FR" w:eastAsia="fr-FR"/>
        </w:rPr>
        <w:t>.</w:t>
      </w:r>
      <w:bookmarkEnd w:id="296"/>
      <w:r>
        <w:rPr>
          <w:rFonts w:ascii="Arial" w:eastAsia="Arial MT" w:hAnsi="Arial" w:cs="Arial"/>
          <w:kern w:val="0"/>
          <w:sz w:val="20"/>
          <w:szCs w:val="20"/>
          <w:lang w:val="fr-FR" w:eastAsia="fr-FR"/>
        </w:rPr>
        <w:t xml:space="preserve"> </w:t>
      </w:r>
    </w:p>
    <w:p w14:paraId="3CE15C55" w14:textId="77777777" w:rsidR="00250988" w:rsidRPr="00250988" w:rsidRDefault="00250988" w:rsidP="00250988">
      <w:pPr>
        <w:suppressAutoHyphens w:val="0"/>
        <w:autoSpaceDN/>
        <w:spacing w:line="259" w:lineRule="auto"/>
        <w:textAlignment w:val="auto"/>
        <w:rPr>
          <w:rFonts w:eastAsia="SimSun"/>
          <w:kern w:val="0"/>
          <w:lang w:val="fr-FR"/>
        </w:rPr>
      </w:pPr>
    </w:p>
    <w:p w14:paraId="149F55F1" w14:textId="77777777" w:rsidR="006A74CD" w:rsidRDefault="006A74CD">
      <w:pPr>
        <w:rPr>
          <w:lang w:val="fr-FR"/>
        </w:rPr>
      </w:pPr>
    </w:p>
    <w:sectPr w:rsidR="006A74CD">
      <w:footerReference w:type="default" r:id="rId13"/>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196AC" w14:textId="77777777" w:rsidR="00BF0DD9" w:rsidRDefault="00BF0DD9">
      <w:pPr>
        <w:spacing w:after="0" w:line="240" w:lineRule="auto"/>
      </w:pPr>
      <w:r>
        <w:separator/>
      </w:r>
    </w:p>
  </w:endnote>
  <w:endnote w:type="continuationSeparator" w:id="0">
    <w:p w14:paraId="2375A952" w14:textId="77777777" w:rsidR="00BF0DD9" w:rsidRDefault="00BF0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Times New Roman"/>
    <w:charset w:val="01"/>
    <w:family w:val="swiss"/>
    <w:pitch w:val="variable"/>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0945639"/>
      <w:docPartObj>
        <w:docPartGallery w:val="Page Numbers (Bottom of Page)"/>
        <w:docPartUnique/>
      </w:docPartObj>
    </w:sdtPr>
    <w:sdtEndPr>
      <w:rPr>
        <w:noProof/>
      </w:rPr>
    </w:sdtEndPr>
    <w:sdtContent>
      <w:p w14:paraId="5DFE719C" w14:textId="73E89816" w:rsidR="00F61750" w:rsidRDefault="00F61750">
        <w:pPr>
          <w:pStyle w:val="Pieddepage"/>
          <w:jc w:val="center"/>
        </w:pPr>
        <w:r>
          <w:fldChar w:fldCharType="begin"/>
        </w:r>
        <w:r>
          <w:instrText xml:space="preserve"> PAGE   \* MERGEFORMAT </w:instrText>
        </w:r>
        <w:r>
          <w:fldChar w:fldCharType="separate"/>
        </w:r>
        <w:r>
          <w:rPr>
            <w:noProof/>
          </w:rPr>
          <w:t>2</w:t>
        </w:r>
        <w:r>
          <w:rPr>
            <w:noProof/>
          </w:rPr>
          <w:fldChar w:fldCharType="end"/>
        </w:r>
      </w:p>
    </w:sdtContent>
  </w:sdt>
  <w:p w14:paraId="50083815" w14:textId="77777777" w:rsidR="00F61750" w:rsidRDefault="00F6175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54F41" w14:textId="77777777" w:rsidR="00BF0DD9" w:rsidRDefault="00BF0DD9">
      <w:pPr>
        <w:spacing w:after="0" w:line="240" w:lineRule="auto"/>
      </w:pPr>
      <w:r>
        <w:rPr>
          <w:color w:val="000000"/>
        </w:rPr>
        <w:separator/>
      </w:r>
    </w:p>
  </w:footnote>
  <w:footnote w:type="continuationSeparator" w:id="0">
    <w:p w14:paraId="7EEE4873" w14:textId="77777777" w:rsidR="00BF0DD9" w:rsidRDefault="00BF0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17CC2"/>
    <w:multiLevelType w:val="multilevel"/>
    <w:tmpl w:val="E2B600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2BD2CAC"/>
    <w:multiLevelType w:val="multilevel"/>
    <w:tmpl w:val="86AE60E6"/>
    <w:lvl w:ilvl="0">
      <w:start w:val="9"/>
      <w:numFmt w:val="decimal"/>
      <w:lvlText w:val="%1."/>
      <w:lvlJc w:val="left"/>
      <w:pPr>
        <w:ind w:left="720" w:hanging="360"/>
      </w:pPr>
      <w:rPr>
        <w:rFonts w:ascii="Arial" w:hAnsi="Arial" w:cs="Arial"/>
        <w:b/>
        <w:bCs/>
        <w:sz w:val="21"/>
        <w:szCs w:val="21"/>
      </w:rPr>
    </w:lvl>
    <w:lvl w:ilvl="1">
      <w:start w:val="1"/>
      <w:numFmt w:val="decimal"/>
      <w:lvlText w:val="%1.%2."/>
      <w:lvlJc w:val="left"/>
      <w:pPr>
        <w:ind w:left="1080" w:hanging="720"/>
      </w:pPr>
      <w:rPr>
        <w:rFonts w:ascii="Arial" w:hAnsi="Arial" w:cs="Arial" w:hint="default"/>
        <w:b/>
        <w:bCs/>
        <w:color w:val="auto"/>
      </w:rPr>
    </w:lvl>
    <w:lvl w:ilvl="2">
      <w:start w:val="1"/>
      <w:numFmt w:val="decimal"/>
      <w:lvlText w:val="%1.%2.%3."/>
      <w:lvlJc w:val="left"/>
      <w:pPr>
        <w:ind w:left="1080" w:hanging="1080"/>
      </w:pPr>
      <w:rPr>
        <w:rFonts w:ascii="Arial" w:hAnsi="Arial" w:cs="Arial"/>
        <w:b/>
        <w:bCs/>
        <w:sz w:val="21"/>
        <w:szCs w:val="21"/>
      </w:rPr>
    </w:lvl>
    <w:lvl w:ilvl="3">
      <w:start w:val="1"/>
      <w:numFmt w:val="decimal"/>
      <w:lvlText w:val="%1.%2.%3.%4."/>
      <w:lvlJc w:val="left"/>
      <w:pPr>
        <w:ind w:left="1440" w:hanging="1080"/>
      </w:pPr>
      <w:rPr>
        <w:color w:val="auto"/>
      </w:r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2" w15:restartNumberingAfterBreak="0">
    <w:nsid w:val="080964FD"/>
    <w:multiLevelType w:val="multilevel"/>
    <w:tmpl w:val="5BC29EEC"/>
    <w:lvl w:ilvl="0">
      <w:start w:val="18"/>
      <w:numFmt w:val="decimal"/>
      <w:lvlText w:val="%1."/>
      <w:lvlJc w:val="left"/>
      <w:pPr>
        <w:ind w:left="720" w:hanging="360"/>
      </w:pPr>
      <w:rPr>
        <w:rFonts w:ascii="Arial" w:hAnsi="Arial" w:cs="Arial" w:hint="default"/>
        <w:b/>
        <w:bCs/>
        <w:sz w:val="21"/>
        <w:szCs w:val="21"/>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1080"/>
      </w:pPr>
      <w:rPr>
        <w:rFonts w:ascii="Arial" w:hAnsi="Arial" w:cs="Arial" w:hint="default"/>
        <w:b/>
        <w:bCs/>
        <w:sz w:val="21"/>
        <w:szCs w:val="21"/>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185C4726"/>
    <w:multiLevelType w:val="multilevel"/>
    <w:tmpl w:val="8CC875CC"/>
    <w:styleLink w:val="WWOutlineListStyle6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8996E39"/>
    <w:multiLevelType w:val="multilevel"/>
    <w:tmpl w:val="B3C8A6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295F5ED1"/>
    <w:multiLevelType w:val="multilevel"/>
    <w:tmpl w:val="941A2CCE"/>
    <w:lvl w:ilvl="0">
      <w:start w:val="13"/>
      <w:numFmt w:val="decimal"/>
      <w:lvlText w:val="%1."/>
      <w:lvlJc w:val="left"/>
      <w:pPr>
        <w:ind w:left="720" w:hanging="360"/>
      </w:pPr>
      <w:rPr>
        <w:rFonts w:ascii="Arial" w:hAnsi="Arial" w:cs="Arial"/>
        <w:b/>
        <w:bCs/>
        <w:sz w:val="21"/>
        <w:szCs w:val="21"/>
      </w:rPr>
    </w:lvl>
    <w:lvl w:ilvl="1">
      <w:start w:val="1"/>
      <w:numFmt w:val="decimal"/>
      <w:lvlText w:val="%1.%2."/>
      <w:lvlJc w:val="left"/>
      <w:pPr>
        <w:ind w:left="1080" w:hanging="720"/>
      </w:pPr>
      <w:rPr>
        <w:color w:val="auto"/>
      </w:rPr>
    </w:lvl>
    <w:lvl w:ilvl="2">
      <w:start w:val="1"/>
      <w:numFmt w:val="decimal"/>
      <w:lvlText w:val="%1.%2.%3."/>
      <w:lvlJc w:val="left"/>
      <w:pPr>
        <w:ind w:left="1080" w:hanging="1080"/>
      </w:pPr>
      <w:rPr>
        <w:rFonts w:ascii="Arial" w:hAnsi="Arial" w:cs="Arial"/>
        <w:b/>
        <w:bCs/>
        <w:sz w:val="21"/>
        <w:szCs w:val="21"/>
      </w:rPr>
    </w:lvl>
    <w:lvl w:ilvl="3">
      <w:start w:val="1"/>
      <w:numFmt w:val="decimal"/>
      <w:lvlText w:val="%1.%2.%3.%4."/>
      <w:lvlJc w:val="left"/>
      <w:pPr>
        <w:ind w:left="1440" w:hanging="1080"/>
      </w:pPr>
      <w:rPr>
        <w:color w:val="auto"/>
      </w:r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6" w15:restartNumberingAfterBreak="0">
    <w:nsid w:val="2A74658E"/>
    <w:multiLevelType w:val="multilevel"/>
    <w:tmpl w:val="A8FE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84567"/>
    <w:multiLevelType w:val="multilevel"/>
    <w:tmpl w:val="6D968E1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3BD80460"/>
    <w:multiLevelType w:val="multilevel"/>
    <w:tmpl w:val="F1607B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D6E7458"/>
    <w:multiLevelType w:val="multilevel"/>
    <w:tmpl w:val="44A85BC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425F6D7B"/>
    <w:multiLevelType w:val="hybridMultilevel"/>
    <w:tmpl w:val="8BBAF2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59E0C91"/>
    <w:multiLevelType w:val="multilevel"/>
    <w:tmpl w:val="AE0443C0"/>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58156B41"/>
    <w:multiLevelType w:val="multilevel"/>
    <w:tmpl w:val="B14C404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67420FEA"/>
    <w:multiLevelType w:val="multilevel"/>
    <w:tmpl w:val="704C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466E9"/>
    <w:multiLevelType w:val="multilevel"/>
    <w:tmpl w:val="844E2022"/>
    <w:lvl w:ilvl="0">
      <w:numFmt w:val="bullet"/>
      <w:lvlText w:val="o"/>
      <w:lvlJc w:val="left"/>
      <w:pPr>
        <w:ind w:left="720" w:hanging="360"/>
      </w:pPr>
      <w:rPr>
        <w:rFonts w:ascii="Courier New" w:hAnsi="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6FF56626"/>
    <w:multiLevelType w:val="multilevel"/>
    <w:tmpl w:val="0E0A09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702215EA"/>
    <w:multiLevelType w:val="multilevel"/>
    <w:tmpl w:val="E11C6B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752300E6"/>
    <w:multiLevelType w:val="hybridMultilevel"/>
    <w:tmpl w:val="65D64506"/>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16"/>
  </w:num>
  <w:num w:numId="4">
    <w:abstractNumId w:val="15"/>
  </w:num>
  <w:num w:numId="5">
    <w:abstractNumId w:val="11"/>
  </w:num>
  <w:num w:numId="6">
    <w:abstractNumId w:val="12"/>
  </w:num>
  <w:num w:numId="7">
    <w:abstractNumId w:val="14"/>
  </w:num>
  <w:num w:numId="8">
    <w:abstractNumId w:val="5"/>
  </w:num>
  <w:num w:numId="9">
    <w:abstractNumId w:val="8"/>
  </w:num>
  <w:num w:numId="10">
    <w:abstractNumId w:val="4"/>
  </w:num>
  <w:num w:numId="11">
    <w:abstractNumId w:val="9"/>
  </w:num>
  <w:num w:numId="12">
    <w:abstractNumId w:val="7"/>
  </w:num>
  <w:num w:numId="13">
    <w:abstractNumId w:val="0"/>
  </w:num>
  <w:num w:numId="14">
    <w:abstractNumId w:val="2"/>
  </w:num>
  <w:num w:numId="15">
    <w:abstractNumId w:val="17"/>
  </w:num>
  <w:num w:numId="16">
    <w:abstractNumId w:val="13"/>
  </w:num>
  <w:num w:numId="17">
    <w:abstractNumId w:val="10"/>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4CD"/>
    <w:rsid w:val="000175C3"/>
    <w:rsid w:val="000A70BB"/>
    <w:rsid w:val="000C3F2F"/>
    <w:rsid w:val="001126FE"/>
    <w:rsid w:val="00140814"/>
    <w:rsid w:val="001B5F8D"/>
    <w:rsid w:val="001F5CCE"/>
    <w:rsid w:val="00250988"/>
    <w:rsid w:val="002E69ED"/>
    <w:rsid w:val="00391385"/>
    <w:rsid w:val="003B111A"/>
    <w:rsid w:val="003B12FB"/>
    <w:rsid w:val="004044EF"/>
    <w:rsid w:val="004429A7"/>
    <w:rsid w:val="00476C4C"/>
    <w:rsid w:val="0049322B"/>
    <w:rsid w:val="00570D58"/>
    <w:rsid w:val="00584294"/>
    <w:rsid w:val="005B176B"/>
    <w:rsid w:val="005B290B"/>
    <w:rsid w:val="005D618C"/>
    <w:rsid w:val="005E678B"/>
    <w:rsid w:val="00633FFD"/>
    <w:rsid w:val="006A3AA9"/>
    <w:rsid w:val="006A74CD"/>
    <w:rsid w:val="00712BB4"/>
    <w:rsid w:val="00745FE9"/>
    <w:rsid w:val="007561DE"/>
    <w:rsid w:val="007841A2"/>
    <w:rsid w:val="007B4681"/>
    <w:rsid w:val="007E3D8B"/>
    <w:rsid w:val="0083416D"/>
    <w:rsid w:val="00883A82"/>
    <w:rsid w:val="008D2E7D"/>
    <w:rsid w:val="008F72BC"/>
    <w:rsid w:val="00900621"/>
    <w:rsid w:val="00921A38"/>
    <w:rsid w:val="00953765"/>
    <w:rsid w:val="00A06A28"/>
    <w:rsid w:val="00A92862"/>
    <w:rsid w:val="00A95554"/>
    <w:rsid w:val="00AB61A3"/>
    <w:rsid w:val="00B5244F"/>
    <w:rsid w:val="00B5691A"/>
    <w:rsid w:val="00BB1F17"/>
    <w:rsid w:val="00BE1043"/>
    <w:rsid w:val="00BF0DD9"/>
    <w:rsid w:val="00C76F76"/>
    <w:rsid w:val="00C8330E"/>
    <w:rsid w:val="00C86B61"/>
    <w:rsid w:val="00C933E4"/>
    <w:rsid w:val="00C93A69"/>
    <w:rsid w:val="00D76B9C"/>
    <w:rsid w:val="00DB6E4E"/>
    <w:rsid w:val="00E75B2D"/>
    <w:rsid w:val="00E95D79"/>
    <w:rsid w:val="00E96156"/>
    <w:rsid w:val="00EB33D0"/>
    <w:rsid w:val="00EC6CDB"/>
    <w:rsid w:val="00EF54FC"/>
    <w:rsid w:val="00EF7EF8"/>
    <w:rsid w:val="00F61750"/>
    <w:rsid w:val="00F806D8"/>
    <w:rsid w:val="00F920F7"/>
    <w:rsid w:val="00FE62F2"/>
    <w:rsid w:val="00FF4D3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AF697"/>
  <w15:docId w15:val="{0CDA9FC0-6998-42A2-B876-92B84A1D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kern w:val="3"/>
        <w:sz w:val="22"/>
        <w:szCs w:val="22"/>
        <w:lang w:val="fr-FR"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fr-CA"/>
    </w:rPr>
  </w:style>
  <w:style w:type="paragraph" w:styleId="Titre1">
    <w:name w:val="heading 1"/>
    <w:basedOn w:val="Normal"/>
    <w:next w:val="Normal"/>
    <w:uiPriority w:val="9"/>
    <w:qFormat/>
    <w:pPr>
      <w:keepNext/>
      <w:keepLines/>
      <w:spacing w:before="360" w:after="80"/>
      <w:outlineLvl w:val="0"/>
    </w:pPr>
    <w:rPr>
      <w:rFonts w:ascii="Calibri Light" w:eastAsia="Times New Roman" w:hAnsi="Calibri Light"/>
      <w:color w:val="2E74B5"/>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E74B5"/>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2E74B5"/>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2E74B5"/>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2E74B5"/>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rPr>
      <w:rFonts w:ascii="Calibri Light" w:eastAsia="Times New Roman" w:hAnsi="Calibri Light" w:cs="Times New Roman"/>
      <w:color w:val="2E74B5"/>
      <w:sz w:val="40"/>
      <w:szCs w:val="40"/>
      <w:lang w:val="fr-CA"/>
    </w:rPr>
  </w:style>
  <w:style w:type="character" w:customStyle="1" w:styleId="Heading2Char">
    <w:name w:val="Heading 2 Char"/>
    <w:basedOn w:val="Policepardfaut"/>
    <w:rPr>
      <w:rFonts w:ascii="Calibri Light" w:eastAsia="Times New Roman" w:hAnsi="Calibri Light" w:cs="Times New Roman"/>
      <w:color w:val="2E74B5"/>
      <w:sz w:val="32"/>
      <w:szCs w:val="32"/>
      <w:lang w:val="fr-CA"/>
    </w:rPr>
  </w:style>
  <w:style w:type="character" w:customStyle="1" w:styleId="Heading3Char">
    <w:name w:val="Heading 3 Char"/>
    <w:basedOn w:val="Policepardfaut"/>
    <w:rPr>
      <w:rFonts w:eastAsia="Times New Roman" w:cs="Times New Roman"/>
      <w:color w:val="2E74B5"/>
      <w:sz w:val="28"/>
      <w:szCs w:val="28"/>
      <w:lang w:val="fr-CA"/>
    </w:rPr>
  </w:style>
  <w:style w:type="character" w:customStyle="1" w:styleId="Heading4Char">
    <w:name w:val="Heading 4 Char"/>
    <w:basedOn w:val="Policepardfaut"/>
    <w:rPr>
      <w:rFonts w:eastAsia="Times New Roman" w:cs="Times New Roman"/>
      <w:i/>
      <w:iCs/>
      <w:color w:val="2E74B5"/>
      <w:lang w:val="fr-CA"/>
    </w:rPr>
  </w:style>
  <w:style w:type="character" w:customStyle="1" w:styleId="Heading5Char">
    <w:name w:val="Heading 5 Char"/>
    <w:basedOn w:val="Policepardfaut"/>
    <w:rPr>
      <w:rFonts w:eastAsia="Times New Roman" w:cs="Times New Roman"/>
      <w:color w:val="2E74B5"/>
      <w:lang w:val="fr-CA"/>
    </w:rPr>
  </w:style>
  <w:style w:type="character" w:customStyle="1" w:styleId="Heading6Char">
    <w:name w:val="Heading 6 Char"/>
    <w:basedOn w:val="Policepardfaut"/>
    <w:rPr>
      <w:rFonts w:eastAsia="Times New Roman" w:cs="Times New Roman"/>
      <w:i/>
      <w:iCs/>
      <w:color w:val="595959"/>
      <w:lang w:val="fr-CA"/>
    </w:rPr>
  </w:style>
  <w:style w:type="character" w:customStyle="1" w:styleId="Heading7Char">
    <w:name w:val="Heading 7 Char"/>
    <w:basedOn w:val="Policepardfaut"/>
    <w:rPr>
      <w:rFonts w:eastAsia="Times New Roman" w:cs="Times New Roman"/>
      <w:color w:val="595959"/>
      <w:lang w:val="fr-CA"/>
    </w:rPr>
  </w:style>
  <w:style w:type="character" w:customStyle="1" w:styleId="Heading8Char">
    <w:name w:val="Heading 8 Char"/>
    <w:basedOn w:val="Policepardfaut"/>
    <w:rPr>
      <w:rFonts w:eastAsia="Times New Roman" w:cs="Times New Roman"/>
      <w:i/>
      <w:iCs/>
      <w:color w:val="272727"/>
      <w:lang w:val="fr-CA"/>
    </w:rPr>
  </w:style>
  <w:style w:type="character" w:customStyle="1" w:styleId="Heading9Char">
    <w:name w:val="Heading 9 Char"/>
    <w:basedOn w:val="Policepardfaut"/>
    <w:rPr>
      <w:rFonts w:eastAsia="Times New Roman" w:cs="Times New Roman"/>
      <w:color w:val="272727"/>
      <w:lang w:val="fr-CA"/>
    </w:rPr>
  </w:style>
  <w:style w:type="paragraph" w:styleId="Titre">
    <w:name w:val="Title"/>
    <w:basedOn w:val="Normal"/>
    <w:next w:val="Normal"/>
    <w:uiPriority w:val="10"/>
    <w:qFormat/>
    <w:pPr>
      <w:spacing w:after="80" w:line="240" w:lineRule="auto"/>
    </w:pPr>
    <w:rPr>
      <w:rFonts w:ascii="Calibri Light" w:eastAsia="Times New Roman" w:hAnsi="Calibri Light"/>
      <w:spacing w:val="-10"/>
      <w:sz w:val="56"/>
      <w:szCs w:val="56"/>
    </w:rPr>
  </w:style>
  <w:style w:type="character" w:customStyle="1" w:styleId="TitleChar">
    <w:name w:val="Title Char"/>
    <w:basedOn w:val="Policepardfaut"/>
    <w:rPr>
      <w:rFonts w:ascii="Calibri Light" w:eastAsia="Times New Roman" w:hAnsi="Calibri Light" w:cs="Times New Roman"/>
      <w:spacing w:val="-10"/>
      <w:kern w:val="3"/>
      <w:sz w:val="56"/>
      <w:szCs w:val="56"/>
      <w:lang w:val="fr-CA"/>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Policepardfaut"/>
    <w:rPr>
      <w:rFonts w:eastAsia="Times New Roman" w:cs="Times New Roman"/>
      <w:color w:val="595959"/>
      <w:spacing w:val="15"/>
      <w:sz w:val="28"/>
      <w:szCs w:val="28"/>
      <w:lang w:val="fr-CA"/>
    </w:rPr>
  </w:style>
  <w:style w:type="paragraph" w:styleId="Citation">
    <w:name w:val="Quote"/>
    <w:basedOn w:val="Normal"/>
    <w:next w:val="Normal"/>
    <w:pPr>
      <w:spacing w:before="160"/>
      <w:jc w:val="center"/>
    </w:pPr>
    <w:rPr>
      <w:i/>
      <w:iCs/>
      <w:color w:val="404040"/>
    </w:rPr>
  </w:style>
  <w:style w:type="character" w:customStyle="1" w:styleId="QuoteChar">
    <w:name w:val="Quote Char"/>
    <w:basedOn w:val="Policepardfaut"/>
    <w:rPr>
      <w:i/>
      <w:iCs/>
      <w:color w:val="404040"/>
      <w:lang w:val="fr-CA"/>
    </w:rPr>
  </w:style>
  <w:style w:type="paragraph" w:styleId="Paragraphedeliste">
    <w:name w:val="List Paragraph"/>
    <w:basedOn w:val="Normal"/>
    <w:pPr>
      <w:ind w:left="720"/>
    </w:pPr>
  </w:style>
  <w:style w:type="character" w:styleId="Accentuationintense">
    <w:name w:val="Intense Emphasis"/>
    <w:basedOn w:val="Policepardfaut"/>
    <w:rPr>
      <w:i/>
      <w:iCs/>
      <w:color w:val="2E74B5"/>
    </w:rPr>
  </w:style>
  <w:style w:type="paragraph" w:styleId="Citationintense">
    <w:name w:val="Intense Quote"/>
    <w:basedOn w:val="Normal"/>
    <w:next w:val="Normal"/>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basedOn w:val="Policepardfaut"/>
    <w:rPr>
      <w:i/>
      <w:iCs/>
      <w:color w:val="2E74B5"/>
      <w:lang w:val="fr-CA"/>
    </w:rPr>
  </w:style>
  <w:style w:type="character" w:styleId="Rfrenceintense">
    <w:name w:val="Intense Reference"/>
    <w:basedOn w:val="Policepardfaut"/>
    <w:rPr>
      <w:b/>
      <w:bCs/>
      <w:smallCaps/>
      <w:color w:val="2E74B5"/>
      <w:spacing w:val="5"/>
    </w:rPr>
  </w:style>
  <w:style w:type="numbering" w:customStyle="1" w:styleId="WWOutlineListStyle62">
    <w:name w:val="WW_OutlineListStyle62"/>
    <w:basedOn w:val="Aucuneliste"/>
    <w:pPr>
      <w:numPr>
        <w:numId w:val="1"/>
      </w:numPr>
    </w:pPr>
  </w:style>
  <w:style w:type="table" w:customStyle="1" w:styleId="MATable1">
    <w:name w:val="MA Table1"/>
    <w:basedOn w:val="TableauNormal"/>
    <w:next w:val="Grilledutableau"/>
    <w:uiPriority w:val="39"/>
    <w:qFormat/>
    <w:rsid w:val="00250988"/>
    <w:pPr>
      <w:autoSpaceDN/>
      <w:spacing w:after="0" w:line="240" w:lineRule="auto"/>
      <w:textAlignment w:val="auto"/>
    </w:pPr>
    <w:rPr>
      <w:rFonts w:eastAsia="SimSu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rsid w:val="00250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C933E4"/>
    <w:rPr>
      <w:sz w:val="16"/>
      <w:szCs w:val="16"/>
    </w:rPr>
  </w:style>
  <w:style w:type="paragraph" w:styleId="Commentaire">
    <w:name w:val="annotation text"/>
    <w:basedOn w:val="Normal"/>
    <w:link w:val="CommentaireCar"/>
    <w:uiPriority w:val="99"/>
    <w:unhideWhenUsed/>
    <w:rsid w:val="00C933E4"/>
    <w:pPr>
      <w:spacing w:line="240" w:lineRule="auto"/>
    </w:pPr>
    <w:rPr>
      <w:sz w:val="20"/>
      <w:szCs w:val="20"/>
    </w:rPr>
  </w:style>
  <w:style w:type="character" w:customStyle="1" w:styleId="CommentaireCar">
    <w:name w:val="Commentaire Car"/>
    <w:basedOn w:val="Policepardfaut"/>
    <w:link w:val="Commentaire"/>
    <w:uiPriority w:val="99"/>
    <w:rsid w:val="00C933E4"/>
    <w:rPr>
      <w:sz w:val="20"/>
      <w:szCs w:val="20"/>
      <w:lang w:val="fr-CA"/>
    </w:rPr>
  </w:style>
  <w:style w:type="paragraph" w:styleId="Objetducommentaire">
    <w:name w:val="annotation subject"/>
    <w:basedOn w:val="Commentaire"/>
    <w:next w:val="Commentaire"/>
    <w:link w:val="ObjetducommentaireCar"/>
    <w:uiPriority w:val="99"/>
    <w:semiHidden/>
    <w:unhideWhenUsed/>
    <w:rsid w:val="00C933E4"/>
    <w:rPr>
      <w:b/>
      <w:bCs/>
    </w:rPr>
  </w:style>
  <w:style w:type="character" w:customStyle="1" w:styleId="ObjetducommentaireCar">
    <w:name w:val="Objet du commentaire Car"/>
    <w:basedOn w:val="CommentaireCar"/>
    <w:link w:val="Objetducommentaire"/>
    <w:uiPriority w:val="99"/>
    <w:semiHidden/>
    <w:rsid w:val="00C933E4"/>
    <w:rPr>
      <w:b/>
      <w:bCs/>
      <w:sz w:val="20"/>
      <w:szCs w:val="20"/>
      <w:lang w:val="fr-CA"/>
    </w:rPr>
  </w:style>
  <w:style w:type="paragraph" w:styleId="En-tte">
    <w:name w:val="header"/>
    <w:basedOn w:val="Normal"/>
    <w:link w:val="En-tteCar"/>
    <w:uiPriority w:val="99"/>
    <w:unhideWhenUsed/>
    <w:rsid w:val="00F61750"/>
    <w:pPr>
      <w:tabs>
        <w:tab w:val="center" w:pos="4513"/>
        <w:tab w:val="right" w:pos="9026"/>
      </w:tabs>
      <w:spacing w:after="0" w:line="240" w:lineRule="auto"/>
    </w:pPr>
  </w:style>
  <w:style w:type="character" w:customStyle="1" w:styleId="En-tteCar">
    <w:name w:val="En-tête Car"/>
    <w:basedOn w:val="Policepardfaut"/>
    <w:link w:val="En-tte"/>
    <w:uiPriority w:val="99"/>
    <w:rsid w:val="00F61750"/>
    <w:rPr>
      <w:lang w:val="fr-CA"/>
    </w:rPr>
  </w:style>
  <w:style w:type="paragraph" w:styleId="Pieddepage">
    <w:name w:val="footer"/>
    <w:basedOn w:val="Normal"/>
    <w:link w:val="PieddepageCar"/>
    <w:uiPriority w:val="99"/>
    <w:unhideWhenUsed/>
    <w:rsid w:val="00F6175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61750"/>
    <w:rPr>
      <w:lang w:val="fr-CA"/>
    </w:rPr>
  </w:style>
  <w:style w:type="character" w:styleId="Accentuation">
    <w:name w:val="Emphasis"/>
    <w:basedOn w:val="Policepardfaut"/>
    <w:uiPriority w:val="20"/>
    <w:qFormat/>
    <w:rsid w:val="00A92862"/>
    <w:rPr>
      <w:i/>
      <w:iCs/>
    </w:rPr>
  </w:style>
  <w:style w:type="paragraph" w:customStyle="1" w:styleId="font-claude-response-body">
    <w:name w:val="font-claude-response-body"/>
    <w:basedOn w:val="Normal"/>
    <w:rsid w:val="00C93A69"/>
    <w:pPr>
      <w:suppressAutoHyphens w:val="0"/>
      <w:autoSpaceDN/>
      <w:spacing w:before="100" w:beforeAutospacing="1" w:after="100" w:afterAutospacing="1" w:line="240" w:lineRule="auto"/>
      <w:textAlignment w:val="auto"/>
    </w:pPr>
    <w:rPr>
      <w:rFonts w:ascii="Times New Roman" w:eastAsia="Times New Roman" w:hAnsi="Times New Roman"/>
      <w:kern w:val="0"/>
      <w:sz w:val="24"/>
      <w:szCs w:val="24"/>
      <w:lang w:val="fr-FR" w:eastAsia="fr-FR"/>
    </w:rPr>
  </w:style>
  <w:style w:type="character" w:styleId="lev">
    <w:name w:val="Strong"/>
    <w:basedOn w:val="Policepardfaut"/>
    <w:uiPriority w:val="22"/>
    <w:qFormat/>
    <w:rsid w:val="00C93A69"/>
    <w:rPr>
      <w:b/>
      <w:bCs/>
    </w:rPr>
  </w:style>
  <w:style w:type="character" w:styleId="Lienhypertexte">
    <w:name w:val="Hyperlink"/>
    <w:basedOn w:val="Policepardfaut"/>
    <w:uiPriority w:val="99"/>
    <w:unhideWhenUsed/>
    <w:rsid w:val="001F5CCE"/>
    <w:rPr>
      <w:color w:val="0000FF"/>
      <w:u w:val="single"/>
    </w:rPr>
  </w:style>
  <w:style w:type="character" w:styleId="Mentionnonrsolue">
    <w:name w:val="Unresolved Mention"/>
    <w:basedOn w:val="Policepardfaut"/>
    <w:uiPriority w:val="99"/>
    <w:semiHidden/>
    <w:unhideWhenUsed/>
    <w:rsid w:val="001F5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085623">
      <w:bodyDiv w:val="1"/>
      <w:marLeft w:val="0"/>
      <w:marRight w:val="0"/>
      <w:marTop w:val="0"/>
      <w:marBottom w:val="0"/>
      <w:divBdr>
        <w:top w:val="none" w:sz="0" w:space="0" w:color="auto"/>
        <w:left w:val="none" w:sz="0" w:space="0" w:color="auto"/>
        <w:bottom w:val="none" w:sz="0" w:space="0" w:color="auto"/>
        <w:right w:val="none" w:sz="0" w:space="0" w:color="auto"/>
      </w:divBdr>
    </w:div>
    <w:div w:id="1076898705">
      <w:bodyDiv w:val="1"/>
      <w:marLeft w:val="0"/>
      <w:marRight w:val="0"/>
      <w:marTop w:val="0"/>
      <w:marBottom w:val="0"/>
      <w:divBdr>
        <w:top w:val="none" w:sz="0" w:space="0" w:color="auto"/>
        <w:left w:val="none" w:sz="0" w:space="0" w:color="auto"/>
        <w:bottom w:val="none" w:sz="0" w:space="0" w:color="auto"/>
        <w:right w:val="none" w:sz="0" w:space="0" w:color="auto"/>
      </w:divBdr>
    </w:div>
    <w:div w:id="1287814874">
      <w:bodyDiv w:val="1"/>
      <w:marLeft w:val="0"/>
      <w:marRight w:val="0"/>
      <w:marTop w:val="0"/>
      <w:marBottom w:val="0"/>
      <w:divBdr>
        <w:top w:val="none" w:sz="0" w:space="0" w:color="auto"/>
        <w:left w:val="none" w:sz="0" w:space="0" w:color="auto"/>
        <w:bottom w:val="none" w:sz="0" w:space="0" w:color="auto"/>
        <w:right w:val="none" w:sz="0" w:space="0" w:color="auto"/>
      </w:divBdr>
    </w:div>
    <w:div w:id="1806775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19</Pages>
  <Words>7920</Words>
  <Characters>43562</Characters>
  <Application>Microsoft Office Word</Application>
  <DocSecurity>0</DocSecurity>
  <Lines>363</Lines>
  <Paragraphs>102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CAMA</dc:creator>
  <dc:description/>
  <cp:lastModifiedBy>Ismael SAMBY</cp:lastModifiedBy>
  <cp:revision>49</cp:revision>
  <dcterms:created xsi:type="dcterms:W3CDTF">2026-02-24T13:21:00Z</dcterms:created>
  <dcterms:modified xsi:type="dcterms:W3CDTF">2026-07-17T15:12:00Z</dcterms:modified>
</cp:coreProperties>
</file>