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MATRICE DES CORRECTIONS ET AMÉLIORATIONS</w:t>
      </w:r>
    </w:p>
    <w:p>
      <w:pPr>
        <w:spacing w:after="40"/>
      </w:pPr>
      <w:r>
        <w:rPr>
          <w:rFonts w:ascii="Arial" w:cs="Arial" w:eastAsia="Arial" w:hAnsi="Arial"/>
          <w:sz w:val="19"/>
          <w:szCs w:val="19"/>
        </w:rPr>
        <w:t xml:space="preserve">EIES Raffinerie WCAG — Chapitre 7 : Analyse du cadre politique, juridique et institutionnel — Dobali, Préfecture de Boké (Guinée)</w:t>
      </w:r>
    </w:p>
    <w:p>
      <w:pPr>
        <w:spacing w:after="40"/>
      </w:pPr>
      <w:r>
        <w:rPr>
          <w:rFonts w:ascii="Arial" w:cs="Arial" w:eastAsia="Arial" w:hAnsi="Arial"/>
          <w:b/>
          <w:bCs/>
          <w:sz w:val="18"/>
          <w:szCs w:val="18"/>
        </w:rPr>
        <w:t xml:space="preserve">Revue par : </w:t>
      </w:r>
      <w:r>
        <w:rPr>
          <w:rFonts w:ascii="Arial" w:cs="Arial" w:eastAsia="Arial" w:hAnsi="Arial"/>
          <w:b/>
          <w:bCs/>
          <w:color w:val="1F3864"/>
          <w:sz w:val="18"/>
          <w:szCs w:val="18"/>
        </w:rPr>
        <w:t xml:space="preserve">Dr IBRAHIMA DIALLO</w:t>
      </w:r>
      <w:r>
        <w:rPr>
          <w:rFonts w:ascii="Arial" w:cs="Arial" w:eastAsia="Arial" w:hAnsi="Arial"/>
          <w:sz w:val="18"/>
          <w:szCs w:val="18"/>
        </w:rPr>
        <w:t xml:space="preserve">    ·    Référentiel : normes chinoises (China Exim Bank, MOFCOM/MEE, GB/HJ) et bonnes pratiques internationales    ·    Date : 17/08/2026</w:t>
      </w:r>
    </w:p>
    <w:p>
      <w:pPr>
        <w:spacing w:after="160"/>
      </w:pPr>
      <w:r>
        <w:rPr>
          <w:rFonts w:ascii="Arial" w:cs="Arial" w:eastAsia="Arial" w:hAnsi="Arial"/>
          <w:i/>
          <w:iCs/>
          <w:color w:val="7F7F7F"/>
          <w:sz w:val="17"/>
          <w:szCs w:val="17"/>
        </w:rPr>
        <w:t xml:space="preserve">La présente matrice recense et justifie les 26 rajouts et améliorations proposés par le Dr IBRAHIMA DIALLO, intégrés au document sous forme de commentaires (version commentée) et, pour les principaux, appliqués dans la version propre. Le principal apport est l'intégration du cadre du bailleur (China Exim Bank) et des normes techniques chinoises (GB/HJ), absents du chapitre.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500"/>
        <w:gridCol w:w="4200"/>
        <w:gridCol w:w="2650"/>
        <w:gridCol w:w="3778"/>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Section / Emplacement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Élément concerné / Constat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Correction / amélioration proposée (rajout)</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Norme(s) / référentiel de référence</w:t>
            </w:r>
          </w:p>
        </w:tc>
        <w:tc>
          <w:tcPr>
            <w:tcW w:type="dxa" w:w="37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Justification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Introduction — corpus normatif</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Cadre bâti sur droit guinéen + conventions + GIIP/SFI, sans le bailleur.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une section « Exigences du bailleur et normes chinoises applicables ».</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 ; BRI verte (2021) ; GB/HJ.</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Financement China Exim Bank : ses exigences E&amp;S et les normes GB sont applicables et absentes.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GIIP — référentiel SFI</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Ni financé ni garanti par la SFI » sans désigner le bailleur réel.</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Désigner la China Exim Bank comme référentiel principal ; noter la non-adhésion aux Principes de l'Équateur.</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 ; SFI ; BM EHS.</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Ancre la méthode dans le cadre contractuel réel du Projet.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4 — NP3 (pollution)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 aux seules IFC EHS Guidelines.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les normes chinoises d'émission et la règle du référentiel le plus strict.</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25465-2010 ; GB 13223-2011 ; GB 8978 ; GB 18599-2020.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Couvre les paramètres d'une raffinerie/centrale à financement chinois.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Cadre politique — CDN 3.0</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Objectif de neutralité carbone du secteur minier vs charbon.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Traiter le charbon/gazéification au regard de l'engagement chinois (2021) ; décarbonation.</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CDN 3.0 ; engagement Chine (2021) ; BRI verte.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climatique et acceptabilité du bailleur.</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Conventions — Accord de Paris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Émissions GES évaluées « le cas échéant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Quantifier les GES (scopes 1-2-3), objectifs alignés CDN 3.0.</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ISO 14064 ; GB/T 32150 ; CDN 3.0.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Engagement trop faible pour un projet à forte intensité carbone.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Conventions — Montréal</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potentiel d'approvisionnement de l'ozone » (erreur).</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en « appauvrissement de la couche d'ozone (ODP) » + PRG/Kigali.</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Protocole de Montréal ; Amendement de Kigali (2016).</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Erreur terminologique sur une notion réglementaire clé.</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1 — Patrimoine culturel</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Numéro de loi « L/2016/063/AN » incohérent avec le PGPC (L/2016/036/A).</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Vérifier la référence authentique et l'harmoniser dans l'ÉIES.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Loi patrimoine culturel (Guinée) ; cohérence documentaire.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Un seul numéro est exact ; incohérence inter-chapitres.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1 — qualification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Loi patrimoine qualifiée d'« arrêté ».</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en « loi ».</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juridique.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Erreur de nature du texte.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Numérotation des tableaux</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 « Tableau 20 » vs titre « Tableau 1 » ; coquille « cidessous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Harmoniser la numérotation et corriger les coquilles.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et lisibilité du chapitre.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Régime installations classées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Décret cité en tableau, non explicité dans le corps.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Classer explicitement raffinerie/centrale/parc à résidus ; autorisations requises.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Décret installations classées (à vérifier) ; Code environnement.</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Base juridique de l'autorisation environnementale.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4 — NP7 (autochtones)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Conclusion d'absence fondée sur le seul droit guinéen.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Documenter le screening NP 7 (critères factuels ; Baga/Nalou).</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7 ; MOFCOM/MEE (2022).</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bailleur peut retenir une acception plus large.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CDL / FODEL</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Obligation CDL/FODEL appliquée sans base claire pour la raffinerie.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Préciser le fondement (volet extractif, engagement, Convention de base).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Code minier ; Convention de base.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La raffinerie n'est pas, en soi, un titre minier.</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Introduction — rédaction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Phrase incomplète « Le ci-dessous, présente…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Reformuler et fusionner les redites introductives.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Clarté du chapitre.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Cadre institutionnel — doublon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Deux ministères « hydraulique/hydrocarbures » redondants.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Harmoniser selon le Décret D/2026/0006/PRG.</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Décret structure du Gouvernement (2026).</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la confusion sur l'autorité compétente.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Normes NG-2012</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Normes de rejet anciennes, incomplètes pour l'alumine.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Compléter par IFC EHS et normes chinoises (GB 8978, GB 25465, GB 13223).</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8978 ; GB 25465 ; GB 13223 ; IFC EHS.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Couvre les paramètres procédé Bayer/centrale.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3 — parc à résidus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Référentiels internationaux sans normes chinoises.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GB 50863-2013 et GB 39496-2020 (conjointement au GISTM).</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 ; GISTM.</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Ingénierie/financement chinois : normes GB applicables.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Institutionnel — AGÉE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Procédure nationale sans articulation avec le bailleur.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Aligner divulgation/consultation avec la China Exim Bank et la NP 1.</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 SFI NP 1.</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Exigences de publicité et de griefs du bailleur.</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Analyse comparative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Absence de vue consolidée des référentiels.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une matrice de conformité (droit / conventions / bailleur / GB / SFI).</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Tous référentiels ; règle du plus strict.</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Vue unique et auditable des obligations.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Code minier — applicabilité</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Non-applicabilité affirmée sans base de l'autorisation.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Énoncer la base environnementale (Code environnement/installations classées).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Code de l'environnement.</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Clarifie l'assujettissement de la raffinerie.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4 — NP5 (réinstallation)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 à la seule NP 5.</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les exigences du bailleur (valeur de remplacement, moyens de subsistance).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5 ; MOFCOM/MEE (2022) ; PAR/PRMS.</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Comble l'écart le plus significatif du cadre national.</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Genre / VBG</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Prévention VBG mentionnée sans dispositif.</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un Plan VBG/EAS-HS articulé au MGP (chap. 18).</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2/NP 4 ; bonnes pratiques BM.</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Risque majeur lié à l'afflux de main-d'œuvre.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Institutionnel — rédaction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Attributions du Ministère de l'Énergie mal formulées.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Reprendre la rédaction ; corriger les coquilles des fiches.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Lisibilité et exactitude institutionnelle.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GIIP — formulation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Définition circulaire ; coquille « une centrale électriques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Énumérer les référentiels concrets ; corriger la coquille.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BM EHS ; SFI ; GISTM ; GB/HJ.</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Clarté du référentiel de bonnes pratiques.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Conventions — complétude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Instruments patrimoine (1972/2003) non cités.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les Conventions UNESCO 1972 et 2003 ; vérifier les dates.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UNESCO 1972 ; 2003.</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avec le chapitre patrimoine culturel.</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Tableau 4 — NP6 (biodiversité)</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Habitat critique/perte nette nulle à préciser.</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Cibler mangroves et forêts-galeries ; BAP à indicateurs.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SFI NP 6 ; Ramsar ; MOFCOM/MEE (2022).</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Protège les habitats prioritaires (carbone bleu).</w:t>
            </w:r>
          </w:p>
        </w:tc>
      </w:tr>
    </w:tbl>
    <w:p>
      <w:pPr>
        <w:spacing w:before="200"/>
      </w:pPr>
      <w:r>
        <w:rPr>
          <w:rFonts w:ascii="Arial" w:cs="Arial" w:eastAsia="Arial" w:hAnsi="Arial"/>
          <w:i/>
          <w:iCs/>
          <w:color w:val="7F7F7F"/>
          <w:sz w:val="15"/>
          <w:szCs w:val="15"/>
        </w:rPr>
        <w:t xml:space="preserve">Référentiels : China Exim Bank (2007), MOFCOM/MEE (2022), BRI verte (2021), engagement chinois de sortie du charbon (2021), CDN 3.0 de la Guinée ; normes chinoises GB (aluminium GB 25465-2010 ; centrales GB 13223-2011 ; eaux GB 8978 ; déchets GB 18599-2020 ; résidus GB 50863-2013, GB 39496-2020) ; GB/T 32150 / ISO 14064 (GES) ; SFI NP 1-8, BM EHS ; Conventions UNESCO 1972/2003, Ramsar, Montréal/Kigali.</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corrections — Chapitre 7 (Cadre juridique, politique et institutionnel)</dc:title>
  <dc:creator>Dr IBRAHIMA DIALLO</dc:creator>
  <cp:lastModifiedBy>Un-named</cp:lastModifiedBy>
  <cp:revision>1</cp:revision>
  <dcterms:created xsi:type="dcterms:W3CDTF">2026-08-17T16:56:43.126Z</dcterms:created>
  <dcterms:modified xsi:type="dcterms:W3CDTF">2026-08-17T16:56:43.127Z</dcterms:modified>
</cp:coreProperties>
</file>

<file path=docProps/custom.xml><?xml version="1.0" encoding="utf-8"?>
<Properties xmlns="http://schemas.openxmlformats.org/officeDocument/2006/custom-properties" xmlns:vt="http://schemas.openxmlformats.org/officeDocument/2006/docPropsVTypes"/>
</file>