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rFonts w:ascii="Calibri" w:cs="Calibri" w:eastAsia="Calibri" w:hAnsi="Calibri"/>
          <w:b/>
          <w:bCs/>
          <w:color w:val="595959"/>
          <w:sz w:val="16"/>
          <w:szCs w:val="16"/>
        </w:rPr>
        <w:t xml:space="preserve">RÉPUBLIQUE DE GUINÉE  —  MINISTÈRE DE L'ÉNERGIE  —  ÉLECTRICITÉ DE GUINÉE</w:t>
      </w:r>
    </w:p>
    <w:p>
      <w:pPr>
        <w:spacing w:after="0" w:before="80"/>
        <w:jc w:val="center"/>
      </w:pPr>
      <w:r>
        <w:rPr>
          <w:rFonts w:ascii="Calibri" w:cs="Calibri" w:eastAsia="Calibri" w:hAnsi="Calibri"/>
          <w:b/>
          <w:bCs/>
          <w:color w:val="1F3864"/>
          <w:sz w:val="30"/>
          <w:szCs w:val="30"/>
        </w:rPr>
        <w:t xml:space="preserve">COMPTE RENDU D'AVANCEMENT</w:t>
      </w:r>
    </w:p>
    <w:p>
      <w:pPr>
        <w:spacing w:after="40"/>
        <w:jc w:val="center"/>
      </w:pPr>
      <w:r>
        <w:rPr>
          <w:rFonts w:ascii="Calibri" w:cs="Calibri" w:eastAsia="Calibri" w:hAnsi="Calibri"/>
          <w:b/>
          <w:bCs/>
          <w:color w:val="2E74B5"/>
          <w:sz w:val="20"/>
          <w:szCs w:val="20"/>
        </w:rPr>
        <w:t xml:space="preserve">NIES &amp; Plan d'Action de Réinstallation et de Compensation (PARC)</w:t>
      </w:r>
    </w:p>
    <w:p>
      <w:pPr>
        <w:pBdr>
          <w:bottom w:val="single" w:color="1F3864" w:sz="12" w:space="4"/>
        </w:pBdr>
        <w:spacing w:after="140"/>
        <w:jc w:val="center"/>
      </w:pPr>
      <w:r>
        <w:rPr>
          <w:rFonts w:ascii="Calibri" w:cs="Calibri" w:eastAsia="Calibri" w:hAnsi="Calibri"/>
          <w:b/>
          <w:bCs/>
          <w:sz w:val="21"/>
          <w:szCs w:val="21"/>
        </w:rPr>
        <w:t xml:space="preserve">Microcentrale hydroélectrique de KÉNO (7,2 MW) — Rivière Makona, préfecture de Guéckédou</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50"/>
        <w:gridCol w:w="2823"/>
        <w:gridCol w:w="1750"/>
        <w:gridCol w:w="3123"/>
      </w:tblGrid>
      <w:tr>
        <w:trPr>
          <w:tblHeader/>
        </w:trPr>
        <w:tc>
          <w:tcPr>
            <w:tcW w:type="dxa" w:w="2050"/>
            <w:tcBorders>
              <w:top w:val="single" w:color="BFBFBF" w:sz="4"/>
              <w:left w:val="single" w:color="BFBFBF" w:sz="4"/>
              <w:bottom w:val="single" w:color="BFBFBF" w:sz="4"/>
              <w:right w:val="single" w:color="BFBFBF" w:sz="4"/>
            </w:tcBorders>
            <w:shd w:fill="DEEAF6" w:color="auto" w:val="clear"/>
            <w:tcMar>
              <w:top w:type="dxa" w:w="36"/>
              <w:left w:type="dxa" w:w="70"/>
              <w:bottom w:type="dxa" w:w="36"/>
              <w:right w:type="dxa" w:w="70"/>
            </w:tcMar>
            <w:vAlign w:val="center"/>
          </w:tcPr>
          <w:p>
            <w:pPr>
              <w:spacing w:after="26" w:before="26" w:line="216"/>
            </w:pPr>
            <w:r>
              <w:rPr>
                <w:rFonts w:ascii="Calibri" w:cs="Calibri" w:eastAsia="Calibri" w:hAnsi="Calibri"/>
                <w:b/>
                <w:bCs/>
                <w:color w:val="000000"/>
                <w:sz w:val="17"/>
                <w:szCs w:val="17"/>
              </w:rPr>
              <w:t xml:space="preserve">Maître d'ouvrage délégué</w:t>
            </w:r>
          </w:p>
        </w:tc>
        <w:tc>
          <w:tcPr>
            <w:tcW w:type="dxa" w:w="2823"/>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Électricité de Guinée (EDG)</w:t>
            </w:r>
          </w:p>
        </w:tc>
        <w:tc>
          <w:tcPr>
            <w:tcW w:type="dxa" w:w="1750"/>
            <w:tcBorders>
              <w:top w:val="single" w:color="BFBFBF" w:sz="4"/>
              <w:left w:val="single" w:color="BFBFBF" w:sz="4"/>
              <w:bottom w:val="single" w:color="BFBFBF" w:sz="4"/>
              <w:right w:val="single" w:color="BFBFBF" w:sz="4"/>
            </w:tcBorders>
            <w:shd w:fill="DEEAF6" w:color="auto" w:val="clear"/>
            <w:tcMar>
              <w:top w:type="dxa" w:w="36"/>
              <w:left w:type="dxa" w:w="70"/>
              <w:bottom w:type="dxa" w:w="36"/>
              <w:right w:type="dxa" w:w="70"/>
            </w:tcMar>
            <w:vAlign w:val="center"/>
          </w:tcPr>
          <w:p>
            <w:pPr>
              <w:spacing w:after="26" w:before="26" w:line="216"/>
            </w:pPr>
            <w:r>
              <w:rPr>
                <w:rFonts w:ascii="Calibri" w:cs="Calibri" w:eastAsia="Calibri" w:hAnsi="Calibri"/>
                <w:b/>
                <w:bCs/>
                <w:color w:val="000000"/>
                <w:sz w:val="17"/>
                <w:szCs w:val="17"/>
              </w:rPr>
              <w:t xml:space="preserve">Concessionnaire BOT</w:t>
            </w:r>
          </w:p>
        </w:tc>
        <w:tc>
          <w:tcPr>
            <w:tcW w:type="dxa" w:w="3123"/>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KAMA SA</w:t>
            </w:r>
          </w:p>
        </w:tc>
      </w:tr>
      <w:tr>
        <w:trPr>
          <w:tblHeader w:val="false"/>
        </w:trPr>
        <w:tc>
          <w:tcPr>
            <w:tcW w:type="dxa" w:w="2050"/>
            <w:tcBorders>
              <w:top w:val="single" w:color="BFBFBF" w:sz="4"/>
              <w:left w:val="single" w:color="BFBFBF" w:sz="4"/>
              <w:bottom w:val="single" w:color="BFBFBF" w:sz="4"/>
              <w:right w:val="single" w:color="BFBFBF" w:sz="4"/>
            </w:tcBorders>
            <w:shd w:fill="DEEAF6" w:color="auto" w:val="clear"/>
            <w:tcMar>
              <w:top w:type="dxa" w:w="36"/>
              <w:left w:type="dxa" w:w="70"/>
              <w:bottom w:type="dxa" w:w="36"/>
              <w:right w:type="dxa" w:w="70"/>
            </w:tcMar>
            <w:vAlign w:val="center"/>
          </w:tcPr>
          <w:p>
            <w:pPr>
              <w:spacing w:after="26" w:before="26" w:line="216"/>
            </w:pPr>
            <w:r>
              <w:rPr>
                <w:rFonts w:ascii="Calibri" w:cs="Calibri" w:eastAsia="Calibri" w:hAnsi="Calibri"/>
                <w:b/>
                <w:bCs/>
                <w:color w:val="000000"/>
                <w:sz w:val="17"/>
                <w:szCs w:val="17"/>
              </w:rPr>
              <w:t xml:space="preserve">Consultant</w:t>
            </w:r>
          </w:p>
        </w:tc>
        <w:tc>
          <w:tcPr>
            <w:tcW w:type="dxa" w:w="2823"/>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CGDEM-AEDD SARLU — Dr Ibrahima DIALLO</w:t>
            </w:r>
          </w:p>
        </w:tc>
        <w:tc>
          <w:tcPr>
            <w:tcW w:type="dxa" w:w="1750"/>
            <w:tcBorders>
              <w:top w:val="single" w:color="BFBFBF" w:sz="4"/>
              <w:left w:val="single" w:color="BFBFBF" w:sz="4"/>
              <w:bottom w:val="single" w:color="BFBFBF" w:sz="4"/>
              <w:right w:val="single" w:color="BFBFBF" w:sz="4"/>
            </w:tcBorders>
            <w:shd w:fill="DEEAF6" w:color="auto" w:val="clear"/>
            <w:tcMar>
              <w:top w:type="dxa" w:w="36"/>
              <w:left w:type="dxa" w:w="70"/>
              <w:bottom w:type="dxa" w:w="36"/>
              <w:right w:type="dxa" w:w="70"/>
            </w:tcMar>
            <w:vAlign w:val="center"/>
          </w:tcPr>
          <w:p>
            <w:pPr>
              <w:spacing w:after="26" w:before="26" w:line="216"/>
            </w:pPr>
            <w:r>
              <w:rPr>
                <w:rFonts w:ascii="Calibri" w:cs="Calibri" w:eastAsia="Calibri" w:hAnsi="Calibri"/>
                <w:b/>
                <w:bCs/>
                <w:color w:val="000000"/>
                <w:sz w:val="17"/>
                <w:szCs w:val="17"/>
              </w:rPr>
              <w:t xml:space="preserve">Autorité compétente</w:t>
            </w:r>
          </w:p>
        </w:tc>
        <w:tc>
          <w:tcPr>
            <w:tcW w:type="dxa" w:w="3123"/>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AGEE (ex-BGEEE)</w:t>
            </w:r>
          </w:p>
        </w:tc>
      </w:tr>
      <w:tr>
        <w:trPr>
          <w:tblHeader w:val="false"/>
        </w:trPr>
        <w:tc>
          <w:tcPr>
            <w:tcW w:type="dxa" w:w="2050"/>
            <w:tcBorders>
              <w:top w:val="single" w:color="BFBFBF" w:sz="4"/>
              <w:left w:val="single" w:color="BFBFBF" w:sz="4"/>
              <w:bottom w:val="single" w:color="BFBFBF" w:sz="4"/>
              <w:right w:val="single" w:color="BFBFBF" w:sz="4"/>
            </w:tcBorders>
            <w:shd w:fill="DEEAF6" w:color="auto" w:val="clear"/>
            <w:tcMar>
              <w:top w:type="dxa" w:w="36"/>
              <w:left w:type="dxa" w:w="70"/>
              <w:bottom w:type="dxa" w:w="36"/>
              <w:right w:type="dxa" w:w="70"/>
            </w:tcMar>
            <w:vAlign w:val="center"/>
          </w:tcPr>
          <w:p>
            <w:pPr>
              <w:spacing w:after="26" w:before="26" w:line="216"/>
            </w:pPr>
            <w:r>
              <w:rPr>
                <w:rFonts w:ascii="Calibri" w:cs="Calibri" w:eastAsia="Calibri" w:hAnsi="Calibri"/>
                <w:b/>
                <w:bCs/>
                <w:color w:val="000000"/>
                <w:sz w:val="17"/>
                <w:szCs w:val="17"/>
              </w:rPr>
              <w:t xml:space="preserve">Instruments</w:t>
            </w:r>
          </w:p>
        </w:tc>
        <w:tc>
          <w:tcPr>
            <w:tcW w:type="dxa" w:w="2823"/>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NIES (art. 25) + PARC (art. 27) — Arrêté A/2023/1595/MEDD/CAB/SGG</w:t>
            </w:r>
          </w:p>
        </w:tc>
        <w:tc>
          <w:tcPr>
            <w:tcW w:type="dxa" w:w="1750"/>
            <w:tcBorders>
              <w:top w:val="single" w:color="BFBFBF" w:sz="4"/>
              <w:left w:val="single" w:color="BFBFBF" w:sz="4"/>
              <w:bottom w:val="single" w:color="BFBFBF" w:sz="4"/>
              <w:right w:val="single" w:color="BFBFBF" w:sz="4"/>
            </w:tcBorders>
            <w:shd w:fill="DEEAF6" w:color="auto" w:val="clear"/>
            <w:tcMar>
              <w:top w:type="dxa" w:w="36"/>
              <w:left w:type="dxa" w:w="70"/>
              <w:bottom w:type="dxa" w:w="36"/>
              <w:right w:type="dxa" w:w="70"/>
            </w:tcMar>
            <w:vAlign w:val="center"/>
          </w:tcPr>
          <w:p>
            <w:pPr>
              <w:spacing w:after="26" w:before="26" w:line="216"/>
            </w:pPr>
            <w:r>
              <w:rPr>
                <w:rFonts w:ascii="Calibri" w:cs="Calibri" w:eastAsia="Calibri" w:hAnsi="Calibri"/>
                <w:b/>
                <w:bCs/>
                <w:color w:val="000000"/>
                <w:sz w:val="17"/>
                <w:szCs w:val="17"/>
              </w:rPr>
              <w:t xml:space="preserve">Réf. transmission</w:t>
            </w:r>
          </w:p>
        </w:tc>
        <w:tc>
          <w:tcPr>
            <w:tcW w:type="dxa" w:w="3123"/>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N° 081/CGDEM-AEDD/EDG/ID/2026</w:t>
            </w:r>
          </w:p>
        </w:tc>
      </w:tr>
      <w:tr>
        <w:trPr>
          <w:tblHeader w:val="false"/>
        </w:trPr>
        <w:tc>
          <w:tcPr>
            <w:tcW w:type="dxa" w:w="2050"/>
            <w:tcBorders>
              <w:top w:val="single" w:color="BFBFBF" w:sz="4"/>
              <w:left w:val="single" w:color="BFBFBF" w:sz="4"/>
              <w:bottom w:val="single" w:color="BFBFBF" w:sz="4"/>
              <w:right w:val="single" w:color="BFBFBF" w:sz="4"/>
            </w:tcBorders>
            <w:shd w:fill="DEEAF6" w:color="auto" w:val="clear"/>
            <w:tcMar>
              <w:top w:type="dxa" w:w="36"/>
              <w:left w:type="dxa" w:w="70"/>
              <w:bottom w:type="dxa" w:w="36"/>
              <w:right w:type="dxa" w:w="70"/>
            </w:tcMar>
            <w:vAlign w:val="center"/>
          </w:tcPr>
          <w:p>
            <w:pPr>
              <w:spacing w:after="26" w:before="26" w:line="216"/>
            </w:pPr>
            <w:r>
              <w:rPr>
                <w:rFonts w:ascii="Calibri" w:cs="Calibri" w:eastAsia="Calibri" w:hAnsi="Calibri"/>
                <w:b/>
                <w:bCs/>
                <w:color w:val="000000"/>
                <w:sz w:val="17"/>
                <w:szCs w:val="17"/>
              </w:rPr>
              <w:t xml:space="preserve">Finalité</w:t>
            </w:r>
          </w:p>
        </w:tc>
        <w:tc>
          <w:tcPr>
            <w:tcW w:type="dxa" w:w="7696"/>
            <w:gridSpan w:val="3"/>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Autorisation Environnementale (Certificat de Conformité Environnementale)</w:t>
            </w:r>
          </w:p>
        </w:tc>
      </w:tr>
    </w:tbl>
    <w:p>
      <w:pPr>
        <w:pBdr>
          <w:bottom w:val="single" w:color="2E74B5" w:sz="8" w:space="2"/>
        </w:pBdr>
        <w:spacing w:after="90" w:before="200"/>
      </w:pPr>
      <w:r>
        <w:rPr>
          <w:rFonts w:ascii="Calibri" w:cs="Calibri" w:eastAsia="Calibri" w:hAnsi="Calibri"/>
          <w:b/>
          <w:bCs/>
          <w:color w:val="2E74B5"/>
          <w:sz w:val="21"/>
          <w:szCs w:val="21"/>
        </w:rPr>
        <w:t xml:space="preserve">1. </w:t>
      </w:r>
      <w:r>
        <w:rPr>
          <w:rFonts w:ascii="Calibri" w:cs="Calibri" w:eastAsia="Calibri" w:hAnsi="Calibri"/>
          <w:b/>
          <w:bCs/>
          <w:color w:val="1F3864"/>
          <w:sz w:val="21"/>
          <w:szCs w:val="21"/>
        </w:rPr>
        <w:t xml:space="preserve">OÙ EN EST LE DOSSIER</w:t>
      </w:r>
    </w:p>
    <w:p>
      <w:pPr>
        <w:spacing w:after="90" w:before="0" w:line="230"/>
        <w:jc w:val="both"/>
      </w:pPr>
      <w:r>
        <w:rPr>
          <w:rFonts w:ascii="Calibri" w:cs="Calibri" w:eastAsia="Calibri" w:hAnsi="Calibri"/>
          <w:color w:val="000000"/>
          <w:sz w:val="19"/>
          <w:szCs w:val="19"/>
        </w:rPr>
        <w:t xml:space="preserve">Les rapports finaux NIES et PARC ont été transmis à Madame la Ministre de l'Environnement sous le n° 081/CGDEM-AEDD/EDG/ID/2026. </w:t>
      </w:r>
      <w:r>
        <w:rPr>
          <w:rFonts w:ascii="Calibri" w:cs="Calibri" w:eastAsia="Calibri" w:hAnsi="Calibri"/>
          <w:b/>
          <w:bCs/>
          <w:color w:val="000000"/>
          <w:sz w:val="19"/>
          <w:szCs w:val="19"/>
        </w:rPr>
        <w:t xml:space="preserve">Les sept premières étapes de la chaîne réglementaire sont achevées</w:t>
      </w:r>
      <w:r>
        <w:rPr>
          <w:rFonts w:ascii="Calibri" w:cs="Calibri" w:eastAsia="Calibri" w:hAnsi="Calibri"/>
          <w:color w:val="000000"/>
          <w:sz w:val="19"/>
          <w:szCs w:val="19"/>
        </w:rPr>
        <w:t xml:space="preserve"> ; le dossier est désormais en instance de décision ministérielle, après vérification par le comité restreint que constituera l'AGEE.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0"/>
        <w:gridCol w:w="4100"/>
        <w:gridCol w:w="1450"/>
        <w:gridCol w:w="3756"/>
      </w:tblGrid>
      <w:tr>
        <w:trPr>
          <w:tblHeader/>
        </w:trPr>
        <w:tc>
          <w:tcPr>
            <w:tcW w:type="dxa" w:w="440"/>
            <w:tcBorders>
              <w:top w:val="single" w:color="BFBFBF" w:sz="4"/>
              <w:left w:val="single" w:color="BFBFBF" w:sz="4"/>
              <w:bottom w:val="single" w:color="BFBFBF" w:sz="4"/>
              <w:right w:val="single" w:color="BFBFBF" w:sz="4"/>
            </w:tcBorders>
            <w:shd w:fill="1F3864" w:color="auto" w:val="clear"/>
            <w:tcMar>
              <w:top w:type="dxa" w:w="36"/>
              <w:left w:type="dxa" w:w="70"/>
              <w:bottom w:type="dxa" w:w="36"/>
              <w:right w:type="dxa" w:w="70"/>
            </w:tcMar>
            <w:vAlign w:val="center"/>
          </w:tcPr>
          <w:p>
            <w:pPr>
              <w:spacing w:after="26" w:before="26" w:line="216"/>
              <w:jc w:val="center"/>
            </w:pPr>
            <w:r>
              <w:rPr>
                <w:rFonts w:ascii="Calibri" w:cs="Calibri" w:eastAsia="Calibri" w:hAnsi="Calibri"/>
                <w:b/>
                <w:bCs/>
                <w:color w:val="FFFFFF"/>
                <w:sz w:val="17"/>
                <w:szCs w:val="17"/>
              </w:rPr>
              <w:t xml:space="preserve">N°</w:t>
            </w:r>
          </w:p>
        </w:tc>
        <w:tc>
          <w:tcPr>
            <w:tcW w:type="dxa" w:w="4100"/>
            <w:tcBorders>
              <w:top w:val="single" w:color="BFBFBF" w:sz="4"/>
              <w:left w:val="single" w:color="BFBFBF" w:sz="4"/>
              <w:bottom w:val="single" w:color="BFBFBF" w:sz="4"/>
              <w:right w:val="single" w:color="BFBFBF" w:sz="4"/>
            </w:tcBorders>
            <w:shd w:fill="1F3864" w:color="auto" w:val="clear"/>
            <w:tcMar>
              <w:top w:type="dxa" w:w="36"/>
              <w:left w:type="dxa" w:w="70"/>
              <w:bottom w:type="dxa" w:w="36"/>
              <w:right w:type="dxa" w:w="70"/>
            </w:tcMar>
            <w:vAlign w:val="center"/>
          </w:tcPr>
          <w:p>
            <w:pPr>
              <w:spacing w:after="26" w:before="26" w:line="216"/>
              <w:jc w:val="center"/>
            </w:pPr>
            <w:r>
              <w:rPr>
                <w:rFonts w:ascii="Calibri" w:cs="Calibri" w:eastAsia="Calibri" w:hAnsi="Calibri"/>
                <w:b/>
                <w:bCs/>
                <w:color w:val="FFFFFF"/>
                <w:sz w:val="17"/>
                <w:szCs w:val="17"/>
              </w:rPr>
              <w:t xml:space="preserve">Étape</w:t>
            </w:r>
          </w:p>
        </w:tc>
        <w:tc>
          <w:tcPr>
            <w:tcW w:type="dxa" w:w="1450"/>
            <w:tcBorders>
              <w:top w:val="single" w:color="BFBFBF" w:sz="4"/>
              <w:left w:val="single" w:color="BFBFBF" w:sz="4"/>
              <w:bottom w:val="single" w:color="BFBFBF" w:sz="4"/>
              <w:right w:val="single" w:color="BFBFBF" w:sz="4"/>
            </w:tcBorders>
            <w:shd w:fill="1F3864" w:color="auto" w:val="clear"/>
            <w:tcMar>
              <w:top w:type="dxa" w:w="36"/>
              <w:left w:type="dxa" w:w="70"/>
              <w:bottom w:type="dxa" w:w="36"/>
              <w:right w:type="dxa" w:w="70"/>
            </w:tcMar>
            <w:vAlign w:val="center"/>
          </w:tcPr>
          <w:p>
            <w:pPr>
              <w:spacing w:after="26" w:before="26" w:line="216"/>
              <w:jc w:val="center"/>
            </w:pPr>
            <w:r>
              <w:rPr>
                <w:rFonts w:ascii="Calibri" w:cs="Calibri" w:eastAsia="Calibri" w:hAnsi="Calibri"/>
                <w:b/>
                <w:bCs/>
                <w:color w:val="FFFFFF"/>
                <w:sz w:val="17"/>
                <w:szCs w:val="17"/>
              </w:rPr>
              <w:t xml:space="preserve">Statut</w:t>
            </w:r>
          </w:p>
        </w:tc>
        <w:tc>
          <w:tcPr>
            <w:tcW w:type="dxa" w:w="3756"/>
            <w:tcBorders>
              <w:top w:val="single" w:color="BFBFBF" w:sz="4"/>
              <w:left w:val="single" w:color="BFBFBF" w:sz="4"/>
              <w:bottom w:val="single" w:color="BFBFBF" w:sz="4"/>
              <w:right w:val="single" w:color="BFBFBF" w:sz="4"/>
            </w:tcBorders>
            <w:shd w:fill="1F3864" w:color="auto" w:val="clear"/>
            <w:tcMar>
              <w:top w:type="dxa" w:w="36"/>
              <w:left w:type="dxa" w:w="70"/>
              <w:bottom w:type="dxa" w:w="36"/>
              <w:right w:type="dxa" w:w="70"/>
            </w:tcMar>
            <w:vAlign w:val="center"/>
          </w:tcPr>
          <w:p>
            <w:pPr>
              <w:spacing w:after="26" w:before="26" w:line="216"/>
              <w:jc w:val="center"/>
            </w:pPr>
            <w:r>
              <w:rPr>
                <w:rFonts w:ascii="Calibri" w:cs="Calibri" w:eastAsia="Calibri" w:hAnsi="Calibri"/>
                <w:b/>
                <w:bCs/>
                <w:color w:val="FFFFFF"/>
                <w:sz w:val="17"/>
                <w:szCs w:val="17"/>
              </w:rPr>
              <w:t xml:space="preserve">Repères / résultats</w:t>
            </w:r>
          </w:p>
        </w:tc>
      </w:tr>
      <w:tr>
        <w:trPr>
          <w:tblHeader w:val="false"/>
        </w:trPr>
        <w:tc>
          <w:tcPr>
            <w:tcW w:type="dxa" w:w="440"/>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1</w:t>
            </w:r>
          </w:p>
        </w:tc>
        <w:tc>
          <w:tcPr>
            <w:tcW w:type="dxa" w:w="4100"/>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Validation des TDR (NIES + PARC) par l'autorité environnementale</w:t>
            </w:r>
          </w:p>
        </w:tc>
        <w:tc>
          <w:tcPr>
            <w:tcW w:type="dxa" w:w="1450"/>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jc w:val="center"/>
            </w:pPr>
            <w:r>
              <w:rPr>
                <w:rFonts w:ascii="Calibri" w:cs="Calibri" w:eastAsia="Calibri" w:hAnsi="Calibri"/>
                <w:b/>
                <w:bCs/>
                <w:color w:val="1E6B3A"/>
                <w:sz w:val="17"/>
                <w:szCs w:val="17"/>
              </w:rPr>
              <w:t xml:space="preserve">✔ Réalisé</w:t>
            </w:r>
          </w:p>
        </w:tc>
        <w:tc>
          <w:tcPr>
            <w:tcW w:type="dxa" w:w="3756"/>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Cadre : Arrêté A/2023/1595 — art. 25 et 27</w:t>
            </w:r>
          </w:p>
        </w:tc>
      </w:tr>
      <w:tr>
        <w:trPr>
          <w:tblHeader w:val="false"/>
        </w:trPr>
        <w:tc>
          <w:tcPr>
            <w:tcW w:type="dxa" w:w="440"/>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2</w:t>
            </w:r>
          </w:p>
        </w:tc>
        <w:tc>
          <w:tcPr>
            <w:tcW w:type="dxa" w:w="4100"/>
            <w:tcBorders>
              <w:top w:val="single" w:color="BFBFBF" w:sz="4"/>
              <w:left w:val="single" w:color="BFBFBF" w:sz="4"/>
              <w:bottom w:val="single" w:color="BFBFBF" w:sz="4"/>
              <w:right w:val="single" w:color="BFBFBF" w:sz="4"/>
            </w:tcBorders>
            <w:shd w:fill="F4F8FC" w:color="auto" w:val="clear"/>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Validation du cadrage (périmètre, enjeux, méthodologie)</w:t>
            </w:r>
          </w:p>
        </w:tc>
        <w:tc>
          <w:tcPr>
            <w:tcW w:type="dxa" w:w="1450"/>
            <w:tcBorders>
              <w:top w:val="single" w:color="BFBFBF" w:sz="4"/>
              <w:left w:val="single" w:color="BFBFBF" w:sz="4"/>
              <w:bottom w:val="single" w:color="BFBFBF" w:sz="4"/>
              <w:right w:val="single" w:color="BFBFBF" w:sz="4"/>
            </w:tcBorders>
            <w:shd w:fill="F4F8FC" w:color="auto" w:val="clear"/>
            <w:tcMar>
              <w:top w:type="dxa" w:w="36"/>
              <w:left w:type="dxa" w:w="70"/>
              <w:bottom w:type="dxa" w:w="36"/>
              <w:right w:type="dxa" w:w="70"/>
            </w:tcMar>
            <w:vAlign w:val="center"/>
          </w:tcPr>
          <w:p>
            <w:pPr>
              <w:spacing w:after="26" w:before="26" w:line="216"/>
              <w:jc w:val="center"/>
            </w:pPr>
            <w:r>
              <w:rPr>
                <w:rFonts w:ascii="Calibri" w:cs="Calibri" w:eastAsia="Calibri" w:hAnsi="Calibri"/>
                <w:b/>
                <w:bCs/>
                <w:color w:val="1E6B3A"/>
                <w:sz w:val="17"/>
                <w:szCs w:val="17"/>
              </w:rPr>
              <w:t xml:space="preserve">✔ Réalisé</w:t>
            </w:r>
          </w:p>
        </w:tc>
        <w:tc>
          <w:tcPr>
            <w:tcW w:type="dxa" w:w="3756"/>
            <w:tcBorders>
              <w:top w:val="single" w:color="BFBFBF" w:sz="4"/>
              <w:left w:val="single" w:color="BFBFBF" w:sz="4"/>
              <w:bottom w:val="single" w:color="BFBFBF" w:sz="4"/>
              <w:right w:val="single" w:color="BFBFBF" w:sz="4"/>
            </w:tcBorders>
            <w:shd w:fill="F4F8FC" w:color="auto" w:val="clear"/>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Aire d'étude bâtie sur les acquis FICHTNER 2017 ; zone ennoyée 53,4 ha</w:t>
            </w:r>
          </w:p>
        </w:tc>
      </w:tr>
      <w:tr>
        <w:trPr>
          <w:tblHeader w:val="false"/>
        </w:trPr>
        <w:tc>
          <w:tcPr>
            <w:tcW w:type="dxa" w:w="440"/>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3</w:t>
            </w:r>
          </w:p>
        </w:tc>
        <w:tc>
          <w:tcPr>
            <w:tcW w:type="dxa" w:w="4100"/>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Missions de terrain, recensement des PAP et consultations publiques</w:t>
            </w:r>
          </w:p>
        </w:tc>
        <w:tc>
          <w:tcPr>
            <w:tcW w:type="dxa" w:w="1450"/>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jc w:val="center"/>
            </w:pPr>
            <w:r>
              <w:rPr>
                <w:rFonts w:ascii="Calibri" w:cs="Calibri" w:eastAsia="Calibri" w:hAnsi="Calibri"/>
                <w:b/>
                <w:bCs/>
                <w:color w:val="1E6B3A"/>
                <w:sz w:val="17"/>
                <w:szCs w:val="17"/>
              </w:rPr>
              <w:t xml:space="preserve">✔ Réalisé</w:t>
            </w:r>
          </w:p>
        </w:tc>
        <w:tc>
          <w:tcPr>
            <w:tcW w:type="dxa" w:w="3756"/>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Recensement du 10 mars au 5 avril 2025, actualisé en oct. 2025 et mars 2026 — 21 séances, 1 178 participants sur 13 mois</w:t>
            </w:r>
          </w:p>
        </w:tc>
      </w:tr>
      <w:tr>
        <w:trPr>
          <w:tblHeader w:val="false"/>
        </w:trPr>
        <w:tc>
          <w:tcPr>
            <w:tcW w:type="dxa" w:w="440"/>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4</w:t>
            </w:r>
          </w:p>
        </w:tc>
        <w:tc>
          <w:tcPr>
            <w:tcW w:type="dxa" w:w="4100"/>
            <w:tcBorders>
              <w:top w:val="single" w:color="BFBFBF" w:sz="4"/>
              <w:left w:val="single" w:color="BFBFBF" w:sz="4"/>
              <w:bottom w:val="single" w:color="BFBFBF" w:sz="4"/>
              <w:right w:val="single" w:color="BFBFBF" w:sz="4"/>
            </w:tcBorders>
            <w:shd w:fill="F4F8FC" w:color="auto" w:val="clear"/>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Rédaction des rapports provisoires</w:t>
            </w:r>
          </w:p>
        </w:tc>
        <w:tc>
          <w:tcPr>
            <w:tcW w:type="dxa" w:w="1450"/>
            <w:tcBorders>
              <w:top w:val="single" w:color="BFBFBF" w:sz="4"/>
              <w:left w:val="single" w:color="BFBFBF" w:sz="4"/>
              <w:bottom w:val="single" w:color="BFBFBF" w:sz="4"/>
              <w:right w:val="single" w:color="BFBFBF" w:sz="4"/>
            </w:tcBorders>
            <w:shd w:fill="F4F8FC" w:color="auto" w:val="clear"/>
            <w:tcMar>
              <w:top w:type="dxa" w:w="36"/>
              <w:left w:type="dxa" w:w="70"/>
              <w:bottom w:type="dxa" w:w="36"/>
              <w:right w:type="dxa" w:w="70"/>
            </w:tcMar>
            <w:vAlign w:val="center"/>
          </w:tcPr>
          <w:p>
            <w:pPr>
              <w:spacing w:after="26" w:before="26" w:line="216"/>
              <w:jc w:val="center"/>
            </w:pPr>
            <w:r>
              <w:rPr>
                <w:rFonts w:ascii="Calibri" w:cs="Calibri" w:eastAsia="Calibri" w:hAnsi="Calibri"/>
                <w:b/>
                <w:bCs/>
                <w:color w:val="1E6B3A"/>
                <w:sz w:val="17"/>
                <w:szCs w:val="17"/>
              </w:rPr>
              <w:t xml:space="preserve">✔ Réalisé</w:t>
            </w:r>
          </w:p>
        </w:tc>
        <w:tc>
          <w:tcPr>
            <w:tcW w:type="dxa" w:w="3756"/>
            <w:tcBorders>
              <w:top w:val="single" w:color="BFBFBF" w:sz="4"/>
              <w:left w:val="single" w:color="BFBFBF" w:sz="4"/>
              <w:bottom w:val="single" w:color="BFBFBF" w:sz="4"/>
              <w:right w:val="single" w:color="BFBFBF" w:sz="4"/>
            </w:tcBorders>
            <w:shd w:fill="F4F8FC" w:color="auto" w:val="clear"/>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NIES 187 p. + PARC 117 p. = 304 p., 193 tableaux, 130 illustrations</w:t>
            </w:r>
          </w:p>
        </w:tc>
      </w:tr>
      <w:tr>
        <w:trPr>
          <w:tblHeader w:val="false"/>
        </w:trPr>
        <w:tc>
          <w:tcPr>
            <w:tcW w:type="dxa" w:w="440"/>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5</w:t>
            </w:r>
          </w:p>
        </w:tc>
        <w:tc>
          <w:tcPr>
            <w:tcW w:type="dxa" w:w="4100"/>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Validation par le CTAE (session d'examen technique)</w:t>
            </w:r>
          </w:p>
        </w:tc>
        <w:tc>
          <w:tcPr>
            <w:tcW w:type="dxa" w:w="1450"/>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jc w:val="center"/>
            </w:pPr>
            <w:r>
              <w:rPr>
                <w:rFonts w:ascii="Calibri" w:cs="Calibri" w:eastAsia="Calibri" w:hAnsi="Calibri"/>
                <w:b/>
                <w:bCs/>
                <w:color w:val="1E6B3A"/>
                <w:sz w:val="17"/>
                <w:szCs w:val="17"/>
              </w:rPr>
              <w:t xml:space="preserve">✔ Réalisé</w:t>
            </w:r>
          </w:p>
        </w:tc>
        <w:tc>
          <w:tcPr>
            <w:tcW w:type="dxa" w:w="3756"/>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Mardi 14 juillet 2026, salle UNESCO, présidée par le Conseiller Juridique de la Ministre — 60 recommandations</w:t>
            </w:r>
          </w:p>
        </w:tc>
      </w:tr>
      <w:tr>
        <w:trPr>
          <w:tblHeader w:val="false"/>
        </w:trPr>
        <w:tc>
          <w:tcPr>
            <w:tcW w:type="dxa" w:w="440"/>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6</w:t>
            </w:r>
          </w:p>
        </w:tc>
        <w:tc>
          <w:tcPr>
            <w:tcW w:type="dxa" w:w="4100"/>
            <w:tcBorders>
              <w:top w:val="single" w:color="BFBFBF" w:sz="4"/>
              <w:left w:val="single" w:color="BFBFBF" w:sz="4"/>
              <w:bottom w:val="single" w:color="BFBFBF" w:sz="4"/>
              <w:right w:val="single" w:color="BFBFBF" w:sz="4"/>
            </w:tcBorders>
            <w:shd w:fill="F4F8FC" w:color="auto" w:val="clear"/>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Corrections et intégration des recommandations</w:t>
            </w:r>
          </w:p>
        </w:tc>
        <w:tc>
          <w:tcPr>
            <w:tcW w:type="dxa" w:w="1450"/>
            <w:tcBorders>
              <w:top w:val="single" w:color="BFBFBF" w:sz="4"/>
              <w:left w:val="single" w:color="BFBFBF" w:sz="4"/>
              <w:bottom w:val="single" w:color="BFBFBF" w:sz="4"/>
              <w:right w:val="single" w:color="BFBFBF" w:sz="4"/>
            </w:tcBorders>
            <w:shd w:fill="F4F8FC" w:color="auto" w:val="clear"/>
            <w:tcMar>
              <w:top w:type="dxa" w:w="36"/>
              <w:left w:type="dxa" w:w="70"/>
              <w:bottom w:type="dxa" w:w="36"/>
              <w:right w:type="dxa" w:w="70"/>
            </w:tcMar>
            <w:vAlign w:val="center"/>
          </w:tcPr>
          <w:p>
            <w:pPr>
              <w:spacing w:after="26" w:before="26" w:line="216"/>
              <w:jc w:val="center"/>
            </w:pPr>
            <w:r>
              <w:rPr>
                <w:rFonts w:ascii="Calibri" w:cs="Calibri" w:eastAsia="Calibri" w:hAnsi="Calibri"/>
                <w:b/>
                <w:bCs/>
                <w:color w:val="1E6B3A"/>
                <w:sz w:val="17"/>
                <w:szCs w:val="17"/>
              </w:rPr>
              <w:t xml:space="preserve">✔ Réalisé</w:t>
            </w:r>
          </w:p>
        </w:tc>
        <w:tc>
          <w:tcPr>
            <w:tcW w:type="dxa" w:w="3756"/>
            <w:tcBorders>
              <w:top w:val="single" w:color="BFBFBF" w:sz="4"/>
              <w:left w:val="single" w:color="BFBFBF" w:sz="4"/>
              <w:bottom w:val="single" w:color="BFBFBF" w:sz="4"/>
              <w:right w:val="single" w:color="BFBFBF" w:sz="4"/>
            </w:tcBorders>
            <w:shd w:fill="F4F8FC" w:color="auto" w:val="clear"/>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Matrice de prise en compte : 60/60 traitées, avec localisation dans les rapports</w:t>
            </w:r>
          </w:p>
        </w:tc>
      </w:tr>
      <w:tr>
        <w:trPr>
          <w:tblHeader w:val="false"/>
        </w:trPr>
        <w:tc>
          <w:tcPr>
            <w:tcW w:type="dxa" w:w="440"/>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7</w:t>
            </w:r>
          </w:p>
        </w:tc>
        <w:tc>
          <w:tcPr>
            <w:tcW w:type="dxa" w:w="4100"/>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Dépôt des rapports finaux + demande d'autorisation</w:t>
            </w:r>
          </w:p>
        </w:tc>
        <w:tc>
          <w:tcPr>
            <w:tcW w:type="dxa" w:w="1450"/>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jc w:val="center"/>
            </w:pPr>
            <w:r>
              <w:rPr>
                <w:rFonts w:ascii="Calibri" w:cs="Calibri" w:eastAsia="Calibri" w:hAnsi="Calibri"/>
                <w:b/>
                <w:bCs/>
                <w:color w:val="1E6B3A"/>
                <w:sz w:val="17"/>
                <w:szCs w:val="17"/>
              </w:rPr>
              <w:t xml:space="preserve">✔ Réalisé</w:t>
            </w:r>
          </w:p>
        </w:tc>
        <w:tc>
          <w:tcPr>
            <w:tcW w:type="dxa" w:w="3756"/>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Lettre n° 081/2026 — 4 pièces jointes (NIES, PARC, matrice, PV du CTAE)</w:t>
            </w:r>
          </w:p>
        </w:tc>
      </w:tr>
      <w:tr>
        <w:trPr>
          <w:tblHeader w:val="false"/>
        </w:trPr>
        <w:tc>
          <w:tcPr>
            <w:tcW w:type="dxa" w:w="440"/>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8</w:t>
            </w:r>
          </w:p>
        </w:tc>
        <w:tc>
          <w:tcPr>
            <w:tcW w:type="dxa" w:w="4100"/>
            <w:tcBorders>
              <w:top w:val="single" w:color="BFBFBF" w:sz="4"/>
              <w:left w:val="single" w:color="BFBFBF" w:sz="4"/>
              <w:bottom w:val="single" w:color="BFBFBF" w:sz="4"/>
              <w:right w:val="single" w:color="BFBFBF" w:sz="4"/>
            </w:tcBorders>
            <w:shd w:fill="FFF2CC" w:color="auto" w:val="clear"/>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Décision de la Ministre — Certificat de Conformité Environnementale</w:t>
            </w:r>
          </w:p>
        </w:tc>
        <w:tc>
          <w:tcPr>
            <w:tcW w:type="dxa" w:w="1450"/>
            <w:tcBorders>
              <w:top w:val="single" w:color="BFBFBF" w:sz="4"/>
              <w:left w:val="single" w:color="BFBFBF" w:sz="4"/>
              <w:bottom w:val="single" w:color="BFBFBF" w:sz="4"/>
              <w:right w:val="single" w:color="BFBFBF" w:sz="4"/>
            </w:tcBorders>
            <w:shd w:fill="FFF2CC" w:color="auto" w:val="clear"/>
            <w:tcMar>
              <w:top w:type="dxa" w:w="36"/>
              <w:left w:type="dxa" w:w="70"/>
              <w:bottom w:type="dxa" w:w="36"/>
              <w:right w:type="dxa" w:w="70"/>
            </w:tcMar>
            <w:vAlign w:val="center"/>
          </w:tcPr>
          <w:p>
            <w:pPr>
              <w:spacing w:after="26" w:before="26" w:line="216"/>
              <w:jc w:val="center"/>
            </w:pPr>
            <w:r>
              <w:rPr>
                <w:rFonts w:ascii="Calibri" w:cs="Calibri" w:eastAsia="Calibri" w:hAnsi="Calibri"/>
                <w:b/>
                <w:bCs/>
                <w:color w:val="7F6000"/>
                <w:sz w:val="17"/>
                <w:szCs w:val="17"/>
              </w:rPr>
              <w:t xml:space="preserve">⧖ En instance</w:t>
            </w:r>
          </w:p>
        </w:tc>
        <w:tc>
          <w:tcPr>
            <w:tcW w:type="dxa" w:w="3756"/>
            <w:tcBorders>
              <w:top w:val="single" w:color="BFBFBF" w:sz="4"/>
              <w:left w:val="single" w:color="BFBFBF" w:sz="4"/>
              <w:bottom w:val="single" w:color="BFBFBF" w:sz="4"/>
              <w:right w:val="single" w:color="BFBFBF" w:sz="4"/>
            </w:tcBorders>
            <w:shd w:fill="FFF2CC" w:color="auto" w:val="clear"/>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Après vérification par le comité restreint de l'AGEE</w:t>
            </w:r>
          </w:p>
        </w:tc>
      </w:tr>
    </w:tbl>
    <w:p>
      <w:pPr>
        <w:spacing w:after="0" w:before="80" w:line="230"/>
        <w:jc w:val="center"/>
      </w:pPr>
      <w:r>
        <w:rPr>
          <w:rFonts w:ascii="Calibri" w:cs="Calibri" w:eastAsia="Calibri" w:hAnsi="Calibri"/>
          <w:b/>
          <w:bCs/>
          <w:color w:val="1F3864"/>
          <w:sz w:val="19"/>
          <w:szCs w:val="19"/>
        </w:rPr>
        <w:t xml:space="preserve">Avancement : 7 étapes sur 8 achevées — seule la décision ministérielle reste à obtenir.</w:t>
      </w:r>
    </w:p>
    <w:p>
      <w:pPr>
        <w:pBdr>
          <w:bottom w:val="single" w:color="2E74B5" w:sz="8" w:space="2"/>
        </w:pBdr>
        <w:spacing w:after="90" w:before="200"/>
      </w:pPr>
      <w:r>
        <w:rPr>
          <w:rFonts w:ascii="Calibri" w:cs="Calibri" w:eastAsia="Calibri" w:hAnsi="Calibri"/>
          <w:b/>
          <w:bCs/>
          <w:color w:val="2E74B5"/>
          <w:sz w:val="21"/>
          <w:szCs w:val="21"/>
        </w:rPr>
        <w:t xml:space="preserve">2. </w:t>
      </w:r>
      <w:r>
        <w:rPr>
          <w:rFonts w:ascii="Calibri" w:cs="Calibri" w:eastAsia="Calibri" w:hAnsi="Calibri"/>
          <w:b/>
          <w:bCs/>
          <w:color w:val="1F3864"/>
          <w:sz w:val="21"/>
          <w:szCs w:val="21"/>
        </w:rPr>
        <w:t xml:space="preserve">LA SESSION DU CTAE DU 14 JUILLET 2026 — PV DE DÉLIBÉRATION N° 0170</w:t>
      </w:r>
    </w:p>
    <w:p>
      <w:pPr>
        <w:pStyle w:val="ListParagraph"/>
        <w:numPr>
          <w:ilvl w:val="0"/>
          <w:numId w:val="2"/>
        </w:numPr>
        <w:spacing w:after="40" w:line="228"/>
      </w:pPr>
      <w:r>
        <w:rPr>
          <w:rFonts w:ascii="Calibri" w:cs="Calibri" w:eastAsia="Calibri" w:hAnsi="Calibri"/>
          <w:b/>
          <w:bCs/>
          <w:color w:val="000000"/>
          <w:sz w:val="18"/>
          <w:szCs w:val="18"/>
        </w:rPr>
        <w:t xml:space="preserve">Session n° 0170/CTAE/AGEE/DG/CONAKRY</w:t>
      </w:r>
      <w:r>
        <w:rPr>
          <w:rFonts w:ascii="Calibri" w:cs="Calibri" w:eastAsia="Calibri" w:hAnsi="Calibri"/>
          <w:color w:val="000000"/>
          <w:sz w:val="18"/>
          <w:szCs w:val="18"/>
        </w:rPr>
        <w:t xml:space="preserve"> tenue le mardi 14 juillet 2026 de 09h43 à 13h45, salle de conférence de l'UNESCO, sous la présidence de </w:t>
      </w:r>
      <w:r>
        <w:rPr>
          <w:rFonts w:ascii="Calibri" w:cs="Calibri" w:eastAsia="Calibri" w:hAnsi="Calibri"/>
          <w:b/>
          <w:bCs/>
          <w:color w:val="000000"/>
          <w:sz w:val="18"/>
          <w:szCs w:val="18"/>
        </w:rPr>
        <w:t xml:space="preserve">M. Cyril ABOLY</w:t>
      </w:r>
      <w:r>
        <w:rPr>
          <w:rFonts w:ascii="Calibri" w:cs="Calibri" w:eastAsia="Calibri" w:hAnsi="Calibri"/>
          <w:color w:val="000000"/>
          <w:sz w:val="18"/>
          <w:szCs w:val="18"/>
        </w:rPr>
        <w:t xml:space="preserve">, Conseiller Juridique de Madame la Ministre — 8 institutions publiques, la société civile, le promoteur et le consultant représentés.</w:t>
      </w:r>
    </w:p>
    <w:p>
      <w:pPr>
        <w:pStyle w:val="ListParagraph"/>
        <w:numPr>
          <w:ilvl w:val="0"/>
          <w:numId w:val="2"/>
        </w:numPr>
        <w:spacing w:after="40" w:line="228"/>
      </w:pPr>
      <w:r>
        <w:rPr>
          <w:rFonts w:ascii="Calibri" w:cs="Calibri" w:eastAsia="Calibri" w:hAnsi="Calibri"/>
          <w:color w:val="000000"/>
          <w:sz w:val="18"/>
          <w:szCs w:val="18"/>
        </w:rPr>
        <w:t xml:space="preserve">Le rapport a été jugé </w:t>
      </w:r>
      <w:r>
        <w:rPr>
          <w:rFonts w:ascii="Calibri" w:cs="Calibri" w:eastAsia="Calibri" w:hAnsi="Calibri"/>
          <w:b/>
          <w:bCs/>
          <w:color w:val="1E6B3A"/>
          <w:sz w:val="18"/>
          <w:szCs w:val="18"/>
        </w:rPr>
        <w:t xml:space="preserve">RECEVABLE</w:t>
      </w:r>
      <w:r>
        <w:rPr>
          <w:rFonts w:ascii="Calibri" w:cs="Calibri" w:eastAsia="Calibri" w:hAnsi="Calibri"/>
          <w:color w:val="000000"/>
          <w:sz w:val="18"/>
          <w:szCs w:val="18"/>
        </w:rPr>
        <w:t xml:space="preserve">, la délivrance de l'Autorisation Environnementale étant subordonnée à la prise en compte effective des </w:t>
      </w:r>
      <w:r>
        <w:rPr>
          <w:rFonts w:ascii="Calibri" w:cs="Calibri" w:eastAsia="Calibri" w:hAnsi="Calibri"/>
          <w:b/>
          <w:bCs/>
          <w:color w:val="000000"/>
          <w:sz w:val="18"/>
          <w:szCs w:val="18"/>
        </w:rPr>
        <w:t xml:space="preserve">60 recommandations</w:t>
      </w:r>
      <w:r>
        <w:rPr>
          <w:rFonts w:ascii="Calibri" w:cs="Calibri" w:eastAsia="Calibri" w:hAnsi="Calibri"/>
          <w:color w:val="000000"/>
          <w:sz w:val="18"/>
          <w:szCs w:val="18"/>
        </w:rPr>
        <w:t xml:space="preserve"> (NIES : 10 sur la forme, 42 sur le fond ; PARC : 4 et 4) — </w:t>
      </w:r>
      <w:r>
        <w:rPr>
          <w:rFonts w:ascii="Calibri" w:cs="Calibri" w:eastAsia="Calibri" w:hAnsi="Calibri"/>
          <w:b/>
          <w:bCs/>
          <w:color w:val="000000"/>
          <w:sz w:val="18"/>
          <w:szCs w:val="18"/>
        </w:rPr>
        <w:t xml:space="preserve">toutes intégrées</w:t>
      </w:r>
      <w:r>
        <w:rPr>
          <w:rFonts w:ascii="Calibri" w:cs="Calibri" w:eastAsia="Calibri" w:hAnsi="Calibri"/>
          <w:color w:val="000000"/>
          <w:sz w:val="18"/>
          <w:szCs w:val="18"/>
        </w:rPr>
        <w:t xml:space="preserve"> dans les versions finales.</w:t>
      </w:r>
    </w:p>
    <w:p>
      <w:pPr>
        <w:pStyle w:val="ListParagraph"/>
        <w:numPr>
          <w:ilvl w:val="0"/>
          <w:numId w:val="2"/>
        </w:numPr>
        <w:spacing w:after="40" w:line="228"/>
      </w:pPr>
      <w:r>
        <w:rPr>
          <w:rFonts w:ascii="Calibri" w:cs="Calibri" w:eastAsia="Calibri" w:hAnsi="Calibri"/>
          <w:color w:val="000000"/>
          <w:sz w:val="18"/>
          <w:szCs w:val="18"/>
        </w:rPr>
        <w:t xml:space="preserve">Le PV de délibération subordonne la délivrance de l'Autorisation Environnementale à cette prise en compte et exige une fiche attestant l'intégration : une </w:t>
      </w:r>
      <w:r>
        <w:rPr>
          <w:rFonts w:ascii="Calibri" w:cs="Calibri" w:eastAsia="Calibri" w:hAnsi="Calibri"/>
          <w:b/>
          <w:bCs/>
          <w:color w:val="000000"/>
          <w:sz w:val="18"/>
          <w:szCs w:val="18"/>
        </w:rPr>
        <w:t xml:space="preserve">matrice de prise en compte</w:t>
      </w:r>
      <w:r>
        <w:rPr>
          <w:rFonts w:ascii="Calibri" w:cs="Calibri" w:eastAsia="Calibri" w:hAnsi="Calibri"/>
          <w:color w:val="000000"/>
          <w:sz w:val="18"/>
          <w:szCs w:val="18"/>
        </w:rPr>
        <w:t xml:space="preserve"> reprend les 60 recommandations une à une, avec la suite donnée et sa localisation précise dans les rapports corrigés.</w:t>
      </w:r>
    </w:p>
    <w:p>
      <w:pPr>
        <w:pStyle w:val="ListParagraph"/>
        <w:numPr>
          <w:ilvl w:val="0"/>
          <w:numId w:val="2"/>
        </w:numPr>
        <w:spacing w:after="40" w:line="228"/>
      </w:pPr>
      <w:r>
        <w:rPr>
          <w:rFonts w:ascii="Calibri" w:cs="Calibri" w:eastAsia="Calibri" w:hAnsi="Calibri"/>
          <w:color w:val="000000"/>
          <w:sz w:val="18"/>
          <w:szCs w:val="18"/>
        </w:rPr>
        <w:t xml:space="preserve">Mise en conformité au </w:t>
      </w:r>
      <w:r>
        <w:rPr>
          <w:rFonts w:ascii="Calibri" w:cs="Calibri" w:eastAsia="Calibri" w:hAnsi="Calibri"/>
          <w:b/>
          <w:bCs/>
          <w:color w:val="000000"/>
          <w:sz w:val="18"/>
          <w:szCs w:val="18"/>
        </w:rPr>
        <w:t xml:space="preserve">contenu minimal de l'Arrêté 1595</w:t>
      </w:r>
      <w:r>
        <w:rPr>
          <w:rFonts w:ascii="Calibri" w:cs="Calibri" w:eastAsia="Calibri" w:hAnsi="Calibri"/>
          <w:color w:val="000000"/>
          <w:sz w:val="18"/>
          <w:szCs w:val="18"/>
        </w:rPr>
        <w:t xml:space="preserve"> (art. 25 pour la NIES, art. 27 pour le PARC), chaque rapport comportant un tableau de correspondance rubrique par rubrique.</w:t>
      </w:r>
    </w:p>
    <w:p>
      <w:pPr>
        <w:pStyle w:val="ListParagraph"/>
        <w:numPr>
          <w:ilvl w:val="0"/>
          <w:numId w:val="2"/>
        </w:numPr>
        <w:spacing w:after="40" w:line="228"/>
      </w:pPr>
      <w:r>
        <w:rPr>
          <w:rFonts w:ascii="Calibri" w:cs="Calibri" w:eastAsia="Calibri" w:hAnsi="Calibri"/>
          <w:color w:val="000000"/>
          <w:sz w:val="18"/>
          <w:szCs w:val="18"/>
        </w:rPr>
        <w:t xml:space="preserve">Harmonisation du coût du PGES, désormais libellé en francs guinéens dans l'ensemble du rapport, et présentation du cadre juridique selon la hiérarchie des normes — deux demandes expresses du Comité.</w:t>
      </w:r>
    </w:p>
    <w:p>
      <w:pPr>
        <w:pBdr>
          <w:bottom w:val="single" w:color="2E74B5" w:sz="8" w:space="2"/>
        </w:pBdr>
        <w:spacing w:after="90" w:before="200"/>
      </w:pPr>
      <w:r>
        <w:rPr>
          <w:rFonts w:ascii="Calibri" w:cs="Calibri" w:eastAsia="Calibri" w:hAnsi="Calibri"/>
          <w:b/>
          <w:bCs/>
          <w:color w:val="2E74B5"/>
          <w:sz w:val="21"/>
          <w:szCs w:val="21"/>
        </w:rPr>
        <w:t xml:space="preserve">3. </w:t>
      </w:r>
      <w:r>
        <w:rPr>
          <w:rFonts w:ascii="Calibri" w:cs="Calibri" w:eastAsia="Calibri" w:hAnsi="Calibri"/>
          <w:b/>
          <w:bCs/>
          <w:color w:val="1F3864"/>
          <w:sz w:val="21"/>
          <w:szCs w:val="21"/>
        </w:rPr>
        <w:t xml:space="preserve">CHIFFRES CLÉS DES RAPPORTS FINAUX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50"/>
        <w:gridCol w:w="2423"/>
        <w:gridCol w:w="2450"/>
        <w:gridCol w:w="2423"/>
      </w:tblGrid>
      <w:tr>
        <w:trPr>
          <w:tblHeader/>
        </w:trPr>
        <w:tc>
          <w:tcPr>
            <w:tcW w:type="dxa" w:w="2450"/>
            <w:tcBorders>
              <w:top w:val="single" w:color="BFBFBF" w:sz="4"/>
              <w:left w:val="single" w:color="BFBFBF" w:sz="4"/>
              <w:bottom w:val="single" w:color="BFBFBF" w:sz="4"/>
              <w:right w:val="single" w:color="BFBFBF" w:sz="4"/>
            </w:tcBorders>
            <w:shd w:fill="DEEAF6" w:color="auto" w:val="clear"/>
            <w:tcMar>
              <w:top w:type="dxa" w:w="36"/>
              <w:left w:type="dxa" w:w="70"/>
              <w:bottom w:type="dxa" w:w="36"/>
              <w:right w:type="dxa" w:w="70"/>
            </w:tcMar>
            <w:vAlign w:val="center"/>
          </w:tcPr>
          <w:p>
            <w:pPr>
              <w:spacing w:after="26" w:before="26" w:line="216"/>
            </w:pPr>
            <w:r>
              <w:rPr>
                <w:rFonts w:ascii="Calibri" w:cs="Calibri" w:eastAsia="Calibri" w:hAnsi="Calibri"/>
                <w:b/>
                <w:bCs/>
                <w:color w:val="000000"/>
                <w:sz w:val="17"/>
                <w:szCs w:val="17"/>
              </w:rPr>
              <w:t xml:space="preserve">Ménages affectés / population</w:t>
            </w:r>
          </w:p>
        </w:tc>
        <w:tc>
          <w:tcPr>
            <w:tcW w:type="dxa" w:w="2423"/>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39 ménages (23 + 16) — ≈ 234 personnes</w:t>
            </w:r>
          </w:p>
        </w:tc>
        <w:tc>
          <w:tcPr>
            <w:tcW w:type="dxa" w:w="2450"/>
            <w:tcBorders>
              <w:top w:val="single" w:color="BFBFBF" w:sz="4"/>
              <w:left w:val="single" w:color="BFBFBF" w:sz="4"/>
              <w:bottom w:val="single" w:color="BFBFBF" w:sz="4"/>
              <w:right w:val="single" w:color="BFBFBF" w:sz="4"/>
            </w:tcBorders>
            <w:shd w:fill="DEEAF6" w:color="auto" w:val="clear"/>
            <w:tcMar>
              <w:top w:type="dxa" w:w="36"/>
              <w:left w:type="dxa" w:w="70"/>
              <w:bottom w:type="dxa" w:w="36"/>
              <w:right w:type="dxa" w:w="70"/>
            </w:tcMar>
            <w:vAlign w:val="center"/>
          </w:tcPr>
          <w:p>
            <w:pPr>
              <w:spacing w:after="26" w:before="26" w:line="216"/>
            </w:pPr>
            <w:r>
              <w:rPr>
                <w:rFonts w:ascii="Calibri" w:cs="Calibri" w:eastAsia="Calibri" w:hAnsi="Calibri"/>
                <w:b/>
                <w:bCs/>
                <w:color w:val="000000"/>
                <w:sz w:val="17"/>
                <w:szCs w:val="17"/>
              </w:rPr>
              <w:t xml:space="preserve">Déplacement physique</w:t>
            </w:r>
          </w:p>
        </w:tc>
        <w:tc>
          <w:tcPr>
            <w:tcW w:type="dxa" w:w="2423"/>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Aucun — 18 structures secondaires impactées</w:t>
            </w:r>
          </w:p>
        </w:tc>
      </w:tr>
      <w:tr>
        <w:trPr>
          <w:tblHeader w:val="false"/>
        </w:trPr>
        <w:tc>
          <w:tcPr>
            <w:tcW w:type="dxa" w:w="2450"/>
            <w:tcBorders>
              <w:top w:val="single" w:color="BFBFBF" w:sz="4"/>
              <w:left w:val="single" w:color="BFBFBF" w:sz="4"/>
              <w:bottom w:val="single" w:color="BFBFBF" w:sz="4"/>
              <w:right w:val="single" w:color="BFBFBF" w:sz="4"/>
            </w:tcBorders>
            <w:shd w:fill="DEEAF6" w:color="auto" w:val="clear"/>
            <w:tcMar>
              <w:top w:type="dxa" w:w="36"/>
              <w:left w:type="dxa" w:w="70"/>
              <w:bottom w:type="dxa" w:w="36"/>
              <w:right w:type="dxa" w:w="70"/>
            </w:tcMar>
            <w:vAlign w:val="center"/>
          </w:tcPr>
          <w:p>
            <w:pPr>
              <w:spacing w:after="26" w:before="26" w:line="216"/>
            </w:pPr>
            <w:r>
              <w:rPr>
                <w:rFonts w:ascii="Calibri" w:cs="Calibri" w:eastAsia="Calibri" w:hAnsi="Calibri"/>
                <w:b/>
                <w:bCs/>
                <w:color w:val="000000"/>
                <w:sz w:val="17"/>
                <w:szCs w:val="17"/>
              </w:rPr>
              <w:t xml:space="preserve">Zone ennoyée</w:t>
            </w:r>
          </w:p>
        </w:tc>
        <w:tc>
          <w:tcPr>
            <w:tcW w:type="dxa" w:w="2423"/>
            <w:tcBorders>
              <w:top w:val="single" w:color="BFBFBF" w:sz="4"/>
              <w:left w:val="single" w:color="BFBFBF" w:sz="4"/>
              <w:bottom w:val="single" w:color="BFBFBF" w:sz="4"/>
              <w:right w:val="single" w:color="BFBFBF" w:sz="4"/>
            </w:tcBorders>
            <w:shd w:fill="F4F8FC" w:color="auto" w:val="clear"/>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53,4 ha (cote 431,2 m)</w:t>
            </w:r>
          </w:p>
        </w:tc>
        <w:tc>
          <w:tcPr>
            <w:tcW w:type="dxa" w:w="2450"/>
            <w:tcBorders>
              <w:top w:val="single" w:color="BFBFBF" w:sz="4"/>
              <w:left w:val="single" w:color="BFBFBF" w:sz="4"/>
              <w:bottom w:val="single" w:color="BFBFBF" w:sz="4"/>
              <w:right w:val="single" w:color="BFBFBF" w:sz="4"/>
            </w:tcBorders>
            <w:shd w:fill="DEEAF6" w:color="auto" w:val="clear"/>
            <w:tcMar>
              <w:top w:type="dxa" w:w="36"/>
              <w:left w:type="dxa" w:w="70"/>
              <w:bottom w:type="dxa" w:w="36"/>
              <w:right w:type="dxa" w:w="70"/>
            </w:tcMar>
            <w:vAlign w:val="center"/>
          </w:tcPr>
          <w:p>
            <w:pPr>
              <w:spacing w:after="26" w:before="26" w:line="216"/>
            </w:pPr>
            <w:r>
              <w:rPr>
                <w:rFonts w:ascii="Calibri" w:cs="Calibri" w:eastAsia="Calibri" w:hAnsi="Calibri"/>
                <w:b/>
                <w:bCs/>
                <w:color w:val="000000"/>
                <w:sz w:val="17"/>
                <w:szCs w:val="17"/>
              </w:rPr>
              <w:t xml:space="preserve">Reboisement compensatoire</w:t>
            </w:r>
          </w:p>
        </w:tc>
        <w:tc>
          <w:tcPr>
            <w:tcW w:type="dxa" w:w="2423"/>
            <w:tcBorders>
              <w:top w:val="single" w:color="BFBFBF" w:sz="4"/>
              <w:left w:val="single" w:color="BFBFBF" w:sz="4"/>
              <w:bottom w:val="single" w:color="BFBFBF" w:sz="4"/>
              <w:right w:val="single" w:color="BFBFBF" w:sz="4"/>
            </w:tcBorders>
            <w:shd w:fill="F4F8FC" w:color="auto" w:val="clear"/>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38 ha — ratio 3:1, survie cible &gt; 75 % sur 5 ans</w:t>
            </w:r>
          </w:p>
        </w:tc>
      </w:tr>
      <w:tr>
        <w:trPr>
          <w:tblHeader w:val="false"/>
        </w:trPr>
        <w:tc>
          <w:tcPr>
            <w:tcW w:type="dxa" w:w="2450"/>
            <w:tcBorders>
              <w:top w:val="single" w:color="BFBFBF" w:sz="4"/>
              <w:left w:val="single" w:color="BFBFBF" w:sz="4"/>
              <w:bottom w:val="single" w:color="BFBFBF" w:sz="4"/>
              <w:right w:val="single" w:color="BFBFBF" w:sz="4"/>
            </w:tcBorders>
            <w:shd w:fill="DEEAF6" w:color="auto" w:val="clear"/>
            <w:tcMar>
              <w:top w:type="dxa" w:w="36"/>
              <w:left w:type="dxa" w:w="70"/>
              <w:bottom w:type="dxa" w:w="36"/>
              <w:right w:type="dxa" w:w="70"/>
            </w:tcMar>
            <w:vAlign w:val="center"/>
          </w:tcPr>
          <w:p>
            <w:pPr>
              <w:spacing w:after="26" w:before="26" w:line="216"/>
            </w:pPr>
            <w:r>
              <w:rPr>
                <w:rFonts w:ascii="Calibri" w:cs="Calibri" w:eastAsia="Calibri" w:hAnsi="Calibri"/>
                <w:b/>
                <w:bCs/>
                <w:color w:val="000000"/>
                <w:sz w:val="17"/>
                <w:szCs w:val="17"/>
              </w:rPr>
              <w:t xml:space="preserve">Budget PGES</w:t>
            </w:r>
          </w:p>
        </w:tc>
        <w:tc>
          <w:tcPr>
            <w:tcW w:type="dxa" w:w="2423"/>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1 350 000 EUR ≈ 3,0 % de l'investissement</w:t>
            </w:r>
          </w:p>
        </w:tc>
        <w:tc>
          <w:tcPr>
            <w:tcW w:type="dxa" w:w="2450"/>
            <w:tcBorders>
              <w:top w:val="single" w:color="BFBFBF" w:sz="4"/>
              <w:left w:val="single" w:color="BFBFBF" w:sz="4"/>
              <w:bottom w:val="single" w:color="BFBFBF" w:sz="4"/>
              <w:right w:val="single" w:color="BFBFBF" w:sz="4"/>
            </w:tcBorders>
            <w:shd w:fill="DEEAF6" w:color="auto" w:val="clear"/>
            <w:tcMar>
              <w:top w:type="dxa" w:w="36"/>
              <w:left w:type="dxa" w:w="70"/>
              <w:bottom w:type="dxa" w:w="36"/>
              <w:right w:type="dxa" w:w="70"/>
            </w:tcMar>
            <w:vAlign w:val="center"/>
          </w:tcPr>
          <w:p>
            <w:pPr>
              <w:spacing w:after="26" w:before="26" w:line="216"/>
            </w:pPr>
            <w:r>
              <w:rPr>
                <w:rFonts w:ascii="Calibri" w:cs="Calibri" w:eastAsia="Calibri" w:hAnsi="Calibri"/>
                <w:b/>
                <w:bCs/>
                <w:color w:val="000000"/>
                <w:sz w:val="17"/>
                <w:szCs w:val="17"/>
              </w:rPr>
              <w:t xml:space="preserve">Volet social total</w:t>
            </w:r>
          </w:p>
        </w:tc>
        <w:tc>
          <w:tcPr>
            <w:tcW w:type="dxa" w:w="2423"/>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790 000 EUR (PARC 240 000 · MGP 145 000 · PMPP 175 000 · RSE 230 000)</w:t>
            </w:r>
          </w:p>
        </w:tc>
      </w:tr>
      <w:tr>
        <w:trPr>
          <w:tblHeader w:val="false"/>
        </w:trPr>
        <w:tc>
          <w:tcPr>
            <w:tcW w:type="dxa" w:w="2450"/>
            <w:tcBorders>
              <w:top w:val="single" w:color="BFBFBF" w:sz="4"/>
              <w:left w:val="single" w:color="BFBFBF" w:sz="4"/>
              <w:bottom w:val="single" w:color="BFBFBF" w:sz="4"/>
              <w:right w:val="single" w:color="BFBFBF" w:sz="4"/>
            </w:tcBorders>
            <w:shd w:fill="DEEAF6" w:color="auto" w:val="clear"/>
            <w:tcMar>
              <w:top w:type="dxa" w:w="36"/>
              <w:left w:type="dxa" w:w="70"/>
              <w:bottom w:type="dxa" w:w="36"/>
              <w:right w:type="dxa" w:w="70"/>
            </w:tcMar>
            <w:vAlign w:val="center"/>
          </w:tcPr>
          <w:p>
            <w:pPr>
              <w:spacing w:after="26" w:before="26" w:line="216"/>
            </w:pPr>
            <w:r>
              <w:rPr>
                <w:rFonts w:ascii="Calibri" w:cs="Calibri" w:eastAsia="Calibri" w:hAnsi="Calibri"/>
                <w:b/>
                <w:bCs/>
                <w:color w:val="000000"/>
                <w:sz w:val="17"/>
                <w:szCs w:val="17"/>
              </w:rPr>
              <w:t xml:space="preserve">Sécurisation financière</w:t>
            </w:r>
          </w:p>
        </w:tc>
        <w:tc>
          <w:tcPr>
            <w:tcW w:type="dxa" w:w="2423"/>
            <w:tcBorders>
              <w:top w:val="single" w:color="BFBFBF" w:sz="4"/>
              <w:left w:val="single" w:color="BFBFBF" w:sz="4"/>
              <w:bottom w:val="single" w:color="BFBFBF" w:sz="4"/>
              <w:right w:val="single" w:color="BFBFBF" w:sz="4"/>
            </w:tcBorders>
            <w:shd w:fill="F4F8FC" w:color="auto" w:val="clear"/>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240 000 EUR sous séquestre à la BCRG avant tout ordre de service</w:t>
            </w:r>
          </w:p>
        </w:tc>
        <w:tc>
          <w:tcPr>
            <w:tcW w:type="dxa" w:w="2450"/>
            <w:tcBorders>
              <w:top w:val="single" w:color="BFBFBF" w:sz="4"/>
              <w:left w:val="single" w:color="BFBFBF" w:sz="4"/>
              <w:bottom w:val="single" w:color="BFBFBF" w:sz="4"/>
              <w:right w:val="single" w:color="BFBFBF" w:sz="4"/>
            </w:tcBorders>
            <w:shd w:fill="DEEAF6" w:color="auto" w:val="clear"/>
            <w:tcMar>
              <w:top w:type="dxa" w:w="36"/>
              <w:left w:type="dxa" w:w="70"/>
              <w:bottom w:type="dxa" w:w="36"/>
              <w:right w:type="dxa" w:w="70"/>
            </w:tcMar>
            <w:vAlign w:val="center"/>
          </w:tcPr>
          <w:p>
            <w:pPr>
              <w:spacing w:after="26" w:before="26" w:line="216"/>
            </w:pPr>
            <w:r>
              <w:rPr>
                <w:rFonts w:ascii="Calibri" w:cs="Calibri" w:eastAsia="Calibri" w:hAnsi="Calibri"/>
                <w:b/>
                <w:bCs/>
                <w:color w:val="000000"/>
                <w:sz w:val="17"/>
                <w:szCs w:val="17"/>
              </w:rPr>
              <w:t xml:space="preserve">Mise en œuvre du PARC</w:t>
            </w:r>
          </w:p>
        </w:tc>
        <w:tc>
          <w:tcPr>
            <w:tcW w:type="dxa" w:w="2423"/>
            <w:tcBorders>
              <w:top w:val="single" w:color="BFBFBF" w:sz="4"/>
              <w:left w:val="single" w:color="BFBFBF" w:sz="4"/>
              <w:bottom w:val="single" w:color="BFBFBF" w:sz="4"/>
              <w:right w:val="single" w:color="BFBFBF" w:sz="4"/>
            </w:tcBorders>
            <w:shd w:fill="F4F8FC" w:color="auto" w:val="clear"/>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60 mois, du recensement au suivi de clôture</w:t>
            </w:r>
          </w:p>
        </w:tc>
      </w:tr>
      <w:tr>
        <w:trPr>
          <w:tblHeader w:val="false"/>
        </w:trPr>
        <w:tc>
          <w:tcPr>
            <w:tcW w:type="dxa" w:w="2450"/>
            <w:tcBorders>
              <w:top w:val="single" w:color="BFBFBF" w:sz="4"/>
              <w:left w:val="single" w:color="BFBFBF" w:sz="4"/>
              <w:bottom w:val="single" w:color="BFBFBF" w:sz="4"/>
              <w:right w:val="single" w:color="BFBFBF" w:sz="4"/>
            </w:tcBorders>
            <w:shd w:fill="DEEAF6" w:color="auto" w:val="clear"/>
            <w:tcMar>
              <w:top w:type="dxa" w:w="36"/>
              <w:left w:type="dxa" w:w="70"/>
              <w:bottom w:type="dxa" w:w="36"/>
              <w:right w:type="dxa" w:w="70"/>
            </w:tcMar>
            <w:vAlign w:val="center"/>
          </w:tcPr>
          <w:p>
            <w:pPr>
              <w:spacing w:after="26" w:before="26" w:line="216"/>
            </w:pPr>
            <w:r>
              <w:rPr>
                <w:rFonts w:ascii="Calibri" w:cs="Calibri" w:eastAsia="Calibri" w:hAnsi="Calibri"/>
                <w:b/>
                <w:bCs/>
                <w:color w:val="000000"/>
                <w:sz w:val="17"/>
                <w:szCs w:val="17"/>
              </w:rPr>
              <w:t xml:space="preserve">Débit réservé écologique</w:t>
            </w:r>
          </w:p>
        </w:tc>
        <w:tc>
          <w:tcPr>
            <w:tcW w:type="dxa" w:w="2423"/>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7,5 m³/s (10 % du module) — arrêt de la centrale si l'entrant &lt; 8,0 m³/s</w:t>
            </w:r>
          </w:p>
        </w:tc>
        <w:tc>
          <w:tcPr>
            <w:tcW w:type="dxa" w:w="2450"/>
            <w:tcBorders>
              <w:top w:val="single" w:color="BFBFBF" w:sz="4"/>
              <w:left w:val="single" w:color="BFBFBF" w:sz="4"/>
              <w:bottom w:val="single" w:color="BFBFBF" w:sz="4"/>
              <w:right w:val="single" w:color="BFBFBF" w:sz="4"/>
            </w:tcBorders>
            <w:shd w:fill="DEEAF6" w:color="auto" w:val="clear"/>
            <w:tcMar>
              <w:top w:type="dxa" w:w="36"/>
              <w:left w:type="dxa" w:w="70"/>
              <w:bottom w:type="dxa" w:w="36"/>
              <w:right w:type="dxa" w:w="70"/>
            </w:tcMar>
            <w:vAlign w:val="center"/>
          </w:tcPr>
          <w:p>
            <w:pPr>
              <w:spacing w:after="26" w:before="26" w:line="216"/>
            </w:pPr>
            <w:r>
              <w:rPr>
                <w:rFonts w:ascii="Calibri" w:cs="Calibri" w:eastAsia="Calibri" w:hAnsi="Calibri"/>
                <w:b/>
                <w:bCs/>
                <w:color w:val="000000"/>
                <w:sz w:val="17"/>
                <w:szCs w:val="17"/>
              </w:rPr>
              <w:t xml:space="preserve">Bilan climat</w:t>
            </w:r>
          </w:p>
        </w:tc>
        <w:tc>
          <w:tcPr>
            <w:tcW w:type="dxa" w:w="2423"/>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 21 000 tCO₂eq évitées/an — retour énergétique 1,4 an</w:t>
            </w:r>
          </w:p>
        </w:tc>
      </w:tr>
    </w:tbl>
    <w:p>
      <w:pPr>
        <w:pBdr>
          <w:bottom w:val="single" w:color="2E74B5" w:sz="8" w:space="2"/>
        </w:pBdr>
        <w:spacing w:after="90" w:before="200"/>
      </w:pPr>
      <w:r>
        <w:rPr>
          <w:rFonts w:ascii="Calibri" w:cs="Calibri" w:eastAsia="Calibri" w:hAnsi="Calibri"/>
          <w:b/>
          <w:bCs/>
          <w:color w:val="2E74B5"/>
          <w:sz w:val="21"/>
          <w:szCs w:val="21"/>
        </w:rPr>
        <w:t xml:space="preserve">4. </w:t>
      </w:r>
      <w:r>
        <w:rPr>
          <w:rFonts w:ascii="Calibri" w:cs="Calibri" w:eastAsia="Calibri" w:hAnsi="Calibri"/>
          <w:b/>
          <w:bCs/>
          <w:color w:val="1F3864"/>
          <w:sz w:val="21"/>
          <w:szCs w:val="21"/>
        </w:rPr>
        <w:t xml:space="preserve">CE QUE LE CORPUS 2026 APPORTE PAR RAPPORT À L'ÉTUDE FICHTNER (2017)</w:t>
      </w:r>
    </w:p>
    <w:p>
      <w:pPr>
        <w:spacing w:after="60" w:before="0" w:line="230"/>
        <w:jc w:val="both"/>
      </w:pPr>
      <w:r>
        <w:rPr>
          <w:rFonts w:ascii="Calibri" w:cs="Calibri" w:eastAsia="Calibri" w:hAnsi="Calibri"/>
          <w:color w:val="000000"/>
          <w:sz w:val="19"/>
          <w:szCs w:val="19"/>
        </w:rPr>
        <w:t xml:space="preserve">Le volet environnemental et social passe de 59 pages annexées à une étude de faisabilité à un dossier réglementaire autonome de 304 pages, opposable et instruit. Les apports décisifs :</w:t>
      </w:r>
    </w:p>
    <w:p>
      <w:pPr>
        <w:pStyle w:val="ListParagraph"/>
        <w:numPr>
          <w:ilvl w:val="0"/>
          <w:numId w:val="2"/>
        </w:numPr>
        <w:spacing w:after="40" w:line="228"/>
      </w:pPr>
      <w:r>
        <w:rPr>
          <w:rFonts w:ascii="Calibri" w:cs="Calibri" w:eastAsia="Calibri" w:hAnsi="Calibri"/>
          <w:b/>
          <w:bCs/>
          <w:color w:val="000000"/>
          <w:sz w:val="18"/>
          <w:szCs w:val="18"/>
        </w:rPr>
        <w:t xml:space="preserve">Qualification et cadre juridique — </w:t>
      </w:r>
      <w:r>
        <w:rPr>
          <w:rFonts w:ascii="Calibri" w:cs="Calibri" w:eastAsia="Calibri" w:hAnsi="Calibri"/>
          <w:color w:val="000000"/>
          <w:sz w:val="18"/>
          <w:szCs w:val="18"/>
        </w:rPr>
        <w:t xml:space="preserve">NIES art. 25 / PARC art. 27 ; Constitution 2025, Code de l'Environnement 2019, Arrêté 1595, AGEE, Accord de Paris, Simandou 2040.</w:t>
      </w:r>
    </w:p>
    <w:p>
      <w:pPr>
        <w:pStyle w:val="ListParagraph"/>
        <w:numPr>
          <w:ilvl w:val="0"/>
          <w:numId w:val="2"/>
        </w:numPr>
        <w:spacing w:after="40" w:line="228"/>
      </w:pPr>
      <w:r>
        <w:rPr>
          <w:rFonts w:ascii="Calibri" w:cs="Calibri" w:eastAsia="Calibri" w:hAnsi="Calibri"/>
          <w:b/>
          <w:bCs/>
          <w:color w:val="000000"/>
          <w:sz w:val="18"/>
          <w:szCs w:val="18"/>
        </w:rPr>
        <w:t xml:space="preserve">Standards internationaux — </w:t>
      </w:r>
      <w:r>
        <w:rPr>
          <w:rFonts w:ascii="Calibri" w:cs="Calibri" w:eastAsia="Calibri" w:hAnsi="Calibri"/>
          <w:color w:val="000000"/>
          <w:sz w:val="18"/>
          <w:szCs w:val="18"/>
        </w:rPr>
        <w:t xml:space="preserve">passage de l'OP 4.12 au Cadre Environnemental et Social (NES n°5 et n°6) et aux Directives EHS Hydropower, avec arbitrage en faveur de la norme la plus protectrice : condition d'éligibilité aux financements internationaux.</w:t>
      </w:r>
    </w:p>
    <w:p>
      <w:pPr>
        <w:pStyle w:val="ListParagraph"/>
        <w:numPr>
          <w:ilvl w:val="0"/>
          <w:numId w:val="2"/>
        </w:numPr>
        <w:spacing w:after="40" w:line="228"/>
      </w:pPr>
      <w:r>
        <w:rPr>
          <w:rFonts w:ascii="Calibri" w:cs="Calibri" w:eastAsia="Calibri" w:hAnsi="Calibri"/>
          <w:b/>
          <w:bCs/>
          <w:color w:val="000000"/>
          <w:sz w:val="18"/>
          <w:szCs w:val="18"/>
        </w:rPr>
        <w:t xml:space="preserve">Domaines entièrement nouveaux — </w:t>
      </w:r>
      <w:r>
        <w:rPr>
          <w:rFonts w:ascii="Calibri" w:cs="Calibri" w:eastAsia="Calibri" w:hAnsi="Calibri"/>
          <w:color w:val="000000"/>
          <w:sz w:val="18"/>
          <w:szCs w:val="18"/>
        </w:rPr>
        <w:t xml:space="preserve">impact résiduel (avant/après mesures), effets cumulatifs dont l'orpaillage en amont, bilan carbone, dimension transfrontalière (Makona / Union du Fleuve Mano), services écosystémiques, genre et vulnérabilité, MGP incluant les VBG/EAS-HS.</w:t>
      </w:r>
    </w:p>
    <w:p>
      <w:pPr>
        <w:pStyle w:val="ListParagraph"/>
        <w:numPr>
          <w:ilvl w:val="0"/>
          <w:numId w:val="2"/>
        </w:numPr>
        <w:spacing w:after="40" w:line="228"/>
      </w:pPr>
      <w:r>
        <w:rPr>
          <w:rFonts w:ascii="Calibri" w:cs="Calibri" w:eastAsia="Calibri" w:hAnsi="Calibri"/>
          <w:b/>
          <w:bCs/>
          <w:color w:val="000000"/>
          <w:sz w:val="18"/>
          <w:szCs w:val="18"/>
        </w:rPr>
        <w:t xml:space="preserve">Acquis de 2017 confirmés — </w:t>
      </w:r>
      <w:r>
        <w:rPr>
          <w:rFonts w:ascii="Calibri" w:cs="Calibri" w:eastAsia="Calibri" w:hAnsi="Calibri"/>
          <w:color w:val="000000"/>
          <w:sz w:val="18"/>
          <w:szCs w:val="18"/>
        </w:rPr>
        <w:t xml:space="preserve">le recensement fondateur (39 ménages, 234 personnes, aucun déplacement) et l'abaissement de la cote de 435 à 431,2 m, mesure d'évitement la plus efficace du projet, restent la base du dossier.</w:t>
      </w:r>
    </w:p>
    <w:p>
      <w:pPr>
        <w:pBdr>
          <w:bottom w:val="single" w:color="2E74B5" w:sz="8" w:space="2"/>
        </w:pBdr>
        <w:spacing w:after="90" w:before="200"/>
      </w:pPr>
      <w:r>
        <w:rPr>
          <w:rFonts w:ascii="Calibri" w:cs="Calibri" w:eastAsia="Calibri" w:hAnsi="Calibri"/>
          <w:b/>
          <w:bCs/>
          <w:color w:val="2E74B5"/>
          <w:sz w:val="21"/>
          <w:szCs w:val="21"/>
        </w:rPr>
        <w:t xml:space="preserve">5. </w:t>
      </w:r>
      <w:r>
        <w:rPr>
          <w:rFonts w:ascii="Calibri" w:cs="Calibri" w:eastAsia="Calibri" w:hAnsi="Calibri"/>
          <w:b/>
          <w:bCs/>
          <w:color w:val="1F3864"/>
          <w:sz w:val="21"/>
          <w:szCs w:val="21"/>
        </w:rPr>
        <w:t xml:space="preserve">POINTS DE VIGILANCE ET SUITE IMMÉDIATE</w:t>
      </w:r>
    </w:p>
    <w:p>
      <w:pPr>
        <w:pStyle w:val="ListParagraph"/>
        <w:numPr>
          <w:ilvl w:val="0"/>
          <w:numId w:val="3"/>
        </w:numPr>
        <w:spacing w:after="40" w:line="228"/>
      </w:pPr>
      <w:r>
        <w:rPr>
          <w:rFonts w:ascii="Calibri" w:cs="Calibri" w:eastAsia="Calibri" w:hAnsi="Calibri"/>
          <w:b/>
          <w:bCs/>
          <w:color w:val="1E6B3A"/>
          <w:sz w:val="18"/>
          <w:szCs w:val="18"/>
        </w:rPr>
        <w:t xml:space="preserve">Risque de requalification NIES → EIES : écarté.</w:t>
      </w:r>
      <w:r>
        <w:rPr>
          <w:rFonts w:ascii="Calibri" w:cs="Calibri" w:eastAsia="Calibri" w:hAnsi="Calibri"/>
          <w:color w:val="000000"/>
          <w:sz w:val="18"/>
          <w:szCs w:val="18"/>
        </w:rPr>
        <w:t xml:space="preserve"> Avec 7,2 MW et une ligne 30 kV, le projet reste sous les seuils (10 MW / 63 kV) ; le CTAE a instruit le dossier en tant que NIES.</w:t>
      </w:r>
    </w:p>
    <w:p>
      <w:pPr>
        <w:pStyle w:val="ListParagraph"/>
        <w:numPr>
          <w:ilvl w:val="0"/>
          <w:numId w:val="3"/>
        </w:numPr>
        <w:spacing w:after="40" w:line="228"/>
      </w:pPr>
      <w:r>
        <w:rPr>
          <w:rFonts w:ascii="Calibri" w:cs="Calibri" w:eastAsia="Calibri" w:hAnsi="Calibri"/>
          <w:b/>
          <w:bCs/>
          <w:color w:val="000000"/>
          <w:sz w:val="18"/>
          <w:szCs w:val="18"/>
        </w:rPr>
        <w:t xml:space="preserve">Vérification par le comité restreint de l'AGEE — </w:t>
      </w:r>
      <w:r>
        <w:rPr>
          <w:rFonts w:ascii="Calibri" w:cs="Calibri" w:eastAsia="Calibri" w:hAnsi="Calibri"/>
          <w:color w:val="000000"/>
          <w:sz w:val="18"/>
          <w:szCs w:val="18"/>
        </w:rPr>
        <w:t xml:space="preserve">maintenir la disponibilité de l'équipe et le suivi hebdomadaire du dossier jusqu'à la signature.</w:t>
      </w:r>
    </w:p>
    <w:p>
      <w:pPr>
        <w:pStyle w:val="ListParagraph"/>
        <w:numPr>
          <w:ilvl w:val="0"/>
          <w:numId w:val="3"/>
        </w:numPr>
        <w:spacing w:after="40" w:line="228"/>
      </w:pPr>
      <w:r>
        <w:rPr>
          <w:rFonts w:ascii="Calibri" w:cs="Calibri" w:eastAsia="Calibri" w:hAnsi="Calibri"/>
          <w:b/>
          <w:bCs/>
          <w:color w:val="000000"/>
          <w:sz w:val="18"/>
          <w:szCs w:val="18"/>
        </w:rPr>
        <w:t xml:space="preserve">Traçabilité des 60 recommandations — </w:t>
      </w:r>
      <w:r>
        <w:rPr>
          <w:rFonts w:ascii="Calibri" w:cs="Calibri" w:eastAsia="Calibri" w:hAnsi="Calibri"/>
          <w:color w:val="000000"/>
          <w:sz w:val="18"/>
          <w:szCs w:val="18"/>
        </w:rPr>
        <w:t xml:space="preserve">la matrice de prise en compte est la pièce sur laquelle se fonde la conformité au PV ; toute demande complémentaire doit y être versée.</w:t>
      </w:r>
    </w:p>
    <w:p>
      <w:pPr>
        <w:pStyle w:val="ListParagraph"/>
        <w:numPr>
          <w:ilvl w:val="0"/>
          <w:numId w:val="3"/>
        </w:numPr>
        <w:spacing w:after="40" w:line="228"/>
      </w:pPr>
      <w:r>
        <w:rPr>
          <w:rFonts w:ascii="Calibri" w:cs="Calibri" w:eastAsia="Calibri" w:hAnsi="Calibri"/>
          <w:b/>
          <w:bCs/>
          <w:color w:val="000000"/>
          <w:sz w:val="18"/>
          <w:szCs w:val="18"/>
        </w:rPr>
        <w:t xml:space="preserve">Préparation de la mise en œuvre — </w:t>
      </w:r>
      <w:r>
        <w:rPr>
          <w:rFonts w:ascii="Calibri" w:cs="Calibri" w:eastAsia="Calibri" w:hAnsi="Calibri"/>
          <w:color w:val="000000"/>
          <w:sz w:val="18"/>
          <w:szCs w:val="18"/>
        </w:rPr>
        <w:t xml:space="preserve">le séquestre de 240 000 EUR à la BCRG doit être constitué avant toute notification d'ordre de service ; à anticiper dès l'obtention du certificat.</w:t>
      </w:r>
    </w:p>
    <w:p>
      <w:pPr>
        <w:pBdr>
          <w:bottom w:val="single" w:color="2E74B5" w:sz="8" w:space="2"/>
        </w:pBdr>
        <w:spacing w:after="90" w:before="200"/>
      </w:pPr>
      <w:r>
        <w:rPr>
          <w:rFonts w:ascii="Calibri" w:cs="Calibri" w:eastAsia="Calibri" w:hAnsi="Calibri"/>
          <w:b/>
          <w:bCs/>
          <w:color w:val="2E74B5"/>
          <w:sz w:val="21"/>
          <w:szCs w:val="21"/>
        </w:rPr>
        <w:t xml:space="preserve">6. </w:t>
      </w:r>
      <w:r>
        <w:rPr>
          <w:rFonts w:ascii="Calibri" w:cs="Calibri" w:eastAsia="Calibri" w:hAnsi="Calibri"/>
          <w:b/>
          <w:bCs/>
          <w:color w:val="1F3864"/>
          <w:sz w:val="21"/>
          <w:szCs w:val="21"/>
        </w:rPr>
        <w:t xml:space="preserve">CONCLUSION</w:t>
      </w:r>
    </w:p>
    <w:p>
      <w:pPr>
        <w:spacing w:after="80" w:before="0" w:line="230"/>
        <w:jc w:val="both"/>
      </w:pPr>
      <w:r>
        <w:rPr>
          <w:rFonts w:ascii="Calibri" w:cs="Calibri" w:eastAsia="Calibri" w:hAnsi="Calibri"/>
          <w:color w:val="000000"/>
          <w:sz w:val="19"/>
          <w:szCs w:val="19"/>
        </w:rPr>
        <w:t xml:space="preserve">Le dossier environnemental et social de la microcentrale de Kéno est </w:t>
      </w:r>
      <w:r>
        <w:rPr>
          <w:rFonts w:ascii="Calibri" w:cs="Calibri" w:eastAsia="Calibri" w:hAnsi="Calibri"/>
          <w:b/>
          <w:bCs/>
          <w:color w:val="000000"/>
          <w:sz w:val="19"/>
          <w:szCs w:val="19"/>
        </w:rPr>
        <w:t xml:space="preserve">complet, corrigé et déposé</w:t>
      </w:r>
      <w:r>
        <w:rPr>
          <w:rFonts w:ascii="Calibri" w:cs="Calibri" w:eastAsia="Calibri" w:hAnsi="Calibri"/>
          <w:color w:val="000000"/>
          <w:sz w:val="19"/>
          <w:szCs w:val="19"/>
        </w:rPr>
        <w:t xml:space="preserve">. Les recommandations du CTAE sont intégrées et tracées, la conformité à l'Arrêté 1595 est démontrée rubrique par rubrique, et les engagements sont chiffrés, datés et budgétés. La seule étape restante est la </w:t>
      </w:r>
      <w:r>
        <w:rPr>
          <w:rFonts w:ascii="Calibri" w:cs="Calibri" w:eastAsia="Calibri" w:hAnsi="Calibri"/>
          <w:b/>
          <w:bCs/>
          <w:color w:val="000000"/>
          <w:sz w:val="19"/>
          <w:szCs w:val="19"/>
        </w:rPr>
        <w:t xml:space="preserve">délivrance de l'Autorisation Environnementale par Madame la Ministre de l'Environnement</w:t>
      </w:r>
      <w:r>
        <w:rPr>
          <w:rFonts w:ascii="Calibri" w:cs="Calibri" w:eastAsia="Calibri" w:hAnsi="Calibri"/>
          <w:color w:val="000000"/>
          <w:sz w:val="19"/>
          <w:szCs w:val="19"/>
        </w:rPr>
        <w:t xml:space="preserve">, après vérification par le comité restreint de l'AGEE.</w:t>
      </w:r>
    </w:p>
    <w:p>
      <w:pPr>
        <w:pBdr>
          <w:top w:val="single" w:color="BFBFBF" w:sz="6" w:space="4"/>
        </w:pBdr>
        <w:spacing w:before="100"/>
      </w:pPr>
      <w:r>
        <w:rPr>
          <w:rFonts w:ascii="Calibri" w:cs="Calibri" w:eastAsia="Calibri" w:hAnsi="Calibri"/>
          <w:i/>
          <w:iCs/>
          <w:color w:val="595959"/>
          <w:sz w:val="15"/>
          <w:szCs w:val="15"/>
        </w:rPr>
        <w:t xml:space="preserve">Sources : lettre de transmission n° 081/CGDEM-AEDD/EDG/ID/2026 ; Note d'analyse comparative FICHTNER 2017 / CGDEM 2026, CGDEM-AEDD SARLU, août 2026 ; PV de délibération du CTAE du 14 juillet 2026.</w:t>
      </w:r>
    </w:p>
    <w:p>
      <w:r>
        <w:br w:type="page"/>
      </w:r>
    </w:p>
    <w:p>
      <w:pPr>
        <w:spacing w:after="0"/>
        <w:jc w:val="center"/>
      </w:pPr>
      <w:r>
        <w:rPr>
          <w:rFonts w:ascii="Calibri" w:cs="Calibri" w:eastAsia="Calibri" w:hAnsi="Calibri"/>
          <w:b/>
          <w:bCs/>
          <w:color w:val="1F3864"/>
          <w:sz w:val="26"/>
          <w:szCs w:val="26"/>
        </w:rPr>
        <w:t xml:space="preserve">ANNEXE</w:t>
      </w:r>
    </w:p>
    <w:p>
      <w:pPr>
        <w:pBdr>
          <w:bottom w:val="single" w:color="1F3864" w:sz="12" w:space="4"/>
        </w:pBdr>
        <w:spacing w:after="140"/>
        <w:jc w:val="center"/>
      </w:pPr>
      <w:r>
        <w:rPr>
          <w:rFonts w:ascii="Calibri" w:cs="Calibri" w:eastAsia="Calibri" w:hAnsi="Calibri"/>
          <w:b/>
          <w:bCs/>
          <w:color w:val="2E74B5"/>
          <w:sz w:val="20"/>
          <w:szCs w:val="20"/>
        </w:rPr>
        <w:t xml:space="preserve">Procès-verbal de délibération du CTAE — Session n° 0170/CTAE/AGEE/DG/CONAKRY du 14/07/2026</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2773"/>
        <w:gridCol w:w="2100"/>
        <w:gridCol w:w="2773"/>
      </w:tblGrid>
      <w:tr>
        <w:trPr>
          <w:tblHeader/>
        </w:trPr>
        <w:tc>
          <w:tcPr>
            <w:tcW w:type="dxa" w:w="2100"/>
            <w:tcBorders>
              <w:top w:val="single" w:color="BFBFBF" w:sz="4"/>
              <w:left w:val="single" w:color="BFBFBF" w:sz="4"/>
              <w:bottom w:val="single" w:color="BFBFBF" w:sz="4"/>
              <w:right w:val="single" w:color="BFBFBF" w:sz="4"/>
            </w:tcBorders>
            <w:shd w:fill="DEEAF6" w:color="auto" w:val="clear"/>
            <w:tcMar>
              <w:top w:type="dxa" w:w="36"/>
              <w:left w:type="dxa" w:w="70"/>
              <w:bottom w:type="dxa" w:w="36"/>
              <w:right w:type="dxa" w:w="70"/>
            </w:tcMar>
            <w:vAlign w:val="center"/>
          </w:tcPr>
          <w:p>
            <w:pPr>
              <w:spacing w:after="26" w:before="26" w:line="216"/>
            </w:pPr>
            <w:r>
              <w:rPr>
                <w:rFonts w:ascii="Calibri" w:cs="Calibri" w:eastAsia="Calibri" w:hAnsi="Calibri"/>
                <w:b/>
                <w:bCs/>
                <w:color w:val="000000"/>
                <w:sz w:val="17"/>
                <w:szCs w:val="17"/>
              </w:rPr>
              <w:t xml:space="preserve">Date et horaires</w:t>
            </w:r>
          </w:p>
        </w:tc>
        <w:tc>
          <w:tcPr>
            <w:tcW w:type="dxa" w:w="2773"/>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Mardi 14 juillet 2026, 09h43 – 13h45</w:t>
            </w:r>
          </w:p>
        </w:tc>
        <w:tc>
          <w:tcPr>
            <w:tcW w:type="dxa" w:w="2100"/>
            <w:tcBorders>
              <w:top w:val="single" w:color="BFBFBF" w:sz="4"/>
              <w:left w:val="single" w:color="BFBFBF" w:sz="4"/>
              <w:bottom w:val="single" w:color="BFBFBF" w:sz="4"/>
              <w:right w:val="single" w:color="BFBFBF" w:sz="4"/>
            </w:tcBorders>
            <w:shd w:fill="DEEAF6" w:color="auto" w:val="clear"/>
            <w:tcMar>
              <w:top w:type="dxa" w:w="36"/>
              <w:left w:type="dxa" w:w="70"/>
              <w:bottom w:type="dxa" w:w="36"/>
              <w:right w:type="dxa" w:w="70"/>
            </w:tcMar>
            <w:vAlign w:val="center"/>
          </w:tcPr>
          <w:p>
            <w:pPr>
              <w:spacing w:after="26" w:before="26" w:line="216"/>
            </w:pPr>
            <w:r>
              <w:rPr>
                <w:rFonts w:ascii="Calibri" w:cs="Calibri" w:eastAsia="Calibri" w:hAnsi="Calibri"/>
                <w:b/>
                <w:bCs/>
                <w:color w:val="000000"/>
                <w:sz w:val="17"/>
                <w:szCs w:val="17"/>
              </w:rPr>
              <w:t xml:space="preserve">Lieu</w:t>
            </w:r>
          </w:p>
        </w:tc>
        <w:tc>
          <w:tcPr>
            <w:tcW w:type="dxa" w:w="2773"/>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Salle de conférence de l'UNESCO, Conakry</w:t>
            </w:r>
          </w:p>
        </w:tc>
      </w:tr>
      <w:tr>
        <w:trPr>
          <w:tblHeader w:val="false"/>
        </w:trPr>
        <w:tc>
          <w:tcPr>
            <w:tcW w:type="dxa" w:w="2100"/>
            <w:tcBorders>
              <w:top w:val="single" w:color="BFBFBF" w:sz="4"/>
              <w:left w:val="single" w:color="BFBFBF" w:sz="4"/>
              <w:bottom w:val="single" w:color="BFBFBF" w:sz="4"/>
              <w:right w:val="single" w:color="BFBFBF" w:sz="4"/>
            </w:tcBorders>
            <w:shd w:fill="DEEAF6" w:color="auto" w:val="clear"/>
            <w:tcMar>
              <w:top w:type="dxa" w:w="36"/>
              <w:left w:type="dxa" w:w="70"/>
              <w:bottom w:type="dxa" w:w="36"/>
              <w:right w:type="dxa" w:w="70"/>
            </w:tcMar>
            <w:vAlign w:val="center"/>
          </w:tcPr>
          <w:p>
            <w:pPr>
              <w:spacing w:after="26" w:before="26" w:line="216"/>
            </w:pPr>
            <w:r>
              <w:rPr>
                <w:rFonts w:ascii="Calibri" w:cs="Calibri" w:eastAsia="Calibri" w:hAnsi="Calibri"/>
                <w:b/>
                <w:bCs/>
                <w:color w:val="000000"/>
                <w:sz w:val="17"/>
                <w:szCs w:val="17"/>
              </w:rPr>
              <w:t xml:space="preserve">Président de séance</w:t>
            </w:r>
          </w:p>
        </w:tc>
        <w:tc>
          <w:tcPr>
            <w:tcW w:type="dxa" w:w="2773"/>
            <w:tcBorders>
              <w:top w:val="single" w:color="BFBFBF" w:sz="4"/>
              <w:left w:val="single" w:color="BFBFBF" w:sz="4"/>
              <w:bottom w:val="single" w:color="BFBFBF" w:sz="4"/>
              <w:right w:val="single" w:color="BFBFBF" w:sz="4"/>
            </w:tcBorders>
            <w:shd w:fill="F4F8FC" w:color="auto" w:val="clear"/>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M. Cyril ABOLY, Conseiller Juridique / MEDD</w:t>
            </w:r>
          </w:p>
        </w:tc>
        <w:tc>
          <w:tcPr>
            <w:tcW w:type="dxa" w:w="2100"/>
            <w:tcBorders>
              <w:top w:val="single" w:color="BFBFBF" w:sz="4"/>
              <w:left w:val="single" w:color="BFBFBF" w:sz="4"/>
              <w:bottom w:val="single" w:color="BFBFBF" w:sz="4"/>
              <w:right w:val="single" w:color="BFBFBF" w:sz="4"/>
            </w:tcBorders>
            <w:shd w:fill="DEEAF6" w:color="auto" w:val="clear"/>
            <w:tcMar>
              <w:top w:type="dxa" w:w="36"/>
              <w:left w:type="dxa" w:w="70"/>
              <w:bottom w:type="dxa" w:w="36"/>
              <w:right w:type="dxa" w:w="70"/>
            </w:tcMar>
            <w:vAlign w:val="center"/>
          </w:tcPr>
          <w:p>
            <w:pPr>
              <w:spacing w:after="26" w:before="26" w:line="216"/>
            </w:pPr>
            <w:r>
              <w:rPr>
                <w:rFonts w:ascii="Calibri" w:cs="Calibri" w:eastAsia="Calibri" w:hAnsi="Calibri"/>
                <w:b/>
                <w:bCs/>
                <w:color w:val="000000"/>
                <w:sz w:val="17"/>
                <w:szCs w:val="17"/>
              </w:rPr>
              <w:t xml:space="preserve">Rapporteur</w:t>
            </w:r>
          </w:p>
        </w:tc>
        <w:tc>
          <w:tcPr>
            <w:tcW w:type="dxa" w:w="2773"/>
            <w:tcBorders>
              <w:top w:val="single" w:color="BFBFBF" w:sz="4"/>
              <w:left w:val="single" w:color="BFBFBF" w:sz="4"/>
              <w:bottom w:val="single" w:color="BFBFBF" w:sz="4"/>
              <w:right w:val="single" w:color="BFBFBF" w:sz="4"/>
            </w:tcBorders>
            <w:shd w:fill="F4F8FC" w:color="auto" w:val="clear"/>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M. Sory DOUMBOUYA, Chef Service Normes et Réglementation / AGEE</w:t>
            </w:r>
          </w:p>
        </w:tc>
      </w:tr>
      <w:tr>
        <w:trPr>
          <w:tblHeader w:val="false"/>
        </w:trPr>
        <w:tc>
          <w:tcPr>
            <w:tcW w:type="dxa" w:w="2100"/>
            <w:tcBorders>
              <w:top w:val="single" w:color="BFBFBF" w:sz="4"/>
              <w:left w:val="single" w:color="BFBFBF" w:sz="4"/>
              <w:bottom w:val="single" w:color="BFBFBF" w:sz="4"/>
              <w:right w:val="single" w:color="BFBFBF" w:sz="4"/>
            </w:tcBorders>
            <w:shd w:fill="DEEAF6" w:color="auto" w:val="clear"/>
            <w:tcMar>
              <w:top w:type="dxa" w:w="36"/>
              <w:left w:type="dxa" w:w="70"/>
              <w:bottom w:type="dxa" w:w="36"/>
              <w:right w:type="dxa" w:w="70"/>
            </w:tcMar>
            <w:vAlign w:val="center"/>
          </w:tcPr>
          <w:p>
            <w:pPr>
              <w:spacing w:after="26" w:before="26" w:line="216"/>
            </w:pPr>
            <w:r>
              <w:rPr>
                <w:rFonts w:ascii="Calibri" w:cs="Calibri" w:eastAsia="Calibri" w:hAnsi="Calibri"/>
                <w:b/>
                <w:bCs/>
                <w:color w:val="000000"/>
                <w:sz w:val="17"/>
                <w:szCs w:val="17"/>
              </w:rPr>
              <w:t xml:space="preserve">Modérateur</w:t>
            </w:r>
          </w:p>
        </w:tc>
        <w:tc>
          <w:tcPr>
            <w:tcW w:type="dxa" w:w="2773"/>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M. Mamadou Bhoye SOUARÉ (AGEE)</w:t>
            </w:r>
          </w:p>
        </w:tc>
        <w:tc>
          <w:tcPr>
            <w:tcW w:type="dxa" w:w="2100"/>
            <w:tcBorders>
              <w:top w:val="single" w:color="BFBFBF" w:sz="4"/>
              <w:left w:val="single" w:color="BFBFBF" w:sz="4"/>
              <w:bottom w:val="single" w:color="BFBFBF" w:sz="4"/>
              <w:right w:val="single" w:color="BFBFBF" w:sz="4"/>
            </w:tcBorders>
            <w:shd w:fill="DEEAF6" w:color="auto" w:val="clear"/>
            <w:tcMar>
              <w:top w:type="dxa" w:w="36"/>
              <w:left w:type="dxa" w:w="70"/>
              <w:bottom w:type="dxa" w:w="36"/>
              <w:right w:type="dxa" w:w="70"/>
            </w:tcMar>
            <w:vAlign w:val="center"/>
          </w:tcPr>
          <w:p>
            <w:pPr>
              <w:spacing w:after="26" w:before="26" w:line="216"/>
            </w:pPr>
            <w:r>
              <w:rPr>
                <w:rFonts w:ascii="Calibri" w:cs="Calibri" w:eastAsia="Calibri" w:hAnsi="Calibri"/>
                <w:b/>
                <w:bCs/>
                <w:color w:val="000000"/>
                <w:sz w:val="17"/>
                <w:szCs w:val="17"/>
              </w:rPr>
              <w:t xml:space="preserve">Base légale</w:t>
            </w:r>
          </w:p>
        </w:tc>
        <w:tc>
          <w:tcPr>
            <w:tcW w:type="dxa" w:w="2773"/>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Article 28 du Code de l'environnement</w:t>
            </w:r>
          </w:p>
        </w:tc>
      </w:tr>
    </w:tbl>
    <w:p>
      <w:pPr>
        <w:pBdr>
          <w:bottom w:val="single" w:color="2E74B5" w:sz="8" w:space="2"/>
        </w:pBdr>
        <w:spacing w:after="90" w:before="200"/>
      </w:pPr>
      <w:r>
        <w:rPr>
          <w:rFonts w:ascii="Calibri" w:cs="Calibri" w:eastAsia="Calibri" w:hAnsi="Calibri"/>
          <w:b/>
          <w:bCs/>
          <w:color w:val="2E74B5"/>
          <w:sz w:val="21"/>
          <w:szCs w:val="21"/>
        </w:rPr>
        <w:t xml:space="preserve">A1. </w:t>
      </w:r>
      <w:r>
        <w:rPr>
          <w:rFonts w:ascii="Calibri" w:cs="Calibri" w:eastAsia="Calibri" w:hAnsi="Calibri"/>
          <w:b/>
          <w:bCs/>
          <w:color w:val="1F3864"/>
          <w:sz w:val="21"/>
          <w:szCs w:val="21"/>
        </w:rPr>
        <w:t xml:space="preserve">COMPOSITION DU COMITÉ</w:t>
      </w:r>
    </w:p>
    <w:p>
      <w:pPr>
        <w:spacing w:after="60" w:before="0" w:line="230"/>
        <w:jc w:val="both"/>
      </w:pPr>
      <w:r>
        <w:rPr>
          <w:rFonts w:ascii="Calibri" w:cs="Calibri" w:eastAsia="Calibri" w:hAnsi="Calibri"/>
          <w:b/>
          <w:bCs/>
          <w:color w:val="000000"/>
          <w:sz w:val="19"/>
          <w:szCs w:val="19"/>
        </w:rPr>
        <w:t xml:space="preserve">MEDD</w:t>
      </w:r>
      <w:r>
        <w:rPr>
          <w:rFonts w:ascii="Calibri" w:cs="Calibri" w:eastAsia="Calibri" w:hAnsi="Calibri"/>
          <w:color w:val="000000"/>
          <w:sz w:val="19"/>
          <w:szCs w:val="19"/>
        </w:rPr>
        <w:t xml:space="preserve"> — Cabinet (Conseiller Juridique), Direction Générale de l'AGEE, Direction Nationale de l'Environnement · </w:t>
      </w:r>
      <w:r>
        <w:rPr>
          <w:rFonts w:ascii="Calibri" w:cs="Calibri" w:eastAsia="Calibri" w:hAnsi="Calibri"/>
          <w:b/>
          <w:bCs/>
          <w:color w:val="000000"/>
          <w:sz w:val="19"/>
          <w:szCs w:val="19"/>
        </w:rPr>
        <w:t xml:space="preserve">Ministère de l'Énergie</w:t>
      </w:r>
      <w:r>
        <w:rPr>
          <w:rFonts w:ascii="Calibri" w:cs="Calibri" w:eastAsia="Calibri" w:hAnsi="Calibri"/>
          <w:color w:val="000000"/>
          <w:sz w:val="19"/>
          <w:szCs w:val="19"/>
        </w:rPr>
        <w:t xml:space="preserve"> — Bureau de Stratégie et de Développement · </w:t>
      </w:r>
      <w:r>
        <w:rPr>
          <w:rFonts w:ascii="Calibri" w:cs="Calibri" w:eastAsia="Calibri" w:hAnsi="Calibri"/>
          <w:b/>
          <w:bCs/>
          <w:color w:val="000000"/>
          <w:sz w:val="19"/>
          <w:szCs w:val="19"/>
        </w:rPr>
        <w:t xml:space="preserve">MATD</w:t>
      </w:r>
      <w:r>
        <w:rPr>
          <w:rFonts w:ascii="Calibri" w:cs="Calibri" w:eastAsia="Calibri" w:hAnsi="Calibri"/>
          <w:color w:val="000000"/>
          <w:sz w:val="19"/>
          <w:szCs w:val="19"/>
        </w:rPr>
        <w:t xml:space="preserve"> — Direction Nationale de l'Administration du Territoire · </w:t>
      </w:r>
      <w:r>
        <w:rPr>
          <w:rFonts w:ascii="Calibri" w:cs="Calibri" w:eastAsia="Calibri" w:hAnsi="Calibri"/>
          <w:b/>
          <w:bCs/>
          <w:color w:val="000000"/>
          <w:sz w:val="19"/>
          <w:szCs w:val="19"/>
        </w:rPr>
        <w:t xml:space="preserve">MAHH</w:t>
      </w:r>
      <w:r>
        <w:rPr>
          <w:rFonts w:ascii="Calibri" w:cs="Calibri" w:eastAsia="Calibri" w:hAnsi="Calibri"/>
          <w:color w:val="000000"/>
          <w:sz w:val="19"/>
          <w:szCs w:val="19"/>
        </w:rPr>
        <w:t xml:space="preserve"> — Direction Nationale de l'Hydraulique · </w:t>
      </w:r>
      <w:r>
        <w:rPr>
          <w:rFonts w:ascii="Calibri" w:cs="Calibri" w:eastAsia="Calibri" w:hAnsi="Calibri"/>
          <w:b/>
          <w:bCs/>
          <w:color w:val="000000"/>
          <w:sz w:val="19"/>
          <w:szCs w:val="19"/>
        </w:rPr>
        <w:t xml:space="preserve">Ministère de l'Agriculture</w:t>
      </w:r>
      <w:r>
        <w:rPr>
          <w:rFonts w:ascii="Calibri" w:cs="Calibri" w:eastAsia="Calibri" w:hAnsi="Calibri"/>
          <w:color w:val="000000"/>
          <w:sz w:val="19"/>
          <w:szCs w:val="19"/>
        </w:rPr>
        <w:t xml:space="preserve"> — Direction Nationale de l'Agriculture · </w:t>
      </w:r>
      <w:r>
        <w:rPr>
          <w:rFonts w:ascii="Calibri" w:cs="Calibri" w:eastAsia="Calibri" w:hAnsi="Calibri"/>
          <w:b/>
          <w:bCs/>
          <w:color w:val="000000"/>
          <w:sz w:val="19"/>
          <w:szCs w:val="19"/>
        </w:rPr>
        <w:t xml:space="preserve">Ministère de l'Emploi et du Travail</w:t>
      </w:r>
      <w:r>
        <w:rPr>
          <w:rFonts w:ascii="Calibri" w:cs="Calibri" w:eastAsia="Calibri" w:hAnsi="Calibri"/>
          <w:color w:val="000000"/>
          <w:sz w:val="19"/>
          <w:szCs w:val="19"/>
        </w:rPr>
        <w:t xml:space="preserve"> — Inspection Générale du Travail · </w:t>
      </w:r>
      <w:r>
        <w:rPr>
          <w:rFonts w:ascii="Calibri" w:cs="Calibri" w:eastAsia="Calibri" w:hAnsi="Calibri"/>
          <w:b/>
          <w:bCs/>
          <w:color w:val="000000"/>
          <w:sz w:val="19"/>
          <w:szCs w:val="19"/>
        </w:rPr>
        <w:t xml:space="preserve">MESRS</w:t>
      </w:r>
      <w:r>
        <w:rPr>
          <w:rFonts w:ascii="Calibri" w:cs="Calibri" w:eastAsia="Calibri" w:hAnsi="Calibri"/>
          <w:color w:val="000000"/>
          <w:sz w:val="19"/>
          <w:szCs w:val="19"/>
        </w:rPr>
        <w:t xml:space="preserve"> — Institut de Recherche en Environnement de Guinée · </w:t>
      </w:r>
      <w:r>
        <w:rPr>
          <w:rFonts w:ascii="Calibri" w:cs="Calibri" w:eastAsia="Calibri" w:hAnsi="Calibri"/>
          <w:b/>
          <w:bCs/>
          <w:color w:val="000000"/>
          <w:sz w:val="19"/>
          <w:szCs w:val="19"/>
        </w:rPr>
        <w:t xml:space="preserve">Société civile</w:t>
      </w:r>
      <w:r>
        <w:rPr>
          <w:rFonts w:ascii="Calibri" w:cs="Calibri" w:eastAsia="Calibri" w:hAnsi="Calibri"/>
          <w:color w:val="000000"/>
          <w:sz w:val="19"/>
          <w:szCs w:val="19"/>
        </w:rPr>
        <w:t xml:space="preserve"> — ONG Action Mines Guinée · </w:t>
      </w:r>
      <w:r>
        <w:rPr>
          <w:rFonts w:ascii="Calibri" w:cs="Calibri" w:eastAsia="Calibri" w:hAnsi="Calibri"/>
          <w:b/>
          <w:bCs/>
          <w:color w:val="000000"/>
          <w:sz w:val="19"/>
          <w:szCs w:val="19"/>
        </w:rPr>
        <w:t xml:space="preserve">Promoteur</w:t>
      </w:r>
      <w:r>
        <w:rPr>
          <w:rFonts w:ascii="Calibri" w:cs="Calibri" w:eastAsia="Calibri" w:hAnsi="Calibri"/>
          <w:color w:val="000000"/>
          <w:sz w:val="19"/>
          <w:szCs w:val="19"/>
        </w:rPr>
        <w:t xml:space="preserve"> — KAMA SA (M. Namory BAKAYOKO) · </w:t>
      </w:r>
      <w:r>
        <w:rPr>
          <w:rFonts w:ascii="Calibri" w:cs="Calibri" w:eastAsia="Calibri" w:hAnsi="Calibri"/>
          <w:b/>
          <w:bCs/>
          <w:color w:val="000000"/>
          <w:sz w:val="19"/>
          <w:szCs w:val="19"/>
        </w:rPr>
        <w:t xml:space="preserve">Consultant</w:t>
      </w:r>
      <w:r>
        <w:rPr>
          <w:rFonts w:ascii="Calibri" w:cs="Calibri" w:eastAsia="Calibri" w:hAnsi="Calibri"/>
          <w:color w:val="000000"/>
          <w:sz w:val="19"/>
          <w:szCs w:val="19"/>
        </w:rPr>
        <w:t xml:space="preserve"> — CGDEM-AEDD SARLU (Dr Mindri IDANI).</w:t>
      </w:r>
    </w:p>
    <w:p>
      <w:pPr>
        <w:spacing w:after="0" w:before="0" w:line="230"/>
        <w:jc w:val="both"/>
      </w:pPr>
      <w:r>
        <w:rPr>
          <w:rFonts w:ascii="Calibri" w:cs="Calibri" w:eastAsia="Calibri" w:hAnsi="Calibri"/>
          <w:b/>
          <w:bCs/>
          <w:color w:val="000000"/>
          <w:sz w:val="19"/>
          <w:szCs w:val="19"/>
        </w:rPr>
        <w:t xml:space="preserve">Ordre du jour (9 points) : </w:t>
      </w:r>
      <w:r>
        <w:rPr>
          <w:rFonts w:ascii="Calibri" w:cs="Calibri" w:eastAsia="Calibri" w:hAnsi="Calibri"/>
          <w:color w:val="000000"/>
          <w:sz w:val="19"/>
          <w:szCs w:val="19"/>
        </w:rPr>
        <w:t xml:space="preserve">installation des membres ; allocution de la représentante du DG de l'AGEE ; allocution du Président de séance ; présentation du contenu du rapport ; commentaires des membres ; réponses du Consultant et du Promoteur ; amendement et adoption du PV ; délibération ; clôture. L'exposé du consultant a porté sur le projet de Kéno, la NIES (état des lieux et impacts), le PGES et ses sous-plans, le PAR et le PRMS, le suivi et la gouvernance.</w:t>
      </w:r>
    </w:p>
    <w:p>
      <w:pPr>
        <w:pBdr>
          <w:bottom w:val="single" w:color="2E74B5" w:sz="8" w:space="2"/>
        </w:pBdr>
        <w:spacing w:after="90" w:before="200"/>
      </w:pPr>
      <w:r>
        <w:rPr>
          <w:rFonts w:ascii="Calibri" w:cs="Calibri" w:eastAsia="Calibri" w:hAnsi="Calibri"/>
          <w:b/>
          <w:bCs/>
          <w:color w:val="2E74B5"/>
          <w:sz w:val="21"/>
          <w:szCs w:val="21"/>
        </w:rPr>
        <w:t xml:space="preserve">A2. </w:t>
      </w:r>
      <w:r>
        <w:rPr>
          <w:rFonts w:ascii="Calibri" w:cs="Calibri" w:eastAsia="Calibri" w:hAnsi="Calibri"/>
          <w:b/>
          <w:bCs/>
          <w:color w:val="1F3864"/>
          <w:sz w:val="21"/>
          <w:szCs w:val="21"/>
        </w:rPr>
        <w:t xml:space="preserve">LES 60 RECOMMANDATIONS FORMULÉES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7546"/>
      </w:tblGrid>
      <w:tr>
        <w:trPr>
          <w:tblHeader/>
        </w:trPr>
        <w:tc>
          <w:tcPr>
            <w:tcW w:type="dxa" w:w="1300"/>
            <w:tcBorders>
              <w:top w:val="single" w:color="BFBFBF" w:sz="4"/>
              <w:left w:val="single" w:color="BFBFBF" w:sz="4"/>
              <w:bottom w:val="single" w:color="BFBFBF" w:sz="4"/>
              <w:right w:val="single" w:color="BFBFBF" w:sz="4"/>
            </w:tcBorders>
            <w:shd w:fill="1F3864" w:color="auto" w:val="clear"/>
            <w:tcMar>
              <w:top w:type="dxa" w:w="36"/>
              <w:left w:type="dxa" w:w="70"/>
              <w:bottom w:type="dxa" w:w="36"/>
              <w:right w:type="dxa" w:w="70"/>
            </w:tcMar>
            <w:vAlign w:val="center"/>
          </w:tcPr>
          <w:p>
            <w:pPr>
              <w:spacing w:after="26" w:before="26" w:line="216"/>
              <w:jc w:val="center"/>
            </w:pPr>
            <w:r>
              <w:rPr>
                <w:rFonts w:ascii="Calibri" w:cs="Calibri" w:eastAsia="Calibri" w:hAnsi="Calibri"/>
                <w:b/>
                <w:bCs/>
                <w:color w:val="FFFFFF"/>
                <w:sz w:val="17"/>
                <w:szCs w:val="17"/>
              </w:rPr>
              <w:t xml:space="preserve">Volet</w:t>
            </w:r>
          </w:p>
        </w:tc>
        <w:tc>
          <w:tcPr>
            <w:tcW w:type="dxa" w:w="900"/>
            <w:tcBorders>
              <w:top w:val="single" w:color="BFBFBF" w:sz="4"/>
              <w:left w:val="single" w:color="BFBFBF" w:sz="4"/>
              <w:bottom w:val="single" w:color="BFBFBF" w:sz="4"/>
              <w:right w:val="single" w:color="BFBFBF" w:sz="4"/>
            </w:tcBorders>
            <w:shd w:fill="1F3864" w:color="auto" w:val="clear"/>
            <w:tcMar>
              <w:top w:type="dxa" w:w="36"/>
              <w:left w:type="dxa" w:w="70"/>
              <w:bottom w:type="dxa" w:w="36"/>
              <w:right w:type="dxa" w:w="70"/>
            </w:tcMar>
            <w:vAlign w:val="center"/>
          </w:tcPr>
          <w:p>
            <w:pPr>
              <w:spacing w:after="26" w:before="26" w:line="216"/>
              <w:jc w:val="center"/>
            </w:pPr>
            <w:r>
              <w:rPr>
                <w:rFonts w:ascii="Calibri" w:cs="Calibri" w:eastAsia="Calibri" w:hAnsi="Calibri"/>
                <w:b/>
                <w:bCs/>
                <w:color w:val="FFFFFF"/>
                <w:sz w:val="17"/>
                <w:szCs w:val="17"/>
              </w:rPr>
              <w:t xml:space="preserve">Nombre</w:t>
            </w:r>
          </w:p>
        </w:tc>
        <w:tc>
          <w:tcPr>
            <w:tcW w:type="dxa" w:w="7546"/>
            <w:tcBorders>
              <w:top w:val="single" w:color="BFBFBF" w:sz="4"/>
              <w:left w:val="single" w:color="BFBFBF" w:sz="4"/>
              <w:bottom w:val="single" w:color="BFBFBF" w:sz="4"/>
              <w:right w:val="single" w:color="BFBFBF" w:sz="4"/>
            </w:tcBorders>
            <w:shd w:fill="1F3864" w:color="auto" w:val="clear"/>
            <w:tcMar>
              <w:top w:type="dxa" w:w="36"/>
              <w:left w:type="dxa" w:w="70"/>
              <w:bottom w:type="dxa" w:w="36"/>
              <w:right w:type="dxa" w:w="70"/>
            </w:tcMar>
            <w:vAlign w:val="center"/>
          </w:tcPr>
          <w:p>
            <w:pPr>
              <w:spacing w:after="26" w:before="26" w:line="216"/>
              <w:jc w:val="center"/>
            </w:pPr>
            <w:r>
              <w:rPr>
                <w:rFonts w:ascii="Calibri" w:cs="Calibri" w:eastAsia="Calibri" w:hAnsi="Calibri"/>
                <w:b/>
                <w:bCs/>
                <w:color w:val="FFFFFF"/>
                <w:sz w:val="17"/>
                <w:szCs w:val="17"/>
              </w:rPr>
              <w:t xml:space="preserve">Principales demandes</w:t>
            </w:r>
          </w:p>
        </w:tc>
      </w:tr>
      <w:tr>
        <w:trPr>
          <w:tblHeader w:val="false"/>
        </w:trPr>
        <w:tc>
          <w:tcPr>
            <w:tcW w:type="dxa" w:w="1300"/>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b/>
                <w:bCs/>
                <w:color w:val="000000"/>
                <w:sz w:val="17"/>
                <w:szCs w:val="17"/>
              </w:rPr>
              <w:t xml:space="preserve">NIES — forme</w:t>
            </w:r>
          </w:p>
        </w:tc>
        <w:tc>
          <w:tcPr>
            <w:tcW w:type="dxa" w:w="900"/>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jc w:val="center"/>
            </w:pPr>
            <w:r>
              <w:rPr>
                <w:rFonts w:ascii="Calibri" w:cs="Calibri" w:eastAsia="Calibri" w:hAnsi="Calibri"/>
                <w:b/>
                <w:bCs/>
                <w:color w:val="000000"/>
                <w:sz w:val="17"/>
                <w:szCs w:val="17"/>
              </w:rPr>
              <w:t xml:space="preserve">10</w:t>
            </w:r>
          </w:p>
        </w:tc>
        <w:tc>
          <w:tcPr>
            <w:tcW w:type="dxa" w:w="7546"/>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Armoirie de la République en page de garde ; restructuration du rapport conformément à l'article 25 de l'Arrêté 1595 ; correction des coquilles (p. 118-129) ; annexer la liste des participants, les PV de consultations publiques et les TdR ; harmonisation des sigles et légendes ; ordonnancement juridique (p. 43) ; numérotation et puces (p. 24-29).</w:t>
            </w:r>
          </w:p>
        </w:tc>
      </w:tr>
      <w:tr>
        <w:trPr>
          <w:tblHeader w:val="false"/>
        </w:trPr>
        <w:tc>
          <w:tcPr>
            <w:tcW w:type="dxa" w:w="1300"/>
            <w:tcBorders>
              <w:top w:val="single" w:color="BFBFBF" w:sz="4"/>
              <w:left w:val="single" w:color="BFBFBF" w:sz="4"/>
              <w:bottom w:val="single" w:color="BFBFBF" w:sz="4"/>
              <w:right w:val="single" w:color="BFBFBF" w:sz="4"/>
            </w:tcBorders>
            <w:shd w:fill="F4F8FC" w:color="auto" w:val="clear"/>
            <w:tcMar>
              <w:top w:type="dxa" w:w="36"/>
              <w:left w:type="dxa" w:w="70"/>
              <w:bottom w:type="dxa" w:w="36"/>
              <w:right w:type="dxa" w:w="70"/>
            </w:tcMar>
            <w:vAlign w:val="center"/>
          </w:tcPr>
          <w:p>
            <w:pPr>
              <w:spacing w:after="26" w:before="26" w:line="216"/>
            </w:pPr>
            <w:r>
              <w:rPr>
                <w:rFonts w:ascii="Calibri" w:cs="Calibri" w:eastAsia="Calibri" w:hAnsi="Calibri"/>
                <w:b/>
                <w:bCs/>
                <w:color w:val="000000"/>
                <w:sz w:val="17"/>
                <w:szCs w:val="17"/>
              </w:rPr>
              <w:t xml:space="preserve">NIES — fond</w:t>
            </w:r>
          </w:p>
        </w:tc>
        <w:tc>
          <w:tcPr>
            <w:tcW w:type="dxa" w:w="900"/>
            <w:tcBorders>
              <w:top w:val="single" w:color="BFBFBF" w:sz="4"/>
              <w:left w:val="single" w:color="BFBFBF" w:sz="4"/>
              <w:bottom w:val="single" w:color="BFBFBF" w:sz="4"/>
              <w:right w:val="single" w:color="BFBFBF" w:sz="4"/>
            </w:tcBorders>
            <w:shd w:fill="F4F8FC" w:color="auto" w:val="clear"/>
            <w:tcMar>
              <w:top w:type="dxa" w:w="36"/>
              <w:left w:type="dxa" w:w="70"/>
              <w:bottom w:type="dxa" w:w="36"/>
              <w:right w:type="dxa" w:w="70"/>
            </w:tcMar>
            <w:vAlign w:val="center"/>
          </w:tcPr>
          <w:p>
            <w:pPr>
              <w:spacing w:after="26" w:before="26" w:line="216"/>
              <w:jc w:val="center"/>
            </w:pPr>
            <w:r>
              <w:rPr>
                <w:rFonts w:ascii="Calibri" w:cs="Calibri" w:eastAsia="Calibri" w:hAnsi="Calibri"/>
                <w:b/>
                <w:bCs/>
                <w:color w:val="000000"/>
                <w:sz w:val="17"/>
                <w:szCs w:val="17"/>
              </w:rPr>
              <w:t xml:space="preserve">42</w:t>
            </w:r>
          </w:p>
        </w:tc>
        <w:tc>
          <w:tcPr>
            <w:tcW w:type="dxa" w:w="7546"/>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Chapitre méthodologique dédié ; amélioration du résumé non technique ; analyse des variantes selon la hiérarchie d'atténuation et justification du scénario « sans projet » ; conversion du coût du PGES en GNF et harmonisation (p. 150 et s.) ; actualisation du cadre juridique (Arrêtés 1595 et 4114, Accord de Paris, Simandou 2040, code de l'eau, collectivités locales, loi d'orientation agricole, retrait de la NP7 SFI) et institutionnel (MATD, MAHH, DNH, DG Météorologie) ; dispositif de suivi de la stabilité des ouvrages (p. 24-27) ; surveillance des pollutions liées à l'orpaillage (p. 74-75) et impacts cumulatifs (p. 116) ; actualisation démographique au RGPH-4 ; refonte de l'évaluation des impacts avec dissociation impacts initiaux / résiduels (p. 107-117) ; noms scientifiques des espèces (p. 115) ; chaîne de gestion des déchets (p. 131-133) ; recalcul des émissions de GES et compensation des zones de séquestration (p. 132-138) ; harmonisation de la durée de vie du projet ; grille de compensation validée ; scénarios climatiques et mesures d'adaptation ; services écosystémiques ; campagnes couvrant au minimum deux saisons ; indicateurs écologiques et cartographie des habitats sensibles ; étude spécifique d'écologie aquatique ; impacts sur les habitats naturels et espèces à statut ; mesures concrètes sur les impacts transfrontaliers ; analyse des alternatives de transport de la production (p. 60).</w:t>
            </w:r>
          </w:p>
        </w:tc>
      </w:tr>
      <w:tr>
        <w:trPr>
          <w:tblHeader w:val="false"/>
        </w:trPr>
        <w:tc>
          <w:tcPr>
            <w:tcW w:type="dxa" w:w="1300"/>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b/>
                <w:bCs/>
                <w:color w:val="000000"/>
                <w:sz w:val="17"/>
                <w:szCs w:val="17"/>
              </w:rPr>
              <w:t xml:space="preserve">PARC — forme</w:t>
            </w:r>
          </w:p>
        </w:tc>
        <w:tc>
          <w:tcPr>
            <w:tcW w:type="dxa" w:w="900"/>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jc w:val="center"/>
            </w:pPr>
            <w:r>
              <w:rPr>
                <w:rFonts w:ascii="Calibri" w:cs="Calibri" w:eastAsia="Calibri" w:hAnsi="Calibri"/>
                <w:b/>
                <w:bCs/>
                <w:color w:val="000000"/>
                <w:sz w:val="17"/>
                <w:szCs w:val="17"/>
              </w:rPr>
              <w:t xml:space="preserve">4</w:t>
            </w:r>
          </w:p>
        </w:tc>
        <w:tc>
          <w:tcPr>
            <w:tcW w:type="dxa" w:w="7546"/>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Logo du Ministère de l'Énergie en page de garde ; tableau nominatif des PAP ; modèles de PV et formulaires signés avec traduction orale documentée pour les 54 % de personnes analphabètes ; fiches de PV de négociation individuelle, PV de consultation et de réunion, listes de participants.</w:t>
            </w:r>
          </w:p>
        </w:tc>
      </w:tr>
      <w:tr>
        <w:trPr>
          <w:tblHeader w:val="false"/>
        </w:trPr>
        <w:tc>
          <w:tcPr>
            <w:tcW w:type="dxa" w:w="1300"/>
            <w:tcBorders>
              <w:top w:val="single" w:color="BFBFBF" w:sz="4"/>
              <w:left w:val="single" w:color="BFBFBF" w:sz="4"/>
              <w:bottom w:val="single" w:color="BFBFBF" w:sz="4"/>
              <w:right w:val="single" w:color="BFBFBF" w:sz="4"/>
            </w:tcBorders>
            <w:shd w:fill="F4F8FC" w:color="auto" w:val="clear"/>
            <w:tcMar>
              <w:top w:type="dxa" w:w="36"/>
              <w:left w:type="dxa" w:w="70"/>
              <w:bottom w:type="dxa" w:w="36"/>
              <w:right w:type="dxa" w:w="70"/>
            </w:tcMar>
            <w:vAlign w:val="center"/>
          </w:tcPr>
          <w:p>
            <w:pPr>
              <w:spacing w:after="26" w:before="26" w:line="216"/>
            </w:pPr>
            <w:r>
              <w:rPr>
                <w:rFonts w:ascii="Calibri" w:cs="Calibri" w:eastAsia="Calibri" w:hAnsi="Calibri"/>
                <w:b/>
                <w:bCs/>
                <w:color w:val="000000"/>
                <w:sz w:val="17"/>
                <w:szCs w:val="17"/>
              </w:rPr>
              <w:t xml:space="preserve">PARC — fond</w:t>
            </w:r>
          </w:p>
        </w:tc>
        <w:tc>
          <w:tcPr>
            <w:tcW w:type="dxa" w:w="900"/>
            <w:tcBorders>
              <w:top w:val="single" w:color="BFBFBF" w:sz="4"/>
              <w:left w:val="single" w:color="BFBFBF" w:sz="4"/>
              <w:bottom w:val="single" w:color="BFBFBF" w:sz="4"/>
              <w:right w:val="single" w:color="BFBFBF" w:sz="4"/>
            </w:tcBorders>
            <w:shd w:fill="F4F8FC" w:color="auto" w:val="clear"/>
            <w:tcMar>
              <w:top w:type="dxa" w:w="36"/>
              <w:left w:type="dxa" w:w="70"/>
              <w:bottom w:type="dxa" w:w="36"/>
              <w:right w:type="dxa" w:w="70"/>
            </w:tcMar>
            <w:vAlign w:val="center"/>
          </w:tcPr>
          <w:p>
            <w:pPr>
              <w:spacing w:after="26" w:before="26" w:line="216"/>
              <w:jc w:val="center"/>
            </w:pPr>
            <w:r>
              <w:rPr>
                <w:rFonts w:ascii="Calibri" w:cs="Calibri" w:eastAsia="Calibri" w:hAnsi="Calibri"/>
                <w:b/>
                <w:bCs/>
                <w:color w:val="000000"/>
                <w:sz w:val="17"/>
                <w:szCs w:val="17"/>
              </w:rPr>
              <w:t xml:space="preserve">4</w:t>
            </w:r>
          </w:p>
        </w:tc>
        <w:tc>
          <w:tcPr>
            <w:tcW w:type="dxa" w:w="7546"/>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pPr>
            <w:r>
              <w:rPr>
                <w:rFonts w:ascii="Calibri" w:cs="Calibri" w:eastAsia="Calibri" w:hAnsi="Calibri"/>
                <w:color w:val="000000"/>
                <w:sz w:val="17"/>
                <w:szCs w:val="17"/>
              </w:rPr>
              <w:t xml:space="preserve">Fiches filières détaillées (intrants, rendements attendus, marchés, accompagnement technique) adaptées au profil des PAP ; actualisation du cadre institutionnel avec la Direction Préfectorale de l'Agriculture et de l'Élevage (p. 7) ; harmonisation de la surface de cultures vivrières (p. 39 et s.) ; harmonisation des périodes de consultations publiques (p. 65 et s.).</w:t>
            </w:r>
          </w:p>
        </w:tc>
      </w:tr>
    </w:tbl>
    <w:p>
      <w:pPr>
        <w:pBdr>
          <w:bottom w:val="single" w:color="2E74B5" w:sz="8" w:space="2"/>
        </w:pBdr>
        <w:spacing w:after="90" w:before="200"/>
      </w:pPr>
      <w:r>
        <w:rPr>
          <w:rFonts w:ascii="Calibri" w:cs="Calibri" w:eastAsia="Calibri" w:hAnsi="Calibri"/>
          <w:b/>
          <w:bCs/>
          <w:color w:val="2E74B5"/>
          <w:sz w:val="21"/>
          <w:szCs w:val="21"/>
        </w:rPr>
        <w:t xml:space="preserve">A3. </w:t>
      </w:r>
      <w:r>
        <w:rPr>
          <w:rFonts w:ascii="Calibri" w:cs="Calibri" w:eastAsia="Calibri" w:hAnsi="Calibri"/>
          <w:b/>
          <w:bCs/>
          <w:color w:val="1F3864"/>
          <w:sz w:val="21"/>
          <w:szCs w:val="21"/>
        </w:rPr>
        <w:t xml:space="preserve">CONCLUSION DU PROCÈS-VERBAL</w:t>
      </w:r>
    </w:p>
    <w:p>
      <w:pPr>
        <w:pStyle w:val="ListParagraph"/>
        <w:numPr>
          <w:ilvl w:val="0"/>
          <w:numId w:val="2"/>
        </w:numPr>
        <w:spacing w:after="40" w:line="228"/>
      </w:pPr>
      <w:r>
        <w:rPr>
          <w:rFonts w:ascii="Calibri" w:cs="Calibri" w:eastAsia="Calibri" w:hAnsi="Calibri"/>
          <w:color w:val="000000"/>
          <w:sz w:val="18"/>
          <w:szCs w:val="18"/>
        </w:rPr>
        <w:t xml:space="preserve">Après examen et analyse, le rapport est jugé </w:t>
      </w:r>
      <w:r>
        <w:rPr>
          <w:rFonts w:ascii="Calibri" w:cs="Calibri" w:eastAsia="Calibri" w:hAnsi="Calibri"/>
          <w:b/>
          <w:bCs/>
          <w:color w:val="1E6B3A"/>
          <w:sz w:val="18"/>
          <w:szCs w:val="18"/>
        </w:rPr>
        <w:t xml:space="preserve">recevable</w:t>
      </w:r>
      <w:r>
        <w:rPr>
          <w:rFonts w:ascii="Calibri" w:cs="Calibri" w:eastAsia="Calibri" w:hAnsi="Calibri"/>
          <w:color w:val="000000"/>
          <w:sz w:val="18"/>
          <w:szCs w:val="18"/>
        </w:rPr>
        <w:t xml:space="preserve">.</w:t>
      </w:r>
    </w:p>
    <w:p>
      <w:pPr>
        <w:pStyle w:val="ListParagraph"/>
        <w:numPr>
          <w:ilvl w:val="0"/>
          <w:numId w:val="2"/>
        </w:numPr>
        <w:spacing w:after="40" w:line="228"/>
      </w:pPr>
      <w:r>
        <w:rPr>
          <w:rFonts w:ascii="Calibri" w:cs="Calibri" w:eastAsia="Calibri" w:hAnsi="Calibri"/>
          <w:color w:val="000000"/>
          <w:sz w:val="18"/>
          <w:szCs w:val="18"/>
        </w:rPr>
        <w:t xml:space="preserve">La délivrance de l'Autorisation Environnementale </w:t>
      </w:r>
      <w:r>
        <w:rPr>
          <w:rFonts w:ascii="Calibri" w:cs="Calibri" w:eastAsia="Calibri" w:hAnsi="Calibri"/>
          <w:b/>
          <w:bCs/>
          <w:color w:val="000000"/>
          <w:sz w:val="18"/>
          <w:szCs w:val="18"/>
        </w:rPr>
        <w:t xml:space="preserve">dépend de la prise en compte effective</w:t>
      </w:r>
      <w:r>
        <w:rPr>
          <w:rFonts w:ascii="Calibri" w:cs="Calibri" w:eastAsia="Calibri" w:hAnsi="Calibri"/>
          <w:color w:val="000000"/>
          <w:sz w:val="18"/>
          <w:szCs w:val="18"/>
        </w:rPr>
        <w:t xml:space="preserve"> des recommandations, lesquelles sont jointes au PV et en font partie intégrante.</w:t>
      </w:r>
    </w:p>
    <w:p>
      <w:pPr>
        <w:pStyle w:val="ListParagraph"/>
        <w:numPr>
          <w:ilvl w:val="0"/>
          <w:numId w:val="2"/>
        </w:numPr>
        <w:spacing w:after="40" w:line="228"/>
      </w:pPr>
      <w:r>
        <w:rPr>
          <w:rFonts w:ascii="Calibri" w:cs="Calibri" w:eastAsia="Calibri" w:hAnsi="Calibri"/>
          <w:color w:val="000000"/>
          <w:sz w:val="18"/>
          <w:szCs w:val="18"/>
        </w:rPr>
        <w:t xml:space="preserve">La version finale du rapport doit être accompagnée d'une </w:t>
      </w:r>
      <w:r>
        <w:rPr>
          <w:rFonts w:ascii="Calibri" w:cs="Calibri" w:eastAsia="Calibri" w:hAnsi="Calibri"/>
          <w:b/>
          <w:bCs/>
          <w:color w:val="000000"/>
          <w:sz w:val="18"/>
          <w:szCs w:val="18"/>
        </w:rPr>
        <w:t xml:space="preserve">fiche attestant l'intégration</w:t>
      </w:r>
      <w:r>
        <w:rPr>
          <w:rFonts w:ascii="Calibri" w:cs="Calibri" w:eastAsia="Calibri" w:hAnsi="Calibri"/>
          <w:color w:val="000000"/>
          <w:sz w:val="18"/>
          <w:szCs w:val="18"/>
        </w:rPr>
        <w:t xml:space="preserve"> de ces recommandations.</w:t>
      </w:r>
    </w:p>
    <w:p>
      <w:pPr>
        <w:pStyle w:val="ListParagraph"/>
        <w:numPr>
          <w:ilvl w:val="0"/>
          <w:numId w:val="2"/>
        </w:numPr>
        <w:spacing w:after="40" w:line="228"/>
      </w:pPr>
      <w:r>
        <w:rPr>
          <w:rFonts w:ascii="Calibri" w:cs="Calibri" w:eastAsia="Calibri" w:hAnsi="Calibri"/>
          <w:color w:val="000000"/>
          <w:sz w:val="18"/>
          <w:szCs w:val="18"/>
        </w:rPr>
        <w:t xml:space="preserve">Un </w:t>
      </w:r>
      <w:r>
        <w:rPr>
          <w:rFonts w:ascii="Calibri" w:cs="Calibri" w:eastAsia="Calibri" w:hAnsi="Calibri"/>
          <w:b/>
          <w:bCs/>
          <w:color w:val="000000"/>
          <w:sz w:val="18"/>
          <w:szCs w:val="18"/>
        </w:rPr>
        <w:t xml:space="preserve">comité restreint du CTAE, sous la coordination de l'AGEE</w:t>
      </w:r>
      <w:r>
        <w:rPr>
          <w:rFonts w:ascii="Calibri" w:cs="Calibri" w:eastAsia="Calibri" w:hAnsi="Calibri"/>
          <w:color w:val="000000"/>
          <w:sz w:val="18"/>
          <w:szCs w:val="18"/>
        </w:rPr>
        <w:t xml:space="preserve">, sera mis en place pour vérifier la conformité du document, à la charge du Promoteur.</w:t>
      </w:r>
    </w:p>
    <w:p>
      <w:pPr>
        <w:pBdr>
          <w:bottom w:val="single" w:color="2E74B5" w:sz="8" w:space="2"/>
        </w:pBdr>
        <w:spacing w:after="90" w:before="200"/>
      </w:pPr>
      <w:r>
        <w:rPr>
          <w:rFonts w:ascii="Calibri" w:cs="Calibri" w:eastAsia="Calibri" w:hAnsi="Calibri"/>
          <w:b/>
          <w:bCs/>
          <w:color w:val="2E74B5"/>
          <w:sz w:val="21"/>
          <w:szCs w:val="21"/>
        </w:rPr>
        <w:t xml:space="preserve">A4. </w:t>
      </w:r>
      <w:r>
        <w:rPr>
          <w:rFonts w:ascii="Calibri" w:cs="Calibri" w:eastAsia="Calibri" w:hAnsi="Calibri"/>
          <w:b/>
          <w:bCs/>
          <w:color w:val="1F3864"/>
          <w:sz w:val="21"/>
          <w:szCs w:val="21"/>
        </w:rPr>
        <w:t xml:space="preserve">SIGNATAIRES DU PROCÈS-VERBAL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7"/>
        <w:gridCol w:w="2437"/>
      </w:tblGrid>
      <w:tr>
        <w:trPr>
          <w:tblHeader/>
        </w:trPr>
        <w:tc>
          <w:tcPr>
            <w:tcW w:type="dxa" w:w="2436"/>
            <w:tcBorders>
              <w:top w:val="single" w:color="BFBFBF" w:sz="4"/>
              <w:left w:val="single" w:color="BFBFBF" w:sz="4"/>
              <w:bottom w:val="single" w:color="BFBFBF" w:sz="4"/>
              <w:right w:val="single" w:color="BFBFBF" w:sz="4"/>
            </w:tcBorders>
            <w:shd w:fill="DEEAF6" w:color="auto" w:val="clear"/>
            <w:tcMar>
              <w:top w:type="dxa" w:w="36"/>
              <w:left w:type="dxa" w:w="70"/>
              <w:bottom w:type="dxa" w:w="36"/>
              <w:right w:type="dxa" w:w="70"/>
            </w:tcMar>
            <w:vAlign w:val="center"/>
          </w:tcPr>
          <w:p>
            <w:pPr>
              <w:spacing w:after="26" w:before="26" w:line="216"/>
              <w:jc w:val="center"/>
            </w:pPr>
            <w:r>
              <w:rPr>
                <w:rFonts w:ascii="Calibri" w:cs="Calibri" w:eastAsia="Calibri" w:hAnsi="Calibri"/>
                <w:b/>
                <w:bCs/>
                <w:color w:val="000000"/>
                <w:sz w:val="17"/>
                <w:szCs w:val="17"/>
              </w:rPr>
              <w:t xml:space="preserve">Président</w:t>
            </w:r>
          </w:p>
        </w:tc>
        <w:tc>
          <w:tcPr>
            <w:tcW w:type="dxa" w:w="2436"/>
            <w:tcBorders>
              <w:top w:val="single" w:color="BFBFBF" w:sz="4"/>
              <w:left w:val="single" w:color="BFBFBF" w:sz="4"/>
              <w:bottom w:val="single" w:color="BFBFBF" w:sz="4"/>
              <w:right w:val="single" w:color="BFBFBF" w:sz="4"/>
            </w:tcBorders>
            <w:shd w:fill="DEEAF6" w:color="auto" w:val="clear"/>
            <w:tcMar>
              <w:top w:type="dxa" w:w="36"/>
              <w:left w:type="dxa" w:w="70"/>
              <w:bottom w:type="dxa" w:w="36"/>
              <w:right w:type="dxa" w:w="70"/>
            </w:tcMar>
            <w:vAlign w:val="center"/>
          </w:tcPr>
          <w:p>
            <w:pPr>
              <w:spacing w:after="26" w:before="26" w:line="216"/>
              <w:jc w:val="center"/>
            </w:pPr>
            <w:r>
              <w:rPr>
                <w:rFonts w:ascii="Calibri" w:cs="Calibri" w:eastAsia="Calibri" w:hAnsi="Calibri"/>
                <w:b/>
                <w:bCs/>
                <w:color w:val="000000"/>
                <w:sz w:val="17"/>
                <w:szCs w:val="17"/>
              </w:rPr>
              <w:t xml:space="preserve">1er Assesseur</w:t>
            </w:r>
          </w:p>
        </w:tc>
        <w:tc>
          <w:tcPr>
            <w:tcW w:type="dxa" w:w="2437"/>
            <w:tcBorders>
              <w:top w:val="single" w:color="BFBFBF" w:sz="4"/>
              <w:left w:val="single" w:color="BFBFBF" w:sz="4"/>
              <w:bottom w:val="single" w:color="BFBFBF" w:sz="4"/>
              <w:right w:val="single" w:color="BFBFBF" w:sz="4"/>
            </w:tcBorders>
            <w:shd w:fill="DEEAF6" w:color="auto" w:val="clear"/>
            <w:tcMar>
              <w:top w:type="dxa" w:w="36"/>
              <w:left w:type="dxa" w:w="70"/>
              <w:bottom w:type="dxa" w:w="36"/>
              <w:right w:type="dxa" w:w="70"/>
            </w:tcMar>
            <w:vAlign w:val="center"/>
          </w:tcPr>
          <w:p>
            <w:pPr>
              <w:spacing w:after="26" w:before="26" w:line="216"/>
              <w:jc w:val="center"/>
            </w:pPr>
            <w:r>
              <w:rPr>
                <w:rFonts w:ascii="Calibri" w:cs="Calibri" w:eastAsia="Calibri" w:hAnsi="Calibri"/>
                <w:b/>
                <w:bCs/>
                <w:color w:val="000000"/>
                <w:sz w:val="17"/>
                <w:szCs w:val="17"/>
              </w:rPr>
              <w:t xml:space="preserve">2e Assesseur</w:t>
            </w:r>
          </w:p>
        </w:tc>
        <w:tc>
          <w:tcPr>
            <w:tcW w:type="dxa" w:w="2437"/>
            <w:tcBorders>
              <w:top w:val="single" w:color="BFBFBF" w:sz="4"/>
              <w:left w:val="single" w:color="BFBFBF" w:sz="4"/>
              <w:bottom w:val="single" w:color="BFBFBF" w:sz="4"/>
              <w:right w:val="single" w:color="BFBFBF" w:sz="4"/>
            </w:tcBorders>
            <w:shd w:fill="DEEAF6" w:color="auto" w:val="clear"/>
            <w:tcMar>
              <w:top w:type="dxa" w:w="36"/>
              <w:left w:type="dxa" w:w="70"/>
              <w:bottom w:type="dxa" w:w="36"/>
              <w:right w:type="dxa" w:w="70"/>
            </w:tcMar>
            <w:vAlign w:val="center"/>
          </w:tcPr>
          <w:p>
            <w:pPr>
              <w:spacing w:after="26" w:before="26" w:line="216"/>
              <w:jc w:val="center"/>
            </w:pPr>
            <w:r>
              <w:rPr>
                <w:rFonts w:ascii="Calibri" w:cs="Calibri" w:eastAsia="Calibri" w:hAnsi="Calibri"/>
                <w:b/>
                <w:bCs/>
                <w:color w:val="000000"/>
                <w:sz w:val="17"/>
                <w:szCs w:val="17"/>
              </w:rPr>
              <w:t xml:space="preserve">Rapporteur</w:t>
            </w:r>
          </w:p>
        </w:tc>
      </w:tr>
      <w:tr>
        <w:trPr>
          <w:tblHeader w:val="false"/>
        </w:trPr>
        <w:tc>
          <w:tcPr>
            <w:tcW w:type="dxa" w:w="2436"/>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jc w:val="center"/>
            </w:pPr>
            <w:r>
              <w:rPr>
                <w:rFonts w:ascii="Calibri" w:cs="Calibri" w:eastAsia="Calibri" w:hAnsi="Calibri"/>
                <w:color w:val="000000"/>
                <w:sz w:val="17"/>
                <w:szCs w:val="17"/>
              </w:rPr>
              <w:t xml:space="preserve">M. Cyril ABOLY — Conseiller Juridique / MEDD</w:t>
            </w:r>
          </w:p>
        </w:tc>
        <w:tc>
          <w:tcPr>
            <w:tcW w:type="dxa" w:w="2436"/>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jc w:val="center"/>
            </w:pPr>
            <w:r>
              <w:rPr>
                <w:rFonts w:ascii="Calibri" w:cs="Calibri" w:eastAsia="Calibri" w:hAnsi="Calibri"/>
                <w:color w:val="000000"/>
                <w:sz w:val="17"/>
                <w:szCs w:val="17"/>
              </w:rPr>
              <w:t xml:space="preserve">M. Mamadou Bobo BAH — DNA / MATD</w:t>
            </w:r>
          </w:p>
        </w:tc>
        <w:tc>
          <w:tcPr>
            <w:tcW w:type="dxa" w:w="2437"/>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jc w:val="center"/>
            </w:pPr>
            <w:r>
              <w:rPr>
                <w:rFonts w:ascii="Calibri" w:cs="Calibri" w:eastAsia="Calibri" w:hAnsi="Calibri"/>
                <w:color w:val="000000"/>
                <w:sz w:val="17"/>
                <w:szCs w:val="17"/>
              </w:rPr>
              <w:t xml:space="preserve">M. Sanassy SIDIBE — BSD / Ministère de l'Énergie</w:t>
            </w:r>
          </w:p>
        </w:tc>
        <w:tc>
          <w:tcPr>
            <w:tcW w:type="dxa" w:w="2437"/>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jc w:val="center"/>
            </w:pPr>
            <w:r>
              <w:rPr>
                <w:rFonts w:ascii="Calibri" w:cs="Calibri" w:eastAsia="Calibri" w:hAnsi="Calibri"/>
                <w:color w:val="000000"/>
                <w:sz w:val="17"/>
                <w:szCs w:val="17"/>
              </w:rPr>
              <w:t xml:space="preserve">M. Sory DOUMBOUYA — AGEE</w:t>
            </w:r>
          </w:p>
        </w:tc>
      </w:tr>
      <w:tr>
        <w:trPr>
          <w:tblHeader w:val="false"/>
        </w:trPr>
        <w:tc>
          <w:tcPr>
            <w:tcW w:type="dxa" w:w="4872"/>
            <w:gridSpan w:val="2"/>
            <w:tcBorders>
              <w:top w:val="single" w:color="BFBFBF" w:sz="4"/>
              <w:left w:val="single" w:color="BFBFBF" w:sz="4"/>
              <w:bottom w:val="single" w:color="BFBFBF" w:sz="4"/>
              <w:right w:val="single" w:color="BFBFBF" w:sz="4"/>
            </w:tcBorders>
            <w:shd w:fill="DEEAF6" w:color="auto" w:val="clear"/>
            <w:tcMar>
              <w:top w:type="dxa" w:w="36"/>
              <w:left w:type="dxa" w:w="70"/>
              <w:bottom w:type="dxa" w:w="36"/>
              <w:right w:type="dxa" w:w="70"/>
            </w:tcMar>
            <w:vAlign w:val="center"/>
          </w:tcPr>
          <w:p>
            <w:pPr>
              <w:spacing w:after="26" w:before="26" w:line="216"/>
              <w:jc w:val="center"/>
            </w:pPr>
            <w:r>
              <w:rPr>
                <w:rFonts w:ascii="Calibri" w:cs="Calibri" w:eastAsia="Calibri" w:hAnsi="Calibri"/>
                <w:b/>
                <w:bCs/>
                <w:color w:val="000000"/>
                <w:sz w:val="17"/>
                <w:szCs w:val="17"/>
              </w:rPr>
              <w:t xml:space="preserve">Le Promoteur</w:t>
            </w:r>
          </w:p>
        </w:tc>
        <w:tc>
          <w:tcPr>
            <w:tcW w:type="dxa" w:w="4873"/>
            <w:gridSpan w:val="2"/>
            <w:tcBorders>
              <w:top w:val="single" w:color="BFBFBF" w:sz="4"/>
              <w:left w:val="single" w:color="BFBFBF" w:sz="4"/>
              <w:bottom w:val="single" w:color="BFBFBF" w:sz="4"/>
              <w:right w:val="single" w:color="BFBFBF" w:sz="4"/>
            </w:tcBorders>
            <w:shd w:fill="DEEAF6" w:color="auto" w:val="clear"/>
            <w:tcMar>
              <w:top w:type="dxa" w:w="36"/>
              <w:left w:type="dxa" w:w="70"/>
              <w:bottom w:type="dxa" w:w="36"/>
              <w:right w:type="dxa" w:w="70"/>
            </w:tcMar>
            <w:vAlign w:val="center"/>
          </w:tcPr>
          <w:p>
            <w:pPr>
              <w:spacing w:after="26" w:before="26" w:line="216"/>
              <w:jc w:val="center"/>
            </w:pPr>
            <w:r>
              <w:rPr>
                <w:rFonts w:ascii="Calibri" w:cs="Calibri" w:eastAsia="Calibri" w:hAnsi="Calibri"/>
                <w:b/>
                <w:bCs/>
                <w:color w:val="000000"/>
                <w:sz w:val="17"/>
                <w:szCs w:val="17"/>
              </w:rPr>
              <w:t xml:space="preserve">Le Consultant</w:t>
            </w:r>
          </w:p>
        </w:tc>
      </w:tr>
      <w:tr>
        <w:trPr>
          <w:tblHeader w:val="false"/>
        </w:trPr>
        <w:tc>
          <w:tcPr>
            <w:tcW w:type="dxa" w:w="4872"/>
            <w:gridSpan w:val="2"/>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jc w:val="center"/>
            </w:pPr>
            <w:r>
              <w:rPr>
                <w:rFonts w:ascii="Calibri" w:cs="Calibri" w:eastAsia="Calibri" w:hAnsi="Calibri"/>
                <w:color w:val="000000"/>
                <w:sz w:val="17"/>
                <w:szCs w:val="17"/>
              </w:rPr>
              <w:t xml:space="preserve">M. Namory BAKAYOKO — KAMA SA</w:t>
            </w:r>
          </w:p>
        </w:tc>
        <w:tc>
          <w:tcPr>
            <w:tcW w:type="dxa" w:w="4873"/>
            <w:gridSpan w:val="2"/>
            <w:tcBorders>
              <w:top w:val="single" w:color="BFBFBF" w:sz="4"/>
              <w:left w:val="single" w:color="BFBFBF" w:sz="4"/>
              <w:bottom w:val="single" w:color="BFBFBF" w:sz="4"/>
              <w:right w:val="single" w:color="BFBFBF" w:sz="4"/>
            </w:tcBorders>
            <w:tcMar>
              <w:top w:type="dxa" w:w="36"/>
              <w:left w:type="dxa" w:w="70"/>
              <w:bottom w:type="dxa" w:w="36"/>
              <w:right w:type="dxa" w:w="70"/>
            </w:tcMar>
            <w:vAlign w:val="center"/>
          </w:tcPr>
          <w:p>
            <w:pPr>
              <w:spacing w:after="26" w:before="26" w:line="216"/>
              <w:jc w:val="center"/>
            </w:pPr>
            <w:r>
              <w:rPr>
                <w:rFonts w:ascii="Calibri" w:cs="Calibri" w:eastAsia="Calibri" w:hAnsi="Calibri"/>
                <w:color w:val="000000"/>
                <w:sz w:val="17"/>
                <w:szCs w:val="17"/>
              </w:rPr>
              <w:t xml:space="preserve">Dr Mindri IDANI — CGDEM-AEDD SARLU</w:t>
            </w:r>
          </w:p>
        </w:tc>
      </w:tr>
    </w:tbl>
    <w:p>
      <w:pPr>
        <w:pBdr>
          <w:top w:val="single" w:color="BFBFBF" w:sz="6" w:space="4"/>
        </w:pBdr>
        <w:spacing w:before="100"/>
      </w:pPr>
      <w:r>
        <w:rPr>
          <w:rFonts w:ascii="Calibri" w:cs="Calibri" w:eastAsia="Calibri" w:hAnsi="Calibri"/>
          <w:i/>
          <w:iCs/>
          <w:color w:val="595959"/>
          <w:sz w:val="15"/>
          <w:szCs w:val="15"/>
        </w:rPr>
        <w:t xml:space="preserve">Source : Procès-verbal de délibération, session n° 0170/CTAE/AGEE/DG/CONAKRY du 14/07/2026, signé le 14 juillet 2026 (7 pages).</w:t>
      </w:r>
    </w:p>
    <w:sectPr>
      <w:footerReference w:type="default" r:id="rId7"/>
      <w:pgSz w:w="11906" w:h="16838" w:orient="portrait"/>
      <w:pgMar w:top="850" w:right="1020" w:bottom="75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4"/>
        <w:szCs w:val="14"/>
      </w:rPr>
      <w:t xml:space="preserve">CR d'avancement — NIES &amp; PARC · Microcentrale hydroélectrique de Kéno (7,2 MW) · CGDEM-AEDD SARLU · Page </w:t>
    </w:r>
    <w:r>
      <w:rPr>
        <w:rFonts w:ascii="Calibri" w:cs="Calibri" w:eastAsia="Calibri" w:hAnsi="Calibri"/>
        <w:color w:val="595959"/>
        <w:sz w:val="14"/>
        <w:szCs w:val="14"/>
      </w:rPr>
      <w:fldChar w:fldCharType="begin"/>
      <w:instrText xml:space="preserve">PAGE</w:instrText>
      <w:fldChar w:fldCharType="separate"/>
      <w:fldChar w:fldCharType="end"/>
    </w:r>
    <w:r>
      <w:rPr>
        <w:rFonts w:ascii="Calibri" w:cs="Calibri" w:eastAsia="Calibri" w:hAnsi="Calibri"/>
        <w:color w:val="595959"/>
        <w:sz w:val="14"/>
        <w:szCs w:val="14"/>
      </w:rPr>
      <w:t xml:space="preserve">/</w:t>
    </w:r>
    <w:r>
      <w:rPr>
        <w:rFonts w:ascii="Calibri" w:cs="Calibri" w:eastAsia="Calibri" w:hAnsi="Calibri"/>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30" w:hanging="190"/>
      </w:pPr>
    </w:lvl>
  </w:abstractNum>
  <w:abstractNum w:abstractNumId="3" w15:restartNumberingAfterBreak="0">
    <w:multiLevelType w:val="hybridMultilevel"/>
    <w:lvl w:ilvl="0" w15:tentative="1">
      <w:start w:val="1"/>
      <w:numFmt w:val="decimal"/>
      <w:lvlText w:val="%1."/>
      <w:lvlJc w:val="left"/>
      <w:pPr>
        <w:ind w:left="33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 d'avancement — NIES &amp; PARC — Microcentrale de Kéno (7,2 MW)</dc:title>
  <dc:creator>CGDEM-AEDD SARLU</dc:creator>
  <cp:lastModifiedBy>Un-named</cp:lastModifiedBy>
  <cp:revision>1</cp:revision>
  <dcterms:created xsi:type="dcterms:W3CDTF">2026-08-19T02:23:30.368Z</dcterms:created>
  <dcterms:modified xsi:type="dcterms:W3CDTF">2026-08-19T02:23:30.368Z</dcterms:modified>
</cp:coreProperties>
</file>

<file path=docProps/custom.xml><?xml version="1.0" encoding="utf-8"?>
<Properties xmlns="http://schemas.openxmlformats.org/officeDocument/2006/custom-properties" xmlns:vt="http://schemas.openxmlformats.org/officeDocument/2006/docPropsVTypes"/>
</file>