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595959"/>
          <w:sz w:val="14"/>
          <w:szCs w:val="14"/>
        </w:rPr>
        <w:t xml:space="preserve">RÉPUBLIQUE DE GUINÉE — MINISTÈRE DE L'ÉNERGIE — ÉLECTRICITÉ DE GUINÉE</w:t>
      </w:r>
    </w:p>
    <w:p>
      <w:pPr>
        <w:spacing w:after="0" w:before="50"/>
        <w:jc w:val="center"/>
      </w:pPr>
      <w:r>
        <w:rPr>
          <w:rFonts w:ascii="Calibri" w:cs="Calibri" w:eastAsia="Calibri" w:hAnsi="Calibri"/>
          <w:b/>
          <w:bCs/>
          <w:color w:val="1F3864"/>
          <w:sz w:val="26"/>
          <w:szCs w:val="26"/>
        </w:rPr>
        <w:t xml:space="preserve">COMPTE RENDU D'AVANCEMENT — NIES &amp; PARC</w:t>
      </w:r>
    </w:p>
    <w:p>
      <w:pPr>
        <w:pBdr>
          <w:bottom w:val="single" w:color="1F3864" w:sz="10" w:space="3"/>
        </w:pBdr>
        <w:spacing w:after="100"/>
        <w:jc w:val="center"/>
      </w:pPr>
      <w:r>
        <w:rPr>
          <w:rFonts w:ascii="Calibri" w:cs="Calibri" w:eastAsia="Calibri" w:hAnsi="Calibri"/>
          <w:b/>
          <w:bCs/>
          <w:color w:val="2E74B5"/>
          <w:sz w:val="18"/>
          <w:szCs w:val="18"/>
        </w:rPr>
        <w:t xml:space="preserve">Microcentrale hydroélectrique de KÉNO (7,2 MW) — Rivière Makona, préfecture de Guéckédou</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1500"/>
        <w:gridCol w:w="3706"/>
      </w:tblGrid>
      <w:tr>
        <w:trPr>
          <w:tblHeader/>
        </w:trPr>
        <w:tc>
          <w:tcPr>
            <w:tcW w:type="dxa" w:w="1500"/>
            <w:tcBorders>
              <w:top w:val="single" w:color="BFBFBF" w:sz="4"/>
              <w:left w:val="single" w:color="BFBFBF" w:sz="4"/>
              <w:bottom w:val="single" w:color="BFBFBF" w:sz="4"/>
              <w:right w:val="single" w:color="BFBFBF" w:sz="4"/>
            </w:tcBorders>
            <w:shd w:fill="DEEAF6" w:color="auto" w:val="clear"/>
            <w:tcMar>
              <w:top w:type="dxa" w:w="30"/>
              <w:left w:type="dxa" w:w="76"/>
              <w:bottom w:type="dxa" w:w="30"/>
              <w:right w:type="dxa" w:w="76"/>
            </w:tcMar>
            <w:vAlign w:val="center"/>
          </w:tcPr>
          <w:p>
            <w:pPr>
              <w:spacing w:after="22" w:before="22" w:line="222"/>
            </w:pPr>
            <w:r>
              <w:rPr>
                <w:rFonts w:ascii="Calibri" w:cs="Calibri" w:eastAsia="Calibri" w:hAnsi="Calibri"/>
                <w:b/>
                <w:bCs/>
                <w:color w:val="000000"/>
                <w:sz w:val="17"/>
                <w:szCs w:val="17"/>
              </w:rPr>
              <w:t xml:space="preserve">Acteurs</w:t>
            </w:r>
          </w:p>
        </w:tc>
        <w:tc>
          <w:tcPr>
            <w:tcW w:type="dxa" w:w="8606"/>
            <w:gridSpan w:val="3"/>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EDG (MOD) · KAMA SA (concessionnaire BOT) · CGDEM-AEDD SARLU (consultant) · AGEE (autorité)</w:t>
            </w:r>
          </w:p>
        </w:tc>
      </w:tr>
      <w:tr>
        <w:trPr>
          <w:tblHeader w:val="false"/>
        </w:trPr>
        <w:tc>
          <w:tcPr>
            <w:tcW w:type="dxa" w:w="1500"/>
            <w:tcBorders>
              <w:top w:val="single" w:color="BFBFBF" w:sz="4"/>
              <w:left w:val="single" w:color="BFBFBF" w:sz="4"/>
              <w:bottom w:val="single" w:color="BFBFBF" w:sz="4"/>
              <w:right w:val="single" w:color="BFBFBF" w:sz="4"/>
            </w:tcBorders>
            <w:shd w:fill="DEEAF6" w:color="auto" w:val="clear"/>
            <w:tcMar>
              <w:top w:type="dxa" w:w="30"/>
              <w:left w:type="dxa" w:w="76"/>
              <w:bottom w:type="dxa" w:w="30"/>
              <w:right w:type="dxa" w:w="76"/>
            </w:tcMar>
            <w:vAlign w:val="center"/>
          </w:tcPr>
          <w:p>
            <w:pPr>
              <w:spacing w:after="22" w:before="22" w:line="222"/>
            </w:pPr>
            <w:r>
              <w:rPr>
                <w:rFonts w:ascii="Calibri" w:cs="Calibri" w:eastAsia="Calibri" w:hAnsi="Calibri"/>
                <w:b/>
                <w:bCs/>
                <w:color w:val="000000"/>
                <w:sz w:val="17"/>
                <w:szCs w:val="17"/>
              </w:rPr>
              <w:t xml:space="preserve">Instruments</w:t>
            </w:r>
          </w:p>
        </w:tc>
        <w:tc>
          <w:tcPr>
            <w:tcW w:type="dxa" w:w="3400"/>
            <w:tcBorders>
              <w:top w:val="single" w:color="BFBFBF" w:sz="4"/>
              <w:left w:val="single" w:color="BFBFBF" w:sz="4"/>
              <w:bottom w:val="single" w:color="BFBFBF" w:sz="4"/>
              <w:right w:val="single" w:color="BFBFBF" w:sz="4"/>
            </w:tcBorders>
            <w:shd w:fill="F4F8FC" w:color="auto" w:val="clear"/>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NIES art. 25 + PARC art. 27 — Arrêté A/2023/1595/MEDD/CAB/SGG</w:t>
            </w:r>
          </w:p>
        </w:tc>
        <w:tc>
          <w:tcPr>
            <w:tcW w:type="dxa" w:w="1500"/>
            <w:tcBorders>
              <w:top w:val="single" w:color="BFBFBF" w:sz="4"/>
              <w:left w:val="single" w:color="BFBFBF" w:sz="4"/>
              <w:bottom w:val="single" w:color="BFBFBF" w:sz="4"/>
              <w:right w:val="single" w:color="BFBFBF" w:sz="4"/>
            </w:tcBorders>
            <w:shd w:fill="DEEAF6" w:color="auto" w:val="clear"/>
            <w:tcMar>
              <w:top w:type="dxa" w:w="30"/>
              <w:left w:type="dxa" w:w="76"/>
              <w:bottom w:type="dxa" w:w="30"/>
              <w:right w:type="dxa" w:w="76"/>
            </w:tcMar>
            <w:vAlign w:val="center"/>
          </w:tcPr>
          <w:p>
            <w:pPr>
              <w:spacing w:after="22" w:before="22" w:line="222"/>
            </w:pPr>
            <w:r>
              <w:rPr>
                <w:rFonts w:ascii="Calibri" w:cs="Calibri" w:eastAsia="Calibri" w:hAnsi="Calibri"/>
                <w:b/>
                <w:bCs/>
                <w:color w:val="000000"/>
                <w:sz w:val="17"/>
                <w:szCs w:val="17"/>
              </w:rPr>
              <w:t xml:space="preserve">Transmission</w:t>
            </w:r>
          </w:p>
        </w:tc>
        <w:tc>
          <w:tcPr>
            <w:tcW w:type="dxa" w:w="3706"/>
            <w:tcBorders>
              <w:top w:val="single" w:color="BFBFBF" w:sz="4"/>
              <w:left w:val="single" w:color="BFBFBF" w:sz="4"/>
              <w:bottom w:val="single" w:color="BFBFBF" w:sz="4"/>
              <w:right w:val="single" w:color="BFBFBF" w:sz="4"/>
            </w:tcBorders>
            <w:shd w:fill="F4F8FC" w:color="auto" w:val="clear"/>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Lettre n° 081/CGDEM-AEDD/EDG/ID/2026</w:t>
            </w:r>
          </w:p>
        </w:tc>
      </w:tr>
    </w:tbl>
    <w:p>
      <w:pPr>
        <w:pBdr>
          <w:bottom w:val="single" w:color="2E74B5" w:sz="6" w:space="1"/>
        </w:pBdr>
        <w:spacing w:after="80" w:before="160"/>
      </w:pPr>
      <w:r>
        <w:rPr>
          <w:rFonts w:ascii="Calibri" w:cs="Calibri" w:eastAsia="Calibri" w:hAnsi="Calibri"/>
          <w:b/>
          <w:bCs/>
          <w:color w:val="2E74B5"/>
          <w:sz w:val="20"/>
          <w:szCs w:val="20"/>
        </w:rPr>
        <w:t xml:space="preserve">1. </w:t>
      </w:r>
      <w:r>
        <w:rPr>
          <w:rFonts w:ascii="Calibri" w:cs="Calibri" w:eastAsia="Calibri" w:hAnsi="Calibri"/>
          <w:b/>
          <w:bCs/>
          <w:color w:val="1F3864"/>
          <w:sz w:val="20"/>
          <w:szCs w:val="20"/>
        </w:rPr>
        <w:t xml:space="preserve">AVANCEMENT : 7 ÉTAPES SUR 8 ACHEVÉES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
        <w:gridCol w:w="2400"/>
        <w:gridCol w:w="320"/>
        <w:gridCol w:w="2400"/>
        <w:gridCol w:w="320"/>
        <w:gridCol w:w="4346"/>
      </w:tblGrid>
      <w:tr>
        <w:trPr>
          <w:tblHeader/>
        </w:trPr>
        <w:tc>
          <w:tcPr>
            <w:tcW w:type="dxa" w:w="32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jc w:val="center"/>
            </w:pPr>
            <w:r>
              <w:rPr>
                <w:rFonts w:ascii="Calibri" w:cs="Calibri" w:eastAsia="Calibri" w:hAnsi="Calibri"/>
                <w:b/>
                <w:bCs/>
                <w:color w:val="1E6B3A"/>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pPr>
            <w:r>
              <w:rPr>
                <w:rFonts w:ascii="Calibri" w:cs="Calibri" w:eastAsia="Calibri" w:hAnsi="Calibri"/>
                <w:color w:val="000000"/>
                <w:sz w:val="15"/>
                <w:szCs w:val="15"/>
              </w:rPr>
              <w:t xml:space="preserve">TDR NIES + PARC validés</w:t>
            </w:r>
          </w:p>
        </w:tc>
        <w:tc>
          <w:tcPr>
            <w:tcW w:type="dxa" w:w="32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jc w:val="center"/>
            </w:pPr>
            <w:r>
              <w:rPr>
                <w:rFonts w:ascii="Calibri" w:cs="Calibri" w:eastAsia="Calibri" w:hAnsi="Calibri"/>
                <w:b/>
                <w:bCs/>
                <w:color w:val="1E6B3A"/>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pPr>
            <w:r>
              <w:rPr>
                <w:rFonts w:ascii="Calibri" w:cs="Calibri" w:eastAsia="Calibri" w:hAnsi="Calibri"/>
                <w:color w:val="000000"/>
                <w:sz w:val="15"/>
                <w:szCs w:val="15"/>
              </w:rPr>
              <w:t xml:space="preserve">Cadrage validé — zone ennoyée 53,4 ha</w:t>
            </w:r>
          </w:p>
        </w:tc>
        <w:tc>
          <w:tcPr>
            <w:tcW w:type="dxa" w:w="32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jc w:val="center"/>
            </w:pPr>
            <w:r>
              <w:rPr>
                <w:rFonts w:ascii="Calibri" w:cs="Calibri" w:eastAsia="Calibri" w:hAnsi="Calibri"/>
                <w:b/>
                <w:bCs/>
                <w:color w:val="1E6B3A"/>
                <w:sz w:val="19"/>
                <w:szCs w:val="19"/>
              </w:rPr>
              <w:t xml:space="preserve">✔</w:t>
            </w:r>
          </w:p>
        </w:tc>
        <w:tc>
          <w:tcPr>
            <w:tcW w:type="dxa" w:w="4346"/>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pPr>
            <w:r>
              <w:rPr>
                <w:rFonts w:ascii="Calibri" w:cs="Calibri" w:eastAsia="Calibri" w:hAnsi="Calibri"/>
                <w:color w:val="000000"/>
                <w:sz w:val="15"/>
                <w:szCs w:val="15"/>
              </w:rPr>
              <w:t xml:space="preserve">Terrain : recensement du 10 mars au 5 avril 2025, actualisé oct. 2025 et mars 2026 ; 21 séances de consultation, 1 178 participants sur 13 mois</w:t>
            </w:r>
          </w:p>
        </w:tc>
      </w:tr>
      <w:tr>
        <w:trPr>
          <w:tblHeader w:val="false"/>
        </w:trPr>
        <w:tc>
          <w:tcPr>
            <w:tcW w:type="dxa" w:w="32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jc w:val="center"/>
            </w:pPr>
            <w:r>
              <w:rPr>
                <w:rFonts w:ascii="Calibri" w:cs="Calibri" w:eastAsia="Calibri" w:hAnsi="Calibri"/>
                <w:b/>
                <w:bCs/>
                <w:color w:val="1E6B3A"/>
                <w:sz w:val="19"/>
                <w:szCs w:val="19"/>
              </w:rPr>
              <w:t xml:space="preserve">✔</w:t>
            </w:r>
          </w:p>
        </w:tc>
        <w:tc>
          <w:tcPr>
            <w:tcW w:type="dxa" w:w="2400"/>
            <w:tcBorders>
              <w:top w:val="single" w:color="BFBFBF" w:sz="4"/>
              <w:left w:val="single" w:color="BFBFBF" w:sz="4"/>
              <w:bottom w:val="single" w:color="BFBFBF" w:sz="4"/>
              <w:right w:val="single" w:color="BFBFBF" w:sz="4"/>
            </w:tcBorders>
            <w:shd w:fill="F4F8FC" w:color="auto" w:val="clear"/>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Rapports provisoires rédigés</w:t>
            </w:r>
          </w:p>
        </w:tc>
        <w:tc>
          <w:tcPr>
            <w:tcW w:type="dxa" w:w="32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jc w:val="center"/>
            </w:pPr>
            <w:r>
              <w:rPr>
                <w:rFonts w:ascii="Calibri" w:cs="Calibri" w:eastAsia="Calibri" w:hAnsi="Calibri"/>
                <w:b/>
                <w:bCs/>
                <w:color w:val="1E6B3A"/>
                <w:sz w:val="19"/>
                <w:szCs w:val="19"/>
              </w:rPr>
              <w:t xml:space="preserve">✔</w:t>
            </w:r>
          </w:p>
        </w:tc>
        <w:tc>
          <w:tcPr>
            <w:tcW w:type="dxa" w:w="2400"/>
            <w:tcBorders>
              <w:top w:val="single" w:color="BFBFBF" w:sz="4"/>
              <w:left w:val="single" w:color="BFBFBF" w:sz="4"/>
              <w:bottom w:val="single" w:color="BFBFBF" w:sz="4"/>
              <w:right w:val="single" w:color="BFBFBF" w:sz="4"/>
            </w:tcBorders>
            <w:shd w:fill="F4F8FC" w:color="auto" w:val="clear"/>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NIES 187 p. + PARC 117 p. = 304 p.</w:t>
            </w:r>
          </w:p>
        </w:tc>
        <w:tc>
          <w:tcPr>
            <w:tcW w:type="dxa" w:w="32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jc w:val="center"/>
            </w:pPr>
            <w:r>
              <w:rPr>
                <w:rFonts w:ascii="Calibri" w:cs="Calibri" w:eastAsia="Calibri" w:hAnsi="Calibri"/>
                <w:b/>
                <w:bCs/>
                <w:color w:val="1E6B3A"/>
                <w:sz w:val="19"/>
                <w:szCs w:val="19"/>
              </w:rPr>
              <w:t xml:space="preserve">✔</w:t>
            </w:r>
          </w:p>
        </w:tc>
        <w:tc>
          <w:tcPr>
            <w:tcW w:type="dxa" w:w="4346"/>
            <w:tcBorders>
              <w:top w:val="single" w:color="BFBFBF" w:sz="4"/>
              <w:left w:val="single" w:color="BFBFBF" w:sz="4"/>
              <w:bottom w:val="single" w:color="BFBFBF" w:sz="4"/>
              <w:right w:val="single" w:color="BFBFBF" w:sz="4"/>
            </w:tcBorders>
            <w:shd w:fill="F4F8FC" w:color="auto" w:val="clear"/>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Validation CTAE — session n° 0170 du 14 juillet 2026 (salle UNESCO), rapport jugé RECEVABLE</w:t>
            </w:r>
          </w:p>
        </w:tc>
      </w:tr>
      <w:tr>
        <w:trPr>
          <w:tblHeader w:val="false"/>
        </w:trPr>
        <w:tc>
          <w:tcPr>
            <w:tcW w:type="dxa" w:w="32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jc w:val="center"/>
            </w:pPr>
            <w:r>
              <w:rPr>
                <w:rFonts w:ascii="Calibri" w:cs="Calibri" w:eastAsia="Calibri" w:hAnsi="Calibri"/>
                <w:b/>
                <w:bCs/>
                <w:color w:val="1E6B3A"/>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pPr>
            <w:r>
              <w:rPr>
                <w:rFonts w:ascii="Calibri" w:cs="Calibri" w:eastAsia="Calibri" w:hAnsi="Calibri"/>
                <w:color w:val="000000"/>
                <w:sz w:val="15"/>
                <w:szCs w:val="15"/>
              </w:rPr>
              <w:t xml:space="preserve">60 recommandations intégrées</w:t>
            </w:r>
          </w:p>
        </w:tc>
        <w:tc>
          <w:tcPr>
            <w:tcW w:type="dxa" w:w="32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jc w:val="center"/>
            </w:pPr>
            <w:r>
              <w:rPr>
                <w:rFonts w:ascii="Calibri" w:cs="Calibri" w:eastAsia="Calibri" w:hAnsi="Calibri"/>
                <w:b/>
                <w:bCs/>
                <w:color w:val="1E6B3A"/>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pPr>
            <w:r>
              <w:rPr>
                <w:rFonts w:ascii="Calibri" w:cs="Calibri" w:eastAsia="Calibri" w:hAnsi="Calibri"/>
                <w:color w:val="000000"/>
                <w:sz w:val="15"/>
                <w:szCs w:val="15"/>
              </w:rPr>
              <w:t xml:space="preserve">Matrice de prise en compte jointe</w:t>
            </w:r>
          </w:p>
        </w:tc>
        <w:tc>
          <w:tcPr>
            <w:tcW w:type="dxa" w:w="32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jc w:val="center"/>
            </w:pPr>
            <w:r>
              <w:rPr>
                <w:rFonts w:ascii="Calibri" w:cs="Calibri" w:eastAsia="Calibri" w:hAnsi="Calibri"/>
                <w:b/>
                <w:bCs/>
                <w:color w:val="1E6B3A"/>
                <w:sz w:val="19"/>
                <w:szCs w:val="19"/>
              </w:rPr>
              <w:t xml:space="preserve">✔</w:t>
            </w:r>
          </w:p>
        </w:tc>
        <w:tc>
          <w:tcPr>
            <w:tcW w:type="dxa" w:w="4346"/>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pPr>
            <w:r>
              <w:rPr>
                <w:rFonts w:ascii="Calibri" w:cs="Calibri" w:eastAsia="Calibri" w:hAnsi="Calibri"/>
                <w:color w:val="000000"/>
                <w:sz w:val="15"/>
                <w:szCs w:val="15"/>
              </w:rPr>
              <w:t xml:space="preserve">Rapports finaux déposés — 4 pièces jointes (NIES, PARC, matrice, PV du CTAE)</w:t>
            </w:r>
          </w:p>
        </w:tc>
      </w:tr>
      <w:tr>
        <w:trPr>
          <w:tblHeader w:val="false"/>
        </w:trPr>
        <w:tc>
          <w:tcPr>
            <w:tcW w:type="dxa" w:w="320"/>
            <w:tcBorders>
              <w:top w:val="single" w:color="BFBFBF" w:sz="4"/>
              <w:left w:val="single" w:color="BFBFBF" w:sz="4"/>
              <w:bottom w:val="single" w:color="BFBFBF" w:sz="4"/>
              <w:right w:val="single" w:color="BFBFBF" w:sz="4"/>
            </w:tcBorders>
            <w:shd w:fill="FFF2CC" w:color="auto" w:val="clear"/>
            <w:tcMar>
              <w:top w:type="dxa" w:w="30"/>
              <w:left w:type="dxa" w:w="76"/>
              <w:bottom w:type="dxa" w:w="30"/>
              <w:right w:type="dxa" w:w="76"/>
            </w:tcMar>
            <w:vAlign w:val="center"/>
          </w:tcPr>
          <w:p>
            <w:pPr>
              <w:spacing w:after="22" w:before="22" w:line="222"/>
              <w:jc w:val="center"/>
            </w:pPr>
            <w:r>
              <w:rPr>
                <w:rFonts w:ascii="Calibri" w:cs="Calibri" w:eastAsia="Calibri" w:hAnsi="Calibri"/>
                <w:b/>
                <w:bCs/>
                <w:color w:val="7F6000"/>
                <w:sz w:val="19"/>
                <w:szCs w:val="19"/>
              </w:rPr>
              <w:t xml:space="preserve">⧖</w:t>
            </w:r>
          </w:p>
        </w:tc>
        <w:tc>
          <w:tcPr>
            <w:tcW w:type="dxa" w:w="5120"/>
            <w:gridSpan w:val="3"/>
            <w:tcBorders>
              <w:top w:val="single" w:color="BFBFBF" w:sz="4"/>
              <w:left w:val="single" w:color="BFBFBF" w:sz="4"/>
              <w:bottom w:val="single" w:color="BFBFBF" w:sz="4"/>
              <w:right w:val="single" w:color="BFBFBF" w:sz="4"/>
            </w:tcBorders>
            <w:shd w:fill="FFF2CC" w:color="auto" w:val="clear"/>
            <w:tcMar>
              <w:top w:type="dxa" w:w="30"/>
              <w:left w:type="dxa" w:w="76"/>
              <w:bottom w:type="dxa" w:w="30"/>
              <w:right w:type="dxa" w:w="76"/>
            </w:tcMar>
            <w:vAlign w:val="center"/>
          </w:tcPr>
          <w:p>
            <w:pPr>
              <w:spacing w:after="22" w:before="22" w:line="222"/>
            </w:pPr>
            <w:r>
              <w:rPr>
                <w:rFonts w:ascii="Calibri" w:cs="Calibri" w:eastAsia="Calibri" w:hAnsi="Calibri"/>
                <w:b/>
                <w:bCs/>
                <w:color w:val="000000"/>
                <w:sz w:val="17"/>
                <w:szCs w:val="17"/>
              </w:rPr>
              <w:t xml:space="preserve">Décision de la Ministre — Certificat de Conformité Environnementale</w:t>
            </w:r>
          </w:p>
        </w:tc>
        <w:tc>
          <w:tcPr>
            <w:tcW w:type="dxa" w:w="2720"/>
            <w:gridSpan w:val="2"/>
            <w:tcBorders>
              <w:top w:val="single" w:color="BFBFBF" w:sz="4"/>
              <w:left w:val="single" w:color="BFBFBF" w:sz="4"/>
              <w:bottom w:val="single" w:color="BFBFBF" w:sz="4"/>
              <w:right w:val="single" w:color="BFBFBF" w:sz="4"/>
            </w:tcBorders>
            <w:shd w:fill="FFF2CC" w:color="auto" w:val="clear"/>
            <w:tcMar>
              <w:top w:type="dxa" w:w="30"/>
              <w:left w:type="dxa" w:w="76"/>
              <w:bottom w:type="dxa" w:w="30"/>
              <w:right w:type="dxa" w:w="76"/>
            </w:tcMar>
            <w:vAlign w:val="center"/>
          </w:tcPr>
          <w:p>
            <w:pPr>
              <w:spacing w:after="22" w:before="22" w:line="222"/>
            </w:pPr>
            <w:r>
              <w:rPr>
                <w:rFonts w:ascii="Calibri" w:cs="Calibri" w:eastAsia="Calibri" w:hAnsi="Calibri"/>
                <w:b/>
                <w:bCs/>
                <w:color w:val="7F6000"/>
                <w:sz w:val="17"/>
                <w:szCs w:val="17"/>
              </w:rPr>
              <w:t xml:space="preserve">EN INSTANCE, après vérification par le comité restreint du CTAE, coordonné par l'AGEE</w:t>
            </w:r>
          </w:p>
        </w:tc>
      </w:tr>
    </w:tbl>
    <w:p>
      <w:pPr>
        <w:pBdr>
          <w:bottom w:val="single" w:color="2E74B5" w:sz="6" w:space="1"/>
        </w:pBdr>
        <w:spacing w:after="80" w:before="160"/>
      </w:pPr>
      <w:r>
        <w:rPr>
          <w:rFonts w:ascii="Calibri" w:cs="Calibri" w:eastAsia="Calibri" w:hAnsi="Calibri"/>
          <w:b/>
          <w:bCs/>
          <w:color w:val="2E74B5"/>
          <w:sz w:val="20"/>
          <w:szCs w:val="20"/>
        </w:rPr>
        <w:t xml:space="preserve">2. </w:t>
      </w:r>
      <w:r>
        <w:rPr>
          <w:rFonts w:ascii="Calibri" w:cs="Calibri" w:eastAsia="Calibri" w:hAnsi="Calibri"/>
          <w:b/>
          <w:bCs/>
          <w:color w:val="1F3864"/>
          <w:sz w:val="20"/>
          <w:szCs w:val="20"/>
        </w:rPr>
        <w:t xml:space="preserve">SESSION DU CTAE DU 14 JUILLET 2026 — PV DE DÉLIBÉRATION N° 0170</w:t>
      </w:r>
    </w:p>
    <w:p>
      <w:pPr>
        <w:pStyle w:val="ListParagraph"/>
        <w:numPr>
          <w:ilvl w:val="0"/>
          <w:numId w:val="2"/>
        </w:numPr>
        <w:spacing w:after="44" w:line="232"/>
      </w:pPr>
      <w:r>
        <w:rPr>
          <w:rFonts w:ascii="Calibri" w:cs="Calibri" w:eastAsia="Calibri" w:hAnsi="Calibri"/>
          <w:b/>
          <w:bCs/>
          <w:color w:val="000000"/>
          <w:sz w:val="18"/>
          <w:szCs w:val="18"/>
        </w:rPr>
        <w:t xml:space="preserve">Présidée par M. Cyril ABOLY</w:t>
      </w:r>
      <w:r>
        <w:rPr>
          <w:rFonts w:ascii="Calibri" w:cs="Calibri" w:eastAsia="Calibri" w:hAnsi="Calibri"/>
          <w:color w:val="000000"/>
          <w:sz w:val="18"/>
          <w:szCs w:val="18"/>
        </w:rPr>
        <w:t xml:space="preserve">, Conseiller Juridique de Madame la Ministre ; 8 institutions publiques, la société civile, le promoteur (M. Namory BAKAYOKO) et le consultant (Dr Mindri IDANI) représentés. Rapporteur : M. Sory DOUMBOUYA (AGEE).</w:t>
      </w:r>
    </w:p>
    <w:p>
      <w:pPr>
        <w:pStyle w:val="ListParagraph"/>
        <w:numPr>
          <w:ilvl w:val="0"/>
          <w:numId w:val="2"/>
        </w:numPr>
        <w:spacing w:after="44" w:line="232"/>
      </w:pPr>
      <w:r>
        <w:rPr>
          <w:rFonts w:ascii="Calibri" w:cs="Calibri" w:eastAsia="Calibri" w:hAnsi="Calibri"/>
          <w:b/>
          <w:bCs/>
          <w:color w:val="1E6B3A"/>
          <w:sz w:val="18"/>
          <w:szCs w:val="18"/>
        </w:rPr>
        <w:t xml:space="preserve">Rapport jugé recevable</w:t>
      </w:r>
      <w:r>
        <w:rPr>
          <w:rFonts w:ascii="Calibri" w:cs="Calibri" w:eastAsia="Calibri" w:hAnsi="Calibri"/>
          <w:color w:val="000000"/>
          <w:sz w:val="18"/>
          <w:szCs w:val="18"/>
        </w:rPr>
        <w:t xml:space="preserve"> ; la délivrance de l'Autorisation Environnementale est subordonnée à la prise en compte effective des </w:t>
      </w:r>
      <w:r>
        <w:rPr>
          <w:rFonts w:ascii="Calibri" w:cs="Calibri" w:eastAsia="Calibri" w:hAnsi="Calibri"/>
          <w:b/>
          <w:bCs/>
          <w:color w:val="000000"/>
          <w:sz w:val="18"/>
          <w:szCs w:val="18"/>
        </w:rPr>
        <w:t xml:space="preserve">60 recommandations</w:t>
      </w:r>
      <w:r>
        <w:rPr>
          <w:rFonts w:ascii="Calibri" w:cs="Calibri" w:eastAsia="Calibri" w:hAnsi="Calibri"/>
          <w:color w:val="000000"/>
          <w:sz w:val="18"/>
          <w:szCs w:val="18"/>
        </w:rPr>
        <w:t xml:space="preserve"> — NIES : 10 sur la forme, 42 sur le fond ; PARC : 4 et 4 — </w:t>
      </w:r>
      <w:r>
        <w:rPr>
          <w:rFonts w:ascii="Calibri" w:cs="Calibri" w:eastAsia="Calibri" w:hAnsi="Calibri"/>
          <w:b/>
          <w:bCs/>
          <w:color w:val="000000"/>
          <w:sz w:val="18"/>
          <w:szCs w:val="18"/>
        </w:rPr>
        <w:t xml:space="preserve">toutes intégrées</w:t>
      </w:r>
      <w:r>
        <w:rPr>
          <w:rFonts w:ascii="Calibri" w:cs="Calibri" w:eastAsia="Calibri" w:hAnsi="Calibri"/>
          <w:color w:val="000000"/>
          <w:sz w:val="18"/>
          <w:szCs w:val="18"/>
        </w:rPr>
        <w:t xml:space="preserve"> et tracées dans la matrice de prise en compte, avec leur localisation dans les rapports corrigés.</w:t>
      </w:r>
    </w:p>
    <w:p>
      <w:pPr>
        <w:pStyle w:val="ListParagraph"/>
        <w:numPr>
          <w:ilvl w:val="0"/>
          <w:numId w:val="2"/>
        </w:numPr>
        <w:spacing w:after="44" w:line="232"/>
      </w:pPr>
      <w:r>
        <w:rPr>
          <w:rFonts w:ascii="Calibri" w:cs="Calibri" w:eastAsia="Calibri" w:hAnsi="Calibri"/>
          <w:color w:val="000000"/>
          <w:sz w:val="18"/>
          <w:szCs w:val="18"/>
        </w:rPr>
        <w:t xml:space="preserve">Mise en conformité au contenu minimal de l'Arrêté 1595 (tableau de correspondance rubrique par rubrique), coût du PGES converti en francs guinéens et cadre juridique présenté selon la hiérarchie des normes.</w:t>
      </w:r>
    </w:p>
    <w:p>
      <w:pPr>
        <w:pBdr>
          <w:bottom w:val="single" w:color="2E74B5" w:sz="6" w:space="1"/>
        </w:pBdr>
        <w:spacing w:after="80" w:before="160"/>
      </w:pPr>
      <w:r>
        <w:rPr>
          <w:rFonts w:ascii="Calibri" w:cs="Calibri" w:eastAsia="Calibri" w:hAnsi="Calibri"/>
          <w:b/>
          <w:bCs/>
          <w:color w:val="2E74B5"/>
          <w:sz w:val="20"/>
          <w:szCs w:val="20"/>
        </w:rPr>
        <w:t xml:space="preserve">3. </w:t>
      </w:r>
      <w:r>
        <w:rPr>
          <w:rFonts w:ascii="Calibri" w:cs="Calibri" w:eastAsia="Calibri" w:hAnsi="Calibri"/>
          <w:b/>
          <w:bCs/>
          <w:color w:val="1F3864"/>
          <w:sz w:val="20"/>
          <w:szCs w:val="20"/>
        </w:rPr>
        <w:t xml:space="preserve">CHIFFRES CLÉS DES RAPPORTS FINAUX</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50"/>
        <w:gridCol w:w="3300"/>
        <w:gridCol w:w="1750"/>
        <w:gridCol w:w="3306"/>
      </w:tblGrid>
      <w:tr>
        <w:trPr>
          <w:tblHeader/>
        </w:trPr>
        <w:tc>
          <w:tcPr>
            <w:tcW w:type="dxa" w:w="1750"/>
            <w:tcBorders>
              <w:top w:val="single" w:color="BFBFBF" w:sz="4"/>
              <w:left w:val="single" w:color="BFBFBF" w:sz="4"/>
              <w:bottom w:val="single" w:color="BFBFBF" w:sz="4"/>
              <w:right w:val="single" w:color="BFBFBF" w:sz="4"/>
            </w:tcBorders>
            <w:shd w:fill="DEEAF6" w:color="auto" w:val="clear"/>
            <w:tcMar>
              <w:top w:type="dxa" w:w="30"/>
              <w:left w:type="dxa" w:w="76"/>
              <w:bottom w:type="dxa" w:w="30"/>
              <w:right w:type="dxa" w:w="76"/>
            </w:tcMar>
            <w:vAlign w:val="center"/>
          </w:tcPr>
          <w:p>
            <w:pPr>
              <w:spacing w:after="22" w:before="22" w:line="222"/>
            </w:pPr>
            <w:r>
              <w:rPr>
                <w:rFonts w:ascii="Calibri" w:cs="Calibri" w:eastAsia="Calibri" w:hAnsi="Calibri"/>
                <w:b/>
                <w:bCs/>
                <w:color w:val="000000"/>
                <w:sz w:val="17"/>
                <w:szCs w:val="17"/>
              </w:rPr>
              <w:t xml:space="preserve">PAP</w:t>
            </w:r>
          </w:p>
        </w:tc>
        <w:tc>
          <w:tcPr>
            <w:tcW w:type="dxa" w:w="330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39 ménages (23 + 16) ≈ 234 personnes — aucun déplacement physique, 18 structures secondaires</w:t>
            </w:r>
          </w:p>
        </w:tc>
        <w:tc>
          <w:tcPr>
            <w:tcW w:type="dxa" w:w="1750"/>
            <w:tcBorders>
              <w:top w:val="single" w:color="BFBFBF" w:sz="4"/>
              <w:left w:val="single" w:color="BFBFBF" w:sz="4"/>
              <w:bottom w:val="single" w:color="BFBFBF" w:sz="4"/>
              <w:right w:val="single" w:color="BFBFBF" w:sz="4"/>
            </w:tcBorders>
            <w:shd w:fill="DEEAF6" w:color="auto" w:val="clear"/>
            <w:tcMar>
              <w:top w:type="dxa" w:w="30"/>
              <w:left w:type="dxa" w:w="76"/>
              <w:bottom w:type="dxa" w:w="30"/>
              <w:right w:type="dxa" w:w="76"/>
            </w:tcMar>
            <w:vAlign w:val="center"/>
          </w:tcPr>
          <w:p>
            <w:pPr>
              <w:spacing w:after="22" w:before="22" w:line="222"/>
            </w:pPr>
            <w:r>
              <w:rPr>
                <w:rFonts w:ascii="Calibri" w:cs="Calibri" w:eastAsia="Calibri" w:hAnsi="Calibri"/>
                <w:b/>
                <w:bCs/>
                <w:color w:val="000000"/>
                <w:sz w:val="17"/>
                <w:szCs w:val="17"/>
              </w:rPr>
              <w:t xml:space="preserve">Emprise</w:t>
            </w:r>
          </w:p>
        </w:tc>
        <w:tc>
          <w:tcPr>
            <w:tcW w:type="dxa" w:w="3306"/>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53,4 ha ennoyés (cote 431,2 m) — reboisement 38 ha, ratio 3:1, survie &gt; 75 % sur 5 ans</w:t>
            </w:r>
          </w:p>
        </w:tc>
      </w:tr>
      <w:tr>
        <w:trPr>
          <w:tblHeader w:val="false"/>
        </w:trPr>
        <w:tc>
          <w:tcPr>
            <w:tcW w:type="dxa" w:w="1750"/>
            <w:tcBorders>
              <w:top w:val="single" w:color="BFBFBF" w:sz="4"/>
              <w:left w:val="single" w:color="BFBFBF" w:sz="4"/>
              <w:bottom w:val="single" w:color="BFBFBF" w:sz="4"/>
              <w:right w:val="single" w:color="BFBFBF" w:sz="4"/>
            </w:tcBorders>
            <w:shd w:fill="DEEAF6" w:color="auto" w:val="clear"/>
            <w:tcMar>
              <w:top w:type="dxa" w:w="30"/>
              <w:left w:type="dxa" w:w="76"/>
              <w:bottom w:type="dxa" w:w="30"/>
              <w:right w:type="dxa" w:w="76"/>
            </w:tcMar>
            <w:vAlign w:val="center"/>
          </w:tcPr>
          <w:p>
            <w:pPr>
              <w:spacing w:after="22" w:before="22" w:line="222"/>
            </w:pPr>
            <w:r>
              <w:rPr>
                <w:rFonts w:ascii="Calibri" w:cs="Calibri" w:eastAsia="Calibri" w:hAnsi="Calibri"/>
                <w:b/>
                <w:bCs/>
                <w:color w:val="000000"/>
                <w:sz w:val="17"/>
                <w:szCs w:val="17"/>
              </w:rPr>
              <w:t xml:space="preserve">PGES</w:t>
            </w:r>
          </w:p>
        </w:tc>
        <w:tc>
          <w:tcPr>
            <w:tcW w:type="dxa" w:w="3300"/>
            <w:tcBorders>
              <w:top w:val="single" w:color="BFBFBF" w:sz="4"/>
              <w:left w:val="single" w:color="BFBFBF" w:sz="4"/>
              <w:bottom w:val="single" w:color="BFBFBF" w:sz="4"/>
              <w:right w:val="single" w:color="BFBFBF" w:sz="4"/>
            </w:tcBorders>
            <w:shd w:fill="F4F8FC" w:color="auto" w:val="clear"/>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1 350 000 EUR ≈ 3,0 % de l'investissement</w:t>
            </w:r>
          </w:p>
        </w:tc>
        <w:tc>
          <w:tcPr>
            <w:tcW w:type="dxa" w:w="1750"/>
            <w:tcBorders>
              <w:top w:val="single" w:color="BFBFBF" w:sz="4"/>
              <w:left w:val="single" w:color="BFBFBF" w:sz="4"/>
              <w:bottom w:val="single" w:color="BFBFBF" w:sz="4"/>
              <w:right w:val="single" w:color="BFBFBF" w:sz="4"/>
            </w:tcBorders>
            <w:shd w:fill="DEEAF6" w:color="auto" w:val="clear"/>
            <w:tcMar>
              <w:top w:type="dxa" w:w="30"/>
              <w:left w:type="dxa" w:w="76"/>
              <w:bottom w:type="dxa" w:w="30"/>
              <w:right w:type="dxa" w:w="76"/>
            </w:tcMar>
            <w:vAlign w:val="center"/>
          </w:tcPr>
          <w:p>
            <w:pPr>
              <w:spacing w:after="22" w:before="22" w:line="222"/>
            </w:pPr>
            <w:r>
              <w:rPr>
                <w:rFonts w:ascii="Calibri" w:cs="Calibri" w:eastAsia="Calibri" w:hAnsi="Calibri"/>
                <w:b/>
                <w:bCs/>
                <w:color w:val="000000"/>
                <w:sz w:val="17"/>
                <w:szCs w:val="17"/>
              </w:rPr>
              <w:t xml:space="preserve">Volet social</w:t>
            </w:r>
          </w:p>
        </w:tc>
        <w:tc>
          <w:tcPr>
            <w:tcW w:type="dxa" w:w="3306"/>
            <w:tcBorders>
              <w:top w:val="single" w:color="BFBFBF" w:sz="4"/>
              <w:left w:val="single" w:color="BFBFBF" w:sz="4"/>
              <w:bottom w:val="single" w:color="BFBFBF" w:sz="4"/>
              <w:right w:val="single" w:color="BFBFBF" w:sz="4"/>
            </w:tcBorders>
            <w:shd w:fill="F4F8FC" w:color="auto" w:val="clear"/>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790 000 EUR — PARC 240 000 · MGP 145 000 · PMPP 175 000 · RSE 230 000</w:t>
            </w:r>
          </w:p>
        </w:tc>
      </w:tr>
      <w:tr>
        <w:trPr>
          <w:tblHeader w:val="false"/>
        </w:trPr>
        <w:tc>
          <w:tcPr>
            <w:tcW w:type="dxa" w:w="1750"/>
            <w:tcBorders>
              <w:top w:val="single" w:color="BFBFBF" w:sz="4"/>
              <w:left w:val="single" w:color="BFBFBF" w:sz="4"/>
              <w:bottom w:val="single" w:color="BFBFBF" w:sz="4"/>
              <w:right w:val="single" w:color="BFBFBF" w:sz="4"/>
            </w:tcBorders>
            <w:shd w:fill="DEEAF6" w:color="auto" w:val="clear"/>
            <w:tcMar>
              <w:top w:type="dxa" w:w="30"/>
              <w:left w:type="dxa" w:w="76"/>
              <w:bottom w:type="dxa" w:w="30"/>
              <w:right w:type="dxa" w:w="76"/>
            </w:tcMar>
            <w:vAlign w:val="center"/>
          </w:tcPr>
          <w:p>
            <w:pPr>
              <w:spacing w:after="22" w:before="22" w:line="222"/>
            </w:pPr>
            <w:r>
              <w:rPr>
                <w:rFonts w:ascii="Calibri" w:cs="Calibri" w:eastAsia="Calibri" w:hAnsi="Calibri"/>
                <w:b/>
                <w:bCs/>
                <w:color w:val="000000"/>
                <w:sz w:val="17"/>
                <w:szCs w:val="17"/>
              </w:rPr>
              <w:t xml:space="preserve">Garanties</w:t>
            </w:r>
          </w:p>
        </w:tc>
        <w:tc>
          <w:tcPr>
            <w:tcW w:type="dxa" w:w="3300"/>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240 000 EUR sous séquestre à la BCRG avant tout ordre de service — mise en œuvre du PARC sur 60 mois</w:t>
            </w:r>
          </w:p>
        </w:tc>
        <w:tc>
          <w:tcPr>
            <w:tcW w:type="dxa" w:w="1750"/>
            <w:tcBorders>
              <w:top w:val="single" w:color="BFBFBF" w:sz="4"/>
              <w:left w:val="single" w:color="BFBFBF" w:sz="4"/>
              <w:bottom w:val="single" w:color="BFBFBF" w:sz="4"/>
              <w:right w:val="single" w:color="BFBFBF" w:sz="4"/>
            </w:tcBorders>
            <w:shd w:fill="DEEAF6" w:color="auto" w:val="clear"/>
            <w:tcMar>
              <w:top w:type="dxa" w:w="30"/>
              <w:left w:type="dxa" w:w="76"/>
              <w:bottom w:type="dxa" w:w="30"/>
              <w:right w:type="dxa" w:w="76"/>
            </w:tcMar>
            <w:vAlign w:val="center"/>
          </w:tcPr>
          <w:p>
            <w:pPr>
              <w:spacing w:after="22" w:before="22" w:line="222"/>
            </w:pPr>
            <w:r>
              <w:rPr>
                <w:rFonts w:ascii="Calibri" w:cs="Calibri" w:eastAsia="Calibri" w:hAnsi="Calibri"/>
                <w:b/>
                <w:bCs/>
                <w:color w:val="000000"/>
                <w:sz w:val="17"/>
                <w:szCs w:val="17"/>
              </w:rPr>
              <w:t xml:space="preserve">Environnement</w:t>
            </w:r>
          </w:p>
        </w:tc>
        <w:tc>
          <w:tcPr>
            <w:tcW w:type="dxa" w:w="3306"/>
            <w:tcBorders>
              <w:top w:val="single" w:color="BFBFBF" w:sz="4"/>
              <w:left w:val="single" w:color="BFBFBF" w:sz="4"/>
              <w:bottom w:val="single" w:color="BFBFBF" w:sz="4"/>
              <w:right w:val="single" w:color="BFBFBF" w:sz="4"/>
            </w:tcBorders>
            <w:tcMar>
              <w:top w:type="dxa" w:w="30"/>
              <w:left w:type="dxa" w:w="76"/>
              <w:bottom w:type="dxa" w:w="30"/>
              <w:right w:type="dxa" w:w="76"/>
            </w:tcMar>
            <w:vAlign w:val="center"/>
          </w:tcPr>
          <w:p>
            <w:pPr>
              <w:spacing w:after="22" w:before="22" w:line="222"/>
            </w:pPr>
            <w:r>
              <w:rPr>
                <w:rFonts w:ascii="Calibri" w:cs="Calibri" w:eastAsia="Calibri" w:hAnsi="Calibri"/>
                <w:color w:val="000000"/>
                <w:sz w:val="17"/>
                <w:szCs w:val="17"/>
              </w:rPr>
              <w:t xml:space="preserve">Débit réservé 7,5 m³/s (10 % du module) ; ≈ 21 000 tCO₂eq évitées/an, retour énergétique 1,4 an</w:t>
            </w:r>
          </w:p>
        </w:tc>
      </w:tr>
    </w:tbl>
    <w:p>
      <w:pPr>
        <w:pBdr>
          <w:bottom w:val="single" w:color="2E74B5" w:sz="6" w:space="1"/>
        </w:pBdr>
        <w:spacing w:after="80" w:before="160"/>
      </w:pPr>
      <w:r>
        <w:rPr>
          <w:rFonts w:ascii="Calibri" w:cs="Calibri" w:eastAsia="Calibri" w:hAnsi="Calibri"/>
          <w:b/>
          <w:bCs/>
          <w:color w:val="2E74B5"/>
          <w:sz w:val="20"/>
          <w:szCs w:val="20"/>
        </w:rPr>
        <w:t xml:space="preserve">4. </w:t>
      </w:r>
      <w:r>
        <w:rPr>
          <w:rFonts w:ascii="Calibri" w:cs="Calibri" w:eastAsia="Calibri" w:hAnsi="Calibri"/>
          <w:b/>
          <w:bCs/>
          <w:color w:val="1F3864"/>
          <w:sz w:val="20"/>
          <w:szCs w:val="20"/>
        </w:rPr>
        <w:t xml:space="preserve">APPORTS 2026 ET POINTS DE VIGILANCE</w:t>
      </w:r>
    </w:p>
    <w:p>
      <w:pPr>
        <w:pStyle w:val="ListParagraph"/>
        <w:numPr>
          <w:ilvl w:val="0"/>
          <w:numId w:val="2"/>
        </w:numPr>
        <w:spacing w:after="44" w:line="232"/>
      </w:pPr>
      <w:r>
        <w:rPr>
          <w:rFonts w:ascii="Calibri" w:cs="Calibri" w:eastAsia="Calibri" w:hAnsi="Calibri"/>
          <w:b/>
          <w:bCs/>
          <w:color w:val="000000"/>
          <w:sz w:val="18"/>
          <w:szCs w:val="18"/>
        </w:rPr>
        <w:t xml:space="preserve">Par rapport à l'étude FICHTNER (2017) : </w:t>
      </w:r>
      <w:r>
        <w:rPr>
          <w:rFonts w:ascii="Calibri" w:cs="Calibri" w:eastAsia="Calibri" w:hAnsi="Calibri"/>
          <w:color w:val="000000"/>
          <w:sz w:val="18"/>
          <w:szCs w:val="18"/>
        </w:rPr>
        <w:t xml:space="preserve">le volet environnemental et social passe de 59 pages annexées à une étude de faisabilité à un dossier réglementaire autonome de 304 pages — cadre juridique actualisé (Constitution 2025, Code de l'Environnement 2019, AGEE, Accord de Paris, Simandou 2040), passage de l'OP 4.12 au Cadre Environnemental et Social (NES n°5 et n°6), et domaines entièrement nouveaux : impact résiduel, effets cumulatifs (orpaillage), bilan carbone, dimension transfrontalière, services écosystémiques, genre et MGP.</w:t>
      </w:r>
    </w:p>
    <w:p>
      <w:pPr>
        <w:pStyle w:val="ListParagraph"/>
        <w:numPr>
          <w:ilvl w:val="0"/>
          <w:numId w:val="2"/>
        </w:numPr>
        <w:spacing w:after="44" w:line="232"/>
      </w:pPr>
      <w:r>
        <w:rPr>
          <w:rFonts w:ascii="Calibri" w:cs="Calibri" w:eastAsia="Calibri" w:hAnsi="Calibri"/>
          <w:b/>
          <w:bCs/>
          <w:color w:val="1E6B3A"/>
          <w:sz w:val="18"/>
          <w:szCs w:val="18"/>
        </w:rPr>
        <w:t xml:space="preserve">Risque de requalification NIES → EIES : écarté</w:t>
      </w:r>
      <w:r>
        <w:rPr>
          <w:rFonts w:ascii="Calibri" w:cs="Calibri" w:eastAsia="Calibri" w:hAnsi="Calibri"/>
          <w:color w:val="000000"/>
          <w:sz w:val="18"/>
          <w:szCs w:val="18"/>
        </w:rPr>
        <w:t xml:space="preserve"> — 7,2 MW et ligne 30 kV restent sous les seuils réglementaires (10 MW / 63 kV) ; le CTAE a instruit le dossier en tant que NIES.</w:t>
      </w:r>
    </w:p>
    <w:p>
      <w:pPr>
        <w:pStyle w:val="ListParagraph"/>
        <w:numPr>
          <w:ilvl w:val="0"/>
          <w:numId w:val="2"/>
        </w:numPr>
        <w:spacing w:after="44" w:line="232"/>
      </w:pPr>
      <w:r>
        <w:rPr>
          <w:rFonts w:ascii="Calibri" w:cs="Calibri" w:eastAsia="Calibri" w:hAnsi="Calibri"/>
          <w:b/>
          <w:bCs/>
          <w:color w:val="000000"/>
          <w:sz w:val="18"/>
          <w:szCs w:val="18"/>
        </w:rPr>
        <w:t xml:space="preserve">À tenir : </w:t>
      </w:r>
      <w:r>
        <w:rPr>
          <w:rFonts w:ascii="Calibri" w:cs="Calibri" w:eastAsia="Calibri" w:hAnsi="Calibri"/>
          <w:color w:val="000000"/>
          <w:sz w:val="18"/>
          <w:szCs w:val="18"/>
        </w:rPr>
        <w:t xml:space="preserve">disponibilité de l'équipe pour le comité restreint de l'AGEE, suivi hebdomadaire du dossier jusqu'à signature, et constitution du séquestre BCRG dès l'obtention du certificat.</w:t>
      </w:r>
    </w:p>
    <w:p>
      <w:pPr>
        <w:pBdr>
          <w:top w:val="single" w:color="1F3864" w:sz="10" w:space="4"/>
          <w:bottom w:val="single" w:color="1F3864" w:sz="10" w:space="4"/>
        </w:pBdr>
        <w:spacing w:after="0" w:before="110" w:line="235"/>
        <w:jc w:val="both"/>
      </w:pPr>
      <w:r>
        <w:rPr>
          <w:rFonts w:ascii="Calibri" w:cs="Calibri" w:eastAsia="Calibri" w:hAnsi="Calibri"/>
          <w:b/>
          <w:bCs/>
          <w:color w:val="1F3864"/>
          <w:sz w:val="19"/>
          <w:szCs w:val="19"/>
        </w:rPr>
        <w:t xml:space="preserve">Conclusion — </w:t>
      </w:r>
      <w:r>
        <w:rPr>
          <w:rFonts w:ascii="Calibri" w:cs="Calibri" w:eastAsia="Calibri" w:hAnsi="Calibri"/>
          <w:color w:val="000000"/>
          <w:sz w:val="19"/>
          <w:szCs w:val="19"/>
        </w:rPr>
        <w:t xml:space="preserve">le dossier environnemental et social de la microcentrale de Kéno est complet, corrigé et déposé. Les recommandations du CTAE sont intégrées et tracées, la conformité à l'Arrêté 1595 est démontrée et les engagements sont chiffrés, datés et budgétés. </w:t>
      </w:r>
      <w:r>
        <w:rPr>
          <w:rFonts w:ascii="Calibri" w:cs="Calibri" w:eastAsia="Calibri" w:hAnsi="Calibri"/>
          <w:b/>
          <w:bCs/>
          <w:color w:val="000000"/>
          <w:sz w:val="19"/>
          <w:szCs w:val="19"/>
        </w:rPr>
        <w:t xml:space="preserve">Seule reste la délivrance de l'Autorisation Environnementale par Madame la Ministre de l'Environnement.</w:t>
      </w:r>
    </w:p>
    <w:p>
      <w:pPr>
        <w:spacing w:after="0" w:before="55" w:line="235"/>
      </w:pPr>
      <w:r>
        <w:rPr>
          <w:rFonts w:ascii="Calibri" w:cs="Calibri" w:eastAsia="Calibri" w:hAnsi="Calibri"/>
          <w:i/>
          <w:iCs/>
          <w:color w:val="595959"/>
          <w:sz w:val="15"/>
          <w:szCs w:val="15"/>
        </w:rPr>
        <w:t xml:space="preserve">Sources : lettre de transmission n° 081/CGDEM-AEDD/EDG/ID/2026 · PV de délibération n° 0170/CTAE/AGEE/DG/CONAKRY du 14/07/2026 · Note d'analyse comparative FICHTNER 2017 / CGDEM 2026, août 2026.</w:t>
      </w:r>
    </w:p>
    <w:sectPr>
      <w:pgSz w:w="11906" w:h="16838" w:orient="portrait"/>
      <w:pgMar w:top="700" w:right="850" w:bottom="6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 d'avancement — NIES &amp; PARC — Microcentrale de Kéno (7,2 MW)</dc:title>
  <dc:creator>CGDEM-AEDD SARLU</dc:creator>
  <cp:lastModifiedBy>Un-named</cp:lastModifiedBy>
  <cp:revision>1</cp:revision>
  <dcterms:created xsi:type="dcterms:W3CDTF">2026-08-19T02:41:36.541Z</dcterms:created>
  <dcterms:modified xsi:type="dcterms:W3CDTF">2026-08-19T02:41:36.542Z</dcterms:modified>
</cp:coreProperties>
</file>

<file path=docProps/custom.xml><?xml version="1.0" encoding="utf-8"?>
<Properties xmlns="http://schemas.openxmlformats.org/officeDocument/2006/custom-properties" xmlns:vt="http://schemas.openxmlformats.org/officeDocument/2006/docPropsVTypes"/>
</file>