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0"/>
          <w:szCs w:val="30"/>
        </w:rPr>
        <w:t xml:space="preserve">MATRICE DES CORRECTIONS ET AMÉLIORATIONS</w:t>
      </w:r>
    </w:p>
    <w:p>
      <w:pPr>
        <w:spacing w:after="40"/>
      </w:pPr>
      <w:r>
        <w:rPr>
          <w:rFonts w:ascii="Arial" w:cs="Arial" w:eastAsia="Arial" w:hAnsi="Arial"/>
          <w:sz w:val="19"/>
          <w:szCs w:val="19"/>
        </w:rPr>
        <w:t xml:space="preserve">EIES Raffinerie WCAG — Chapitre 21 : Plan de réhabilitation et de fermeture — Dobali, Préfecture de Boké (Guinée)</w:t>
      </w:r>
    </w:p>
    <w:p>
      <w:pPr>
        <w:spacing w:after="40"/>
      </w:pPr>
      <w:r>
        <w:rPr>
          <w:rFonts w:ascii="Arial" w:cs="Arial" w:eastAsia="Arial" w:hAnsi="Arial"/>
          <w:b/>
          <w:bCs/>
          <w:sz w:val="18"/>
          <w:szCs w:val="18"/>
        </w:rPr>
        <w:t xml:space="preserve">Revue par : </w:t>
      </w:r>
      <w:r>
        <w:rPr>
          <w:rFonts w:ascii="Arial" w:cs="Arial" w:eastAsia="Arial" w:hAnsi="Arial"/>
          <w:b/>
          <w:bCs/>
          <w:color w:val="1F3864"/>
          <w:sz w:val="18"/>
          <w:szCs w:val="18"/>
        </w:rPr>
        <w:t xml:space="preserve">Dr IBRAHIMA DIALLO</w:t>
      </w:r>
      <w:r>
        <w:rPr>
          <w:rFonts w:ascii="Arial" w:cs="Arial" w:eastAsia="Arial" w:hAnsi="Arial"/>
          <w:sz w:val="18"/>
          <w:szCs w:val="18"/>
        </w:rPr>
        <w:t xml:space="preserve">    ·    Référentiel : normes chinoises (China Exim Bank, MOFCOM/MEE, GB/HJ/TD-T) et bonnes pratiques internationales    ·    Date : 19/08/2026</w:t>
      </w:r>
    </w:p>
    <w:p>
      <w:pPr>
        <w:spacing w:after="160"/>
      </w:pPr>
      <w:r>
        <w:rPr>
          <w:rFonts w:ascii="Arial" w:cs="Arial" w:eastAsia="Arial" w:hAnsi="Arial"/>
          <w:i/>
          <w:iCs/>
          <w:color w:val="7F7F7F"/>
          <w:sz w:val="17"/>
          <w:szCs w:val="17"/>
        </w:rPr>
        <w:t xml:space="preserve">La présente matrice recense et justifie les 22 rajouts et améliorations proposés par le Dr IBRAHIMA DIALLO, intégrés au document sous forme de commentaires (version commentée) et, pour les principaux, appliqués dans la version propre et en modification suivie. L'apport central est l'intégration des référentiels chinois de réhabilitation et de fermeture (HJ 651-2013, reconquête des sols TD/T 1036-2013, fermeture des parcs à résidus GB 50863/39496, sols pollués GB 36600/HJ 25) et le renforcement du provisionnement financier.</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20"/>
        <w:gridCol w:w="1750"/>
        <w:gridCol w:w="2500"/>
        <w:gridCol w:w="4200"/>
        <w:gridCol w:w="2650"/>
        <w:gridCol w:w="3778"/>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w:t>
            </w:r>
          </w:p>
        </w:tc>
        <w:tc>
          <w:tcPr>
            <w:tcW w:type="dxa" w:w="17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Section / Emplacement</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Élément concerné / Constat</w:t>
            </w:r>
          </w:p>
        </w:tc>
        <w:tc>
          <w:tcPr>
            <w:tcW w:type="dxa" w:w="420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Correction / amélioration proposée (rajout)</w:t>
            </w:r>
          </w:p>
        </w:tc>
        <w:tc>
          <w:tcPr>
            <w:tcW w:type="dxa" w:w="2650"/>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Norme(s) / référentiel de référence</w:t>
            </w:r>
          </w:p>
        </w:tc>
        <w:tc>
          <w:tcPr>
            <w:tcW w:type="dxa" w:w="3778"/>
            <w:tcBorders>
              <w:top w:val="single" w:color="BFBFBF" w:sz="4"/>
              <w:left w:val="single" w:color="BFBFBF" w:sz="4"/>
              <w:bottom w:val="single" w:color="BFBFBF" w:sz="4"/>
              <w:right w:val="single" w:color="BFBFBF" w:sz="4"/>
            </w:tcBorders>
            <w:shd w:fill="1F3864" w:color="auto" w:val="clear"/>
            <w:tcMar>
              <w:top w:type="dxa" w:w="60"/>
              <w:left w:type="dxa" w:w="80"/>
              <w:bottom w:type="dxa" w:w="60"/>
              <w:right w:type="dxa" w:w="80"/>
            </w:tcMar>
            <w:vAlign w:val="center"/>
          </w:tcPr>
          <w:p>
            <w:pPr>
              <w:spacing w:after="20" w:before="20" w:line="240"/>
              <w:jc w:val="center"/>
            </w:pPr>
            <w:r>
              <w:rPr>
                <w:rFonts w:ascii="Arial" w:cs="Arial" w:eastAsia="Arial" w:hAnsi="Arial"/>
                <w:b/>
                <w:bCs/>
                <w:color w:val="FFFFFF"/>
                <w:sz w:val="16"/>
                <w:szCs w:val="16"/>
              </w:rPr>
              <w:t xml:space="preserve">Justification</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Introduction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Fermeture rattachée aux seules « bonnes pratiques internationales ».</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Rattacher au bailleur et aux référentiels chinois de fermeture.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 ; HJ 651-2013 ; TD/T 1036-2013.</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Référentiel attendu par le bailleur pour la réhabilitation/fermeture.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21.2 — Renvoi au chap. 7</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Renvoi correct au chapitre juridique.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Ajouter/rappeler les référentiels chinois spécifiques à la fermeture.</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HJ 651-2013 ; TD/T 1036-2013 ; GB 50863/39496.</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avec le chapitre 7 (normes chinoises consolidées).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21.2 — Rédaction FR/EN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Coquille « applicable applicable » ; contenu dupliqué FR/EN.</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Corriger la coquille et conserver une seule langue (français).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Lisibilité et cohérence rédactionnelle.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21.2 — Code minier</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Applicabilité du Code minier ambiguë (raffinerie vs mine).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Préciser le fondement d'application et l'obligation de fonds de réhabilitation.</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Code minier guinéen.</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Conditionne la garantie financière de fermeture (21.6).</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21.2 — ICMM / résidus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ICMM cité, sans normes chinoises de fermeture des parcs.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GB 50863-2013, GB 39496-2020, GB 18599-2020 (ICMM/GISTM en complément).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GB 18599-2020.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Référentiel technique attendu pour un projet à financement chinois.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21.2 — Standards bailleur</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Non soumis à la SFI » sans mention du bailleur réel.</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Expliciter la soumission aux exigences E&amp;S de la China Exim Bank.</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(2007) ; MOFCOM/MEE (2022).</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Cadre applicable réel du Projet.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21.3 — Revégétalisation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Revégétalisation sans critères de réussite.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Définir des critères (couverture, espèces, érosion, terre végétale).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TD/T 1036-2013 ; HJ 651-2013.</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Rend l'engagement de reconquête des sols vérifiable.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21.3 — Objectifs quantitatifs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Objectifs entièrement reportés.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Fixer des objectifs indicatifs de réhabilitation progressive dès à présent.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TD/T 1036-2013.</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Engagement vérifiable par le bailleur.</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21.4.2 — Fermeture parc à résidus</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Système de couverture « adapté » non spécifié.</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Base de conception : couverture/étanchéité + stabilité + neutralisation + suivi.</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18599-2020 ; GB 50863-2013 ; GB 39496-2020 ; GB/T 14848-2017 ; GISTM.</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Composante la plus critique à long terme.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21.4.2 — Conception détaillée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Conception renvoyée sans référentiel ni revue.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Établir selon normes chinoises + revue par panel d'experts indépendants.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50863-2013 ; GB 39496-2020 ; GB 18599-2020 ; GISTM.</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Caractère critique de l'ouvrage.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21.4.1 — PCB</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PCB mentionnés sans code ni filière.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code HW10, Stockholm, GB 18597-2001, filière agréée.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HW10 ; GB 18597-2001 ; Convention de Stockholm.</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Déchet dangereux réglementé au démantèlement.</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 — Sols pollués</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 Décontamination » vague, sans diagnostic.</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Ajouter diagnostic et dépollution des sols/eaux souterraines.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36600-2018 ; HJ 25.1 à HJ 25.6.</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Volet sites et sols pollués attendu à la fermeture.</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13</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21.4.6 — Décharge sur site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Décharge dangereuse sur site en solution par défaut.</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Encadrer strictement (dernier recours) selon normes d'enfouissement.</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18598-2019 ; GB 18599-2020.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Évite une élimination sur site non conforme.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14</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21.4.6 — Réseaux laissés en place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Réseaux enterrés laissés en place sans condition.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Conditionner à l'absence de contamination + registre (plan de récolement).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Traçabilité des ouvrages résiduels.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15</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21.4.7 — Objectifs de fermeture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Critères de complétion entièrement reportés.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Fixer des critères indicatifs (stabilité, couverture, qualité des eaux).</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 3838-2002 ; GB/T 14848-2017.</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Le bailleur attend des critères de complétion vérifiables.</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16</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21.4.8 — Démobilisation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Indemnités citées sans plan de restructuration.</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Élaborer un plan de démobilisation (retrenchment plan).</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Code du travail ; SFI NP 2.</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Gestion sociale de la fin de vie du Projet.</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17</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21.5 — Suivi post-fermeture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Paramètres/fréquence/durée reportés.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Programme minimal (paramètres, fréquence, durée pluri-décennale).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GB/T 14848-2017 ; GB 3838-2002 ; GISTM ; GB 39496-2020.</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Assure la stabilité du site dans la durée.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18</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21.6 — Provisionnement</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Estimation et garantie financière entièrement reportées.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Estimation préliminaire + mécanisme de garantie dédié abondé progressivement.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China Exim Bank ; GISTM ; Code minier.</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Engagement financier attendu dès l'ÉIES.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19</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21.6 — Garantie financière</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Ni estimation ni mécanisme arrêtés.</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Estimation d'ordre de grandeur + principe d'une garantie dédiée.</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Code minier ; bonnes pratiques.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Sécurise les fonds de fermeture.</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20</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 — Responsabilité post-fermeture</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Réaffectation évoquée sans responsable de long terme.</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Définir un responsable (custodian) et le transfert éventuel à l'État.</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GISTM (responsabilité post-fermeture).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Gardiennage pérenne du parc à résidus.</w:t>
            </w:r>
          </w:p>
        </w:tc>
      </w:tr>
      <w:tr>
        <w:tc>
          <w:tcPr>
            <w:tcW w:type="dxa" w:w="52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21</w:t>
            </w:r>
          </w:p>
        </w:tc>
        <w:tc>
          <w:tcPr>
            <w:tcW w:type="dxa" w:w="17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21.7 — Révision</w:t>
            </w:r>
          </w:p>
        </w:tc>
        <w:tc>
          <w:tcPr>
            <w:tcW w:type="dxa" w:w="25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Fréquence de révision non fixée.</w:t>
            </w:r>
          </w:p>
        </w:tc>
        <w:tc>
          <w:tcPr>
            <w:tcW w:type="dxa" w:w="420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Révision périodique (ex. 5 ans) + revue indépendante + mise à jour des coûts.</w:t>
            </w:r>
          </w:p>
        </w:tc>
        <w:tc>
          <w:tcPr>
            <w:tcW w:type="dxa" w:w="2650"/>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Bonnes pratiques.</w:t>
            </w:r>
          </w:p>
        </w:tc>
        <w:tc>
          <w:tcPr>
            <w:tcW w:type="dxa" w:w="3778"/>
            <w:tcBorders>
              <w:top w:val="single" w:color="BFBFBF" w:sz="4"/>
              <w:left w:val="single" w:color="BFBFBF" w:sz="4"/>
              <w:bottom w:val="single" w:color="BFBFBF" w:sz="4"/>
              <w:right w:val="single" w:color="BFBFBF" w:sz="4"/>
            </w:tcBorders>
            <w:shd w:fill="FFFFFF"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Maintient le plan et la garantie à jour.</w:t>
            </w:r>
          </w:p>
        </w:tc>
      </w:tr>
      <w:tr>
        <w:tc>
          <w:tcPr>
            <w:tcW w:type="dxa" w:w="52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center"/>
            </w:pPr>
            <w:r>
              <w:rPr>
                <w:rFonts w:ascii="Arial" w:cs="Arial" w:eastAsia="Arial" w:hAnsi="Arial"/>
                <w:b/>
                <w:bCs/>
                <w:color w:val="000000"/>
                <w:sz w:val="16"/>
                <w:szCs w:val="16"/>
              </w:rPr>
              <w:t xml:space="preserve">22</w:t>
            </w:r>
          </w:p>
        </w:tc>
        <w:tc>
          <w:tcPr>
            <w:tcW w:type="dxa" w:w="17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bCs/>
                <w:color w:val="1F3864"/>
                <w:sz w:val="16"/>
                <w:szCs w:val="16"/>
              </w:rPr>
              <w:t xml:space="preserve">21.4.9 — Rédaction</w:t>
            </w:r>
          </w:p>
        </w:tc>
        <w:tc>
          <w:tcPr>
            <w:tcW w:type="dxa" w:w="25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Phrase en anglais isolée dans un rapport français.</w:t>
            </w:r>
          </w:p>
        </w:tc>
        <w:tc>
          <w:tcPr>
            <w:tcW w:type="dxa" w:w="420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Traduire et intégrer au texte français.</w:t>
            </w:r>
          </w:p>
        </w:tc>
        <w:tc>
          <w:tcPr>
            <w:tcW w:type="dxa" w:w="2650"/>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C00000"/>
                <w:sz w:val="16"/>
                <w:szCs w:val="16"/>
              </w:rPr>
              <w:t xml:space="preserve">Qualité éditoriale.</w:t>
            </w:r>
          </w:p>
        </w:tc>
        <w:tc>
          <w:tcPr>
            <w:tcW w:type="dxa" w:w="3778"/>
            <w:tcBorders>
              <w:top w:val="single" w:color="BFBFBF" w:sz="4"/>
              <w:left w:val="single" w:color="BFBFBF" w:sz="4"/>
              <w:bottom w:val="single" w:color="BFBFBF" w:sz="4"/>
              <w:right w:val="single" w:color="BFBFBF" w:sz="4"/>
            </w:tcBorders>
            <w:shd w:fill="EAEFF7" w:color="auto" w:val="clear"/>
            <w:tcMar>
              <w:top w:type="dxa" w:w="50"/>
              <w:left w:type="dxa" w:w="80"/>
              <w:bottom w:type="dxa" w:w="50"/>
              <w:right w:type="dxa" w:w="80"/>
            </w:tcMar>
            <w:vAlign w:val="center"/>
          </w:tcPr>
          <w:p>
            <w:pPr>
              <w:spacing w:after="20" w:before="20" w:line="240"/>
              <w:jc w:val="left"/>
            </w:pPr>
            <w:r>
              <w:rPr>
                <w:rFonts w:ascii="Arial" w:cs="Arial" w:eastAsia="Arial" w:hAnsi="Arial"/>
                <w:b w:val="false"/>
                <w:bCs w:val="false"/>
                <w:color w:val="000000"/>
                <w:sz w:val="16"/>
                <w:szCs w:val="16"/>
              </w:rPr>
              <w:t xml:space="preserve">Cohérence linguistique.</w:t>
            </w:r>
          </w:p>
        </w:tc>
      </w:tr>
    </w:tbl>
    <w:p>
      <w:pPr>
        <w:spacing w:before="200"/>
      </w:pPr>
      <w:r>
        <w:rPr>
          <w:rFonts w:ascii="Arial" w:cs="Arial" w:eastAsia="Arial" w:hAnsi="Arial"/>
          <w:i/>
          <w:iCs/>
          <w:color w:val="7F7F7F"/>
          <w:sz w:val="15"/>
          <w:szCs w:val="15"/>
        </w:rPr>
        <w:t xml:space="preserve">Référentiels : China Exim Bank (2007), MOFCOM/MEE (2022) ; restauration écologique HJ 651-2013 ; reconquête des sols TD/T 1036-2013 (Règlement 2011) ; parcs à résidus GB 50863-2013, GB 39496-2020, GB 18599-2020 (+ GISTM/ICMM) ; sols et eaux GB 36600-2018, HJ 25.1–25.6, GB/T 14848-2017, GB 3838-2002 ; déchets dangereux GB 18597-2001, GB 18598-2019 (PCB : HW10, Stockholm) ; social : Code du travail, SFI NP 2.</w:t>
      </w:r>
    </w:p>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Matrice des corrections — Chapitre 21 (Réhabilitation et fermeture)</dc:title>
  <dc:creator>Dr IBRAHIMA DIALLO</dc:creator>
  <cp:lastModifiedBy>Un-named</cp:lastModifiedBy>
  <cp:revision>1</cp:revision>
  <dcterms:created xsi:type="dcterms:W3CDTF">2026-08-19T22:52:24.101Z</dcterms:created>
  <dcterms:modified xsi:type="dcterms:W3CDTF">2026-08-19T22:52:24.101Z</dcterms:modified>
</cp:coreProperties>
</file>

<file path=docProps/custom.xml><?xml version="1.0" encoding="utf-8"?>
<Properties xmlns="http://schemas.openxmlformats.org/officeDocument/2006/custom-properties" xmlns:vt="http://schemas.openxmlformats.org/officeDocument/2006/docPropsVTypes"/>
</file>